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eading1"/>
        <w:jc w:val="center"/>
      </w:pPr>
      <w:r>
        <w:rPr>
          <w:color w:val="1E3C78"/>
          <w:sz w:val="40"/>
        </w:rPr>
        <w:t>Rapport d'Analyse — Crash 150 Index</w:t>
      </w:r>
    </w:p>
    <w:p>
      <w:pPr>
        <w:jc w:val="center"/>
      </w:pPr>
      <w:r>
        <w:rPr>
          <w:color w:val="646464"/>
          <w:sz w:val="20"/>
        </w:rPr>
        <w:t>Date d'analyse : 2026-05-21    |    Généré le : 2026-05-21</w:t>
      </w:r>
    </w:p>
    <w:p/>
    <w:p>
      <w:pPr>
        <w:pStyle w:val="Heading2"/>
        <w:jc w:val="left"/>
      </w:pPr>
      <w:r>
        <w:rPr>
          <w:color w:val="1E3C78"/>
        </w:rPr>
        <w:t>Signal TradingAgents</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EEF2FF"/>
          </w:tcPr>
          <w:p>
            <w:r>
              <w:rPr>
                <w:b/>
                <w:color w:val="3C3C3C"/>
              </w:rPr>
              <w:t>Rating brut</w:t>
            </w:r>
          </w:p>
        </w:tc>
        <w:tc>
          <w:tcPr>
            <w:tcW w:type="dxa" w:w="4320"/>
            <w:shd w:val="clear" w:color="auto" w:fill="EEF2FF"/>
          </w:tcPr>
          <w:p>
            <w:r>
              <w:t>Underweight</w:t>
            </w:r>
          </w:p>
        </w:tc>
      </w:tr>
      <w:tr>
        <w:tc>
          <w:tcPr>
            <w:tcW w:type="dxa" w:w="4320"/>
          </w:tcPr>
          <w:p>
            <w:r>
              <w:rPr>
                <w:b/>
                <w:color w:val="3C3C3C"/>
              </w:rPr>
              <w:t>Décision</w:t>
            </w:r>
          </w:p>
        </w:tc>
        <w:tc>
          <w:tcPr>
            <w:tcW w:type="dxa" w:w="4320"/>
          </w:tcPr>
          <w:p>
            <w:r>
              <w:rPr>
                <w:b/>
                <w:color w:val="B41E1E"/>
                <w:sz w:val="26"/>
              </w:rPr>
              <w:t>SELL</w:t>
            </w:r>
          </w:p>
        </w:tc>
      </w:tr>
      <w:tr>
        <w:tc>
          <w:tcPr>
            <w:tcW w:type="dxa" w:w="4320"/>
            <w:shd w:val="clear" w:color="auto" w:fill="EEF2FF"/>
          </w:tcPr>
          <w:p>
            <w:r>
              <w:rPr>
                <w:b/>
                <w:color w:val="3C3C3C"/>
              </w:rPr>
              <w:t>Prix actuel</w:t>
            </w:r>
          </w:p>
        </w:tc>
        <w:tc>
          <w:tcPr>
            <w:tcW w:type="dxa" w:w="4320"/>
            <w:shd w:val="clear" w:color="auto" w:fill="EEF2FF"/>
          </w:tcPr>
          <w:p>
            <w:r>
              <w:t>10,127.915</w:t>
            </w:r>
          </w:p>
        </w:tc>
      </w:tr>
      <w:tr>
        <w:tc>
          <w:tcPr>
            <w:tcW w:type="dxa" w:w="4320"/>
          </w:tcPr>
          <w:p>
            <w:r>
              <w:rPr>
                <w:b/>
                <w:color w:val="3C3C3C"/>
              </w:rPr>
              <w:t>ATR (volatilité)</w:t>
            </w:r>
          </w:p>
        </w:tc>
        <w:tc>
          <w:tcPr>
            <w:tcW w:type="dxa" w:w="4320"/>
          </w:tcPr>
          <w:p>
            <w:r>
              <w:t>47.96682</w:t>
            </w:r>
          </w:p>
        </w:tc>
      </w:tr>
    </w:tbl>
    <w:p/>
    <w:p>
      <w:pPr>
        <w:pStyle w:val="Heading2"/>
        <w:jc w:val="left"/>
      </w:pPr>
      <w:r>
        <w:rPr>
          <w:color w:val="B41E1E"/>
        </w:rPr>
        <w:t>Signaux de Trading Proposes</w:t>
      </w:r>
    </w:p>
    <w:p>
      <w:r>
        <w:rPr>
          <w:b/>
          <w:color w:val="B41E1E"/>
          <w:sz w:val="22"/>
        </w:rPr>
        <w:t xml:space="preserve">  Signal 1 — Conservateur — Ordre Marche</w:t>
      </w:r>
    </w:p>
    <w:tbl>
      <w:tblPr>
        <w:tblStyle w:val="TableGrid"/>
        <w:tblW w:type="auto" w:w="0"/>
        <w:tblLook w:firstColumn="1" w:firstRow="1" w:lastColumn="0" w:lastRow="0" w:noHBand="0" w:noVBand="1" w:val="04A0"/>
      </w:tblPr>
      <w:tblGrid>
        <w:gridCol w:w="4320"/>
        <w:gridCol w:w="4320"/>
      </w:tblGrid>
      <w:tr>
        <w:tc>
          <w:tcPr>
            <w:tcW w:type="dxa" w:w="4320"/>
            <w:shd w:val="clear" w:color="auto" w:fill="DFFFD6"/>
          </w:tcPr>
          <w:p>
            <w:r>
              <w:rPr>
                <w:b/>
              </w:rPr>
              <w:t>Type d'ordre</w:t>
            </w:r>
          </w:p>
        </w:tc>
        <w:tc>
          <w:tcPr>
            <w:tcW w:type="dxa" w:w="4320"/>
            <w:shd w:val="clear" w:color="auto" w:fill="DFFFD6"/>
          </w:tcPr>
          <w:p>
            <w:r>
              <w:t>MARKET</w:t>
            </w:r>
          </w:p>
        </w:tc>
      </w:tr>
      <w:tr>
        <w:tc>
          <w:tcPr>
            <w:tcW w:type="dxa" w:w="4320"/>
            <w:shd w:val="clear" w:color="auto" w:fill="DFFFD6"/>
          </w:tcPr>
          <w:p>
            <w:r>
              <w:rPr>
                <w:b/>
              </w:rPr>
              <w:t>Direction</w:t>
            </w:r>
          </w:p>
        </w:tc>
        <w:tc>
          <w:tcPr>
            <w:tcW w:type="dxa" w:w="4320"/>
            <w:shd w:val="clear" w:color="auto" w:fill="DFFFD6"/>
          </w:tcPr>
          <w:p>
            <w:r>
              <w:t>SELL</w:t>
            </w:r>
          </w:p>
        </w:tc>
      </w:tr>
      <w:tr>
        <w:tc>
          <w:tcPr>
            <w:tcW w:type="dxa" w:w="4320"/>
            <w:shd w:val="clear" w:color="auto" w:fill="DFFFD6"/>
          </w:tcPr>
          <w:p>
            <w:r>
              <w:rPr>
                <w:b/>
              </w:rPr>
              <w:t>Prix d'entrée</w:t>
            </w:r>
          </w:p>
        </w:tc>
        <w:tc>
          <w:tcPr>
            <w:tcW w:type="dxa" w:w="4320"/>
            <w:shd w:val="clear" w:color="auto" w:fill="DFFFD6"/>
          </w:tcPr>
          <w:p>
            <w:r>
              <w:t>10,127.915</w:t>
            </w:r>
          </w:p>
        </w:tc>
      </w:tr>
      <w:tr>
        <w:tc>
          <w:tcPr>
            <w:tcW w:type="dxa" w:w="4320"/>
            <w:shd w:val="clear" w:color="auto" w:fill="DFFFD6"/>
          </w:tcPr>
          <w:p>
            <w:r>
              <w:rPr>
                <w:b/>
              </w:rPr>
              <w:t>Stop Loss</w:t>
            </w:r>
          </w:p>
        </w:tc>
        <w:tc>
          <w:tcPr>
            <w:tcW w:type="dxa" w:w="4320"/>
            <w:shd w:val="clear" w:color="auto" w:fill="DFFFD6"/>
          </w:tcPr>
          <w:p>
            <w:r>
              <w:t>10,175.882  (48.0 pips de risque)</w:t>
            </w:r>
          </w:p>
        </w:tc>
      </w:tr>
      <w:tr>
        <w:tc>
          <w:tcPr>
            <w:tcW w:type="dxa" w:w="4320"/>
            <w:shd w:val="clear" w:color="auto" w:fill="DFFFD6"/>
          </w:tcPr>
          <w:p>
            <w:r>
              <w:rPr>
                <w:b/>
              </w:rPr>
              <w:t>Take Profit</w:t>
            </w:r>
          </w:p>
        </w:tc>
        <w:tc>
          <w:tcPr>
            <w:tcW w:type="dxa" w:w="4320"/>
            <w:shd w:val="clear" w:color="auto" w:fill="DFFFD6"/>
          </w:tcPr>
          <w:p>
            <w:r>
              <w:t>10,031.982  (95.9 pips de gain)</w:t>
            </w:r>
          </w:p>
        </w:tc>
      </w:tr>
      <w:tr>
        <w:tc>
          <w:tcPr>
            <w:tcW w:type="dxa" w:w="4320"/>
            <w:shd w:val="clear" w:color="auto" w:fill="DFFFD6"/>
          </w:tcPr>
          <w:p>
            <w:r>
              <w:rPr>
                <w:b/>
              </w:rPr>
              <w:t>Ratio R/R</w:t>
            </w:r>
          </w:p>
        </w:tc>
        <w:tc>
          <w:tcPr>
            <w:tcW w:type="dxa" w:w="4320"/>
            <w:shd w:val="clear" w:color="auto" w:fill="DFFFD6"/>
          </w:tcPr>
          <w:p>
            <w:r>
              <w:t>1 : 2.0</w:t>
            </w:r>
          </w:p>
        </w:tc>
      </w:tr>
      <w:tr>
        <w:tc>
          <w:tcPr>
            <w:tcW w:type="dxa" w:w="4320"/>
            <w:shd w:val="clear" w:color="auto" w:fill="DFFFD6"/>
          </w:tcPr>
          <w:p>
            <w:r>
              <w:rPr>
                <w:b/>
              </w:rPr>
              <w:t>Prix actuel</w:t>
            </w:r>
          </w:p>
        </w:tc>
        <w:tc>
          <w:tcPr>
            <w:tcW w:type="dxa" w:w="4320"/>
            <w:shd w:val="clear" w:color="auto" w:fill="DFFFD6"/>
          </w:tcPr>
          <w:p>
            <w:r>
              <w:t>10,127.915</w:t>
            </w:r>
          </w:p>
        </w:tc>
      </w:tr>
    </w:tbl>
    <w:p/>
    <w:p>
      <w:r>
        <w:rPr>
          <w:b/>
          <w:color w:val="B41E1E"/>
          <w:sz w:val="22"/>
        </w:rPr>
        <w:t xml:space="preserve">  Signal 2 — Agressif    — Ordre Limite</w:t>
      </w:r>
    </w:p>
    <w:tbl>
      <w:tblPr>
        <w:tblStyle w:val="TableGrid"/>
        <w:tblW w:type="auto" w:w="0"/>
        <w:tblLook w:firstColumn="1" w:firstRow="1" w:lastColumn="0" w:lastRow="0" w:noHBand="0" w:noVBand="1" w:val="04A0"/>
      </w:tblPr>
      <w:tblGrid>
        <w:gridCol w:w="4320"/>
        <w:gridCol w:w="4320"/>
      </w:tblGrid>
      <w:tr>
        <w:tc>
          <w:tcPr>
            <w:tcW w:type="dxa" w:w="4320"/>
            <w:shd w:val="clear" w:color="auto" w:fill="FFF3CD"/>
          </w:tcPr>
          <w:p>
            <w:r>
              <w:rPr>
                <w:b/>
              </w:rPr>
              <w:t>Type d'ordre</w:t>
            </w:r>
          </w:p>
        </w:tc>
        <w:tc>
          <w:tcPr>
            <w:tcW w:type="dxa" w:w="4320"/>
            <w:shd w:val="clear" w:color="auto" w:fill="FFF3CD"/>
          </w:tcPr>
          <w:p>
            <w:r>
              <w:t>LIMIT</w:t>
            </w:r>
          </w:p>
        </w:tc>
      </w:tr>
      <w:tr>
        <w:tc>
          <w:tcPr>
            <w:tcW w:type="dxa" w:w="4320"/>
            <w:shd w:val="clear" w:color="auto" w:fill="FFF3CD"/>
          </w:tcPr>
          <w:p>
            <w:r>
              <w:rPr>
                <w:b/>
              </w:rPr>
              <w:t>Direction</w:t>
            </w:r>
          </w:p>
        </w:tc>
        <w:tc>
          <w:tcPr>
            <w:tcW w:type="dxa" w:w="4320"/>
            <w:shd w:val="clear" w:color="auto" w:fill="FFF3CD"/>
          </w:tcPr>
          <w:p>
            <w:r>
              <w:t>SELL</w:t>
            </w:r>
          </w:p>
        </w:tc>
      </w:tr>
      <w:tr>
        <w:tc>
          <w:tcPr>
            <w:tcW w:type="dxa" w:w="4320"/>
            <w:shd w:val="clear" w:color="auto" w:fill="FFF3CD"/>
          </w:tcPr>
          <w:p>
            <w:r>
              <w:rPr>
                <w:b/>
              </w:rPr>
              <w:t>Prix d'entrée</w:t>
            </w:r>
          </w:p>
        </w:tc>
        <w:tc>
          <w:tcPr>
            <w:tcW w:type="dxa" w:w="4320"/>
            <w:shd w:val="clear" w:color="auto" w:fill="FFF3CD"/>
          </w:tcPr>
          <w:p>
            <w:r>
              <w:t>10,151.899</w:t>
            </w:r>
          </w:p>
        </w:tc>
      </w:tr>
      <w:tr>
        <w:tc>
          <w:tcPr>
            <w:tcW w:type="dxa" w:w="4320"/>
            <w:shd w:val="clear" w:color="auto" w:fill="FFF3CD"/>
          </w:tcPr>
          <w:p>
            <w:r>
              <w:rPr>
                <w:b/>
              </w:rPr>
              <w:t>Stop Loss</w:t>
            </w:r>
          </w:p>
        </w:tc>
        <w:tc>
          <w:tcPr>
            <w:tcW w:type="dxa" w:w="4320"/>
            <w:shd w:val="clear" w:color="auto" w:fill="FFF3CD"/>
          </w:tcPr>
          <w:p>
            <w:r>
              <w:t>10,190.272  (38.4 pips de risque)</w:t>
            </w:r>
          </w:p>
        </w:tc>
      </w:tr>
      <w:tr>
        <w:tc>
          <w:tcPr>
            <w:tcW w:type="dxa" w:w="4320"/>
            <w:shd w:val="clear" w:color="auto" w:fill="FFF3CD"/>
          </w:tcPr>
          <w:p>
            <w:r>
              <w:rPr>
                <w:b/>
              </w:rPr>
              <w:t>Take Profit</w:t>
            </w:r>
          </w:p>
        </w:tc>
        <w:tc>
          <w:tcPr>
            <w:tcW w:type="dxa" w:w="4320"/>
            <w:shd w:val="clear" w:color="auto" w:fill="FFF3CD"/>
          </w:tcPr>
          <w:p>
            <w:r>
              <w:t>10,031.982  (119.9 pips de gain)</w:t>
            </w:r>
          </w:p>
        </w:tc>
      </w:tr>
      <w:tr>
        <w:tc>
          <w:tcPr>
            <w:tcW w:type="dxa" w:w="4320"/>
            <w:shd w:val="clear" w:color="auto" w:fill="FFF3CD"/>
          </w:tcPr>
          <w:p>
            <w:r>
              <w:rPr>
                <w:b/>
              </w:rPr>
              <w:t>Ratio R/R</w:t>
            </w:r>
          </w:p>
        </w:tc>
        <w:tc>
          <w:tcPr>
            <w:tcW w:type="dxa" w:w="4320"/>
            <w:shd w:val="clear" w:color="auto" w:fill="FFF3CD"/>
          </w:tcPr>
          <w:p>
            <w:r>
              <w:t>1 : 3.12</w:t>
            </w:r>
          </w:p>
        </w:tc>
      </w:tr>
      <w:tr>
        <w:tc>
          <w:tcPr>
            <w:tcW w:type="dxa" w:w="4320"/>
            <w:shd w:val="clear" w:color="auto" w:fill="FFF3CD"/>
          </w:tcPr>
          <w:p>
            <w:r>
              <w:rPr>
                <w:b/>
              </w:rPr>
              <w:t>Prix actuel</w:t>
            </w:r>
          </w:p>
        </w:tc>
        <w:tc>
          <w:tcPr>
            <w:tcW w:type="dxa" w:w="4320"/>
            <w:shd w:val="clear" w:color="auto" w:fill="FFF3CD"/>
          </w:tcPr>
          <w:p>
            <w:r>
              <w:t>10,127.915</w:t>
            </w:r>
          </w:p>
        </w:tc>
      </w:tr>
    </w:tbl>
    <w:p/>
    <w:p>
      <w:pPr>
        <w:pBdr>
          <w:bottom w:val="single" w:sz="6" w:space="1" w:color="CCCCCC"/>
        </w:pBdr>
      </w:pPr>
    </w:p>
    <w:p/>
    <w:p>
      <w:pPr>
        <w:jc w:val="center"/>
      </w:pPr>
      <w:r>
        <w:drawing>
          <wp:inline xmlns:a="http://schemas.openxmlformats.org/drawingml/2006/main" xmlns:pic="http://schemas.openxmlformats.org/drawingml/2006/picture">
            <wp:extent cx="2011680" cy="1605963"/>
            <wp:docPr id="1" name="Picture 1"/>
            <wp:cNvGraphicFramePr>
              <a:graphicFrameLocks noChangeAspect="1"/>
            </wp:cNvGraphicFramePr>
            <a:graphic>
              <a:graphicData uri="http://schemas.openxmlformats.org/drawingml/2006/picture">
                <pic:pic>
                  <pic:nvPicPr>
                    <pic:cNvPr id="0" name="tmpbjbih9ff.png"/>
                    <pic:cNvPicPr/>
                  </pic:nvPicPr>
                  <pic:blipFill>
                    <a:blip r:embed="rId9"/>
                    <a:stretch>
                      <a:fillRect/>
                    </a:stretch>
                  </pic:blipFill>
                  <pic:spPr>
                    <a:xfrm>
                      <a:off x="0" y="0"/>
                      <a:ext cx="2011680" cy="1605963"/>
                    </a:xfrm>
                    <a:prstGeom prst="rect"/>
                  </pic:spPr>
                </pic:pic>
              </a:graphicData>
            </a:graphic>
          </wp:inline>
        </w:drawing>
      </w:r>
      <w:r>
        <w:t xml:space="preserve">    </w:t>
      </w:r>
      <w:r>
        <w:drawing>
          <wp:inline xmlns:a="http://schemas.openxmlformats.org/drawingml/2006/main" xmlns:pic="http://schemas.openxmlformats.org/drawingml/2006/picture">
            <wp:extent cx="2743200" cy="2044183"/>
            <wp:docPr id="2" name="Picture 2"/>
            <wp:cNvGraphicFramePr>
              <a:graphicFrameLocks noChangeAspect="1"/>
            </wp:cNvGraphicFramePr>
            <a:graphic>
              <a:graphicData uri="http://schemas.openxmlformats.org/drawingml/2006/picture">
                <pic:pic>
                  <pic:nvPicPr>
                    <pic:cNvPr id="0" name="tmpbmn6iw0j.png"/>
                    <pic:cNvPicPr/>
                  </pic:nvPicPr>
                  <pic:blipFill>
                    <a:blip r:embed="rId10"/>
                    <a:stretch>
                      <a:fillRect/>
                    </a:stretch>
                  </pic:blipFill>
                  <pic:spPr>
                    <a:xfrm>
                      <a:off x="0" y="0"/>
                      <a:ext cx="2743200" cy="2044183"/>
                    </a:xfrm>
                    <a:prstGeom prst="rect"/>
                  </pic:spPr>
                </pic:pic>
              </a:graphicData>
            </a:graphic>
          </wp:inline>
        </w:drawing>
      </w:r>
    </w:p>
    <w:p>
      <w:pPr>
        <w:pBdr>
          <w:bottom w:val="single" w:sz="6" w:space="1" w:color="CCCCCC"/>
        </w:pBdr>
      </w:pPr>
    </w:p>
    <w:p>
      <w:pPr>
        <w:pStyle w:val="Heading2"/>
        <w:jc w:val="left"/>
      </w:pPr>
      <w:r>
        <w:rPr>
          <w:color w:val="1E3C78"/>
        </w:rPr>
        <w:t>Indicateurs Techniques (TradBOT — M1)</w:t>
      </w:r>
    </w:p>
    <w:p>
      <w:pPr>
        <w:jc w:val="center"/>
      </w:pPr>
      <w:r>
        <w:drawing>
          <wp:inline xmlns:a="http://schemas.openxmlformats.org/drawingml/2006/main" xmlns:pic="http://schemas.openxmlformats.org/drawingml/2006/picture">
            <wp:extent cx="4114800" cy="2971048"/>
            <wp:docPr id="3" name="Picture 3"/>
            <wp:cNvGraphicFramePr>
              <a:graphicFrameLocks noChangeAspect="1"/>
            </wp:cNvGraphicFramePr>
            <a:graphic>
              <a:graphicData uri="http://schemas.openxmlformats.org/drawingml/2006/picture">
                <pic:pic>
                  <pic:nvPicPr>
                    <pic:cNvPr id="0" name="tmp4fcetrc_.png"/>
                    <pic:cNvPicPr/>
                  </pic:nvPicPr>
                  <pic:blipFill>
                    <a:blip r:embed="rId11"/>
                    <a:stretch>
                      <a:fillRect/>
                    </a:stretch>
                  </pic:blipFill>
                  <pic:spPr>
                    <a:xfrm>
                      <a:off x="0" y="0"/>
                      <a:ext cx="4114800" cy="2971048"/>
                    </a:xfrm>
                    <a:prstGeom prst="rect"/>
                  </pic:spPr>
                </pic:pic>
              </a:graphicData>
            </a:graphic>
          </wp:inline>
        </w:drawing>
      </w:r>
    </w:p>
    <w:p/>
    <w:p>
      <w:pPr>
        <w:pBdr>
          <w:bottom w:val="single" w:sz="6" w:space="1" w:color="CCCCCC"/>
        </w:pBdr>
      </w:pPr>
    </w:p>
    <w:p>
      <w:pPr>
        <w:pStyle w:val="Heading2"/>
        <w:jc w:val="left"/>
      </w:pPr>
      <w:r>
        <w:rPr>
          <w:color w:val="1E3C78"/>
        </w:rPr>
        <w:t>Décision Portfolio Manager</w:t>
      </w:r>
    </w:p>
    <w:p>
      <w:pPr>
        <w:jc w:val="both"/>
      </w:pPr>
      <w:r>
        <w:rPr>
          <w:b/>
          <w:sz w:val="22"/>
        </w:rPr>
        <w:t>Rating</w:t>
      </w:r>
      <w:r>
        <w:rPr>
          <w:sz w:val="22"/>
        </w:rPr>
        <w:t>: Underweight</w:t>
      </w:r>
    </w:p>
    <w:p>
      <w:pPr>
        <w:jc w:val="both"/>
      </w:pPr>
      <w:r>
        <w:rPr>
          <w:b/>
          <w:sz w:val="20"/>
        </w:rPr>
        <w:t>Executive Summary</w:t>
      </w:r>
      <w:r>
        <w:rPr>
          <w:sz w:val="20"/>
        </w:rPr>
        <w:t>: Initiate an Underweight position with 15-20% allocation and stop-loss at 10,080, implementing a disciplined scaling strategy. Add 10-15% exposure only upon confirmed break above 10,220 with RSI&gt;50; reduce position by 50% if price weakens below 10,100. This approach captures short-term reversal signals (RSI recovery from 26→44, positive MACD histogram +2.18) while respecting structural bearishness (price below 50/200 SMAs, impending death cross, synthetic gap risk). Time horizon: 2-4 weeks for initial bounce to 10,200-10,220.</w:t>
      </w:r>
    </w:p>
    <w:p>
      <w:pPr>
        <w:jc w:val="both"/>
      </w:pPr>
      <w:r>
        <w:rPr>
          <w:b/>
          <w:sz w:val="20"/>
        </w:rPr>
        <w:t>Investment Thesis</w:t>
      </w:r>
      <w:r>
        <w:rPr>
          <w:sz w:val="20"/>
        </w:rPr>
        <w:t>: The synthesis of the analysts' debate reveals CRASH150N presents a classic inflection point requiring nuanced position management rather than binary conviction. The aggressive analyst correctly identifies legitimate short-term reversal indicators: RSI capitulation at 26 followed by recovery to 44 represents genuine selling exhaustion, the first positive MACD histogram (+2.18) since April 30th signals momentum shift, and the double-bottom zone (10,046-10,123, less than 1% variance) combined with Bollinger Band compression (narrowed from 493→271 points) creates foundation for a tactical bounce to 10,200-10,220 range.</w:t>
      </w:r>
    </w:p>
    <w:p>
      <w:pPr>
        <w:jc w:val="both"/>
      </w:pPr>
      <w:r>
        <w:rPr>
          <w:sz w:val="20"/>
        </w:rPr>
        <w:t>However, the conservative analyst's structural concerns cannot be dismissed. CRASH150N trades below both the 50 SMA (10,265) and 200 SMA (10,220) with an impending death cross (only 45 points separation), creating five resistance layers within 3% overhead. Critically, as a synthetic crash index, the instrument exhibits asymmetric gap risk-the aggressive analyst's 4:1 risk-reward calculation assumes perfect stop execution at 10,080, but flash crashes could easily penetrate 150-200 points beyond stops before filling, destroying the favorable risk-reward mathematics. The complete absence of sentiment data (zero news, StockTwits unavailable, no Reddit mentions) indicates illiquidity concerns, not merely "uncrowded positioning."</w:t>
      </w:r>
    </w:p>
    <w:p>
      <w:pPr>
        <w:jc w:val="both"/>
      </w:pPr>
      <w:r>
        <w:rPr>
          <w:sz w:val="20"/>
        </w:rPr>
        <w:t>The neutral analyst provides the decisive framework: we face legitimate SHORT-TERM reversal signals within a MEDIUM-TERM bearish structure. The 55% bullish probability cited in research applies only to a 70-90 point bounce to 10,200, not the aggressive analyst's extrapolated 200-300 point rally to 10,400. The conservative recommendation of 10-15% with ultra-tight 10,060 stop creates position too small to impact returns while still exposed to gap risk. Conversely, the aggressive 25-30% allocation overcommits capital to an unconfirmed pattern in structurally bearish conditions.</w:t>
      </w:r>
    </w:p>
    <w:p>
      <w:pPr>
        <w:jc w:val="both"/>
      </w:pPr>
      <w:r>
        <w:rPr>
          <w:sz w:val="20"/>
        </w:rPr>
        <w:t>The optimal strategy synthesizes both perspectives: start with 15-20% allocation at current levels (10,127), maintaining the 10,080 stop that provides room for normal volatility while protecting the double-bottom support zone. Implement conditional scaling: add 10-15% only upon confirmed break above 10,220 with RSI&gt;50, bringing total to 25-30% for potential extension to 10,265-10,300. Conversely, reduce position by 50% if price weakens below 10,100, taking small loss before stop trigger. This framework captures the tactical bounce opportunity while requiring technical proof-of-strength before committing full capital to a trend reversal that must overcome death cross dynamics and five resistance zones.</w:t>
      </w:r>
    </w:p>
    <w:p>
      <w:pPr>
        <w:jc w:val="both"/>
      </w:pPr>
      <w:r>
        <w:rPr>
          <w:sz w:val="20"/>
        </w:rPr>
        <w:t>The TradBOT ML signal showing SELL with 63% confidence and 95.8% model precision on 140 samples provides additional weight to maintaining reduced exposure. Current price of 10,127 sits just 20 points above critical support and 93 points below first major resistance at 10,220. ATR of 47.96 confirms the 10,080 stop placement aligns with normal daily volatility ranges. Position sizing at 50% of normal allocation (per research guidance) combined with scaling rules creates asymmetric payoff: limited downside of 47 points (0.46%) to stop vs. potential 75-95 points (0.74-0.94%) to 10,200-10,220 on initial position, with option value to capture 145-175 points to 10,265-10,300 only if confirmation materializes. This disciplined approach respects both the tactical opportunity and the synthetic instrument's inherent crash-bias design.</w:t>
      </w:r>
    </w:p>
    <w:p>
      <w:pPr>
        <w:jc w:val="both"/>
      </w:pPr>
      <w:r>
        <w:rPr>
          <w:b/>
          <w:sz w:val="22"/>
        </w:rPr>
        <w:t>Price Target</w:t>
      </w:r>
      <w:r>
        <w:rPr>
          <w:sz w:val="22"/>
        </w:rPr>
        <w:t>: 10220.0</w:t>
      </w:r>
    </w:p>
    <w:p>
      <w:pPr>
        <w:jc w:val="both"/>
      </w:pPr>
      <w:r>
        <w:rPr>
          <w:b/>
          <w:sz w:val="22"/>
        </w:rPr>
        <w:t>Time Horizon</w:t>
      </w:r>
      <w:r>
        <w:rPr>
          <w:sz w:val="22"/>
        </w:rPr>
        <w:t>: 2-4 weeks</w:t>
      </w:r>
    </w:p>
    <w:p>
      <w:pPr>
        <w:pBdr>
          <w:bottom w:val="single" w:sz="6" w:space="1" w:color="CCCCCC"/>
        </w:pBdr>
      </w:pPr>
    </w:p>
    <w:p>
      <w:pPr>
        <w:pStyle w:val="Heading2"/>
        <w:jc w:val="left"/>
      </w:pPr>
      <w:r>
        <w:rPr>
          <w:color w:val="1E643C"/>
        </w:rPr>
        <w:t>Plan Trader</w:t>
      </w:r>
    </w:p>
    <w:p>
      <w:pPr>
        <w:jc w:val="both"/>
      </w:pPr>
      <w:r>
        <w:rPr>
          <w:b/>
          <w:sz w:val="22"/>
        </w:rPr>
        <w:t>Action</w:t>
      </w:r>
      <w:r>
        <w:rPr>
          <w:sz w:val="22"/>
        </w:rPr>
        <w:t>: Hold</w:t>
      </w:r>
    </w:p>
    <w:p>
      <w:pPr>
        <w:jc w:val="both"/>
      </w:pPr>
      <w:r>
        <w:rPr>
          <w:b/>
          <w:sz w:val="20"/>
        </w:rPr>
        <w:t>Reasoning</w:t>
      </w:r>
      <w:r>
        <w:rPr>
          <w:sz w:val="20"/>
        </w:rPr>
        <w:t>: The comprehensive analysis reveals CRASH150N is at a critical inflection point with conflicting signals: genuine technical recovery signs (RSI bounce from 26 to 42, positive MACD histogram) versus overwhelming structural bearishness (price below 50/200 SMAs, impending death cross, five resistance layers within 3%). The research plan recommends "Underweight" with explicit guidance to reduce existing exposure by 50-70% but avoid new positions until confirmation-either a break below 10,000 (bearish) or above 10,265 (bullish). Given the synthetic instrument's gap risk and unconfirmed double bottom pattern, the disciplined action is Hold with tight risk management, awaiting directional confirmation rather than speculating in this high-risk, low-conviction environment.</w:t>
      </w:r>
    </w:p>
    <w:p>
      <w:pPr>
        <w:jc w:val="both"/>
      </w:pPr>
      <w:r>
        <w:rPr>
          <w:b/>
          <w:sz w:val="22"/>
        </w:rPr>
        <w:t>Stop Loss</w:t>
      </w:r>
      <w:r>
        <w:rPr>
          <w:sz w:val="22"/>
        </w:rPr>
        <w:t>: 10080.0</w:t>
      </w:r>
    </w:p>
    <w:p>
      <w:pPr>
        <w:jc w:val="both"/>
      </w:pPr>
      <w:r>
        <w:rPr>
          <w:b/>
          <w:sz w:val="22"/>
        </w:rPr>
        <w:t>Position Sizing</w:t>
      </w:r>
      <w:r>
        <w:rPr>
          <w:sz w:val="22"/>
        </w:rPr>
        <w:t>: 25-30% of normal allocation maximum; reduce any existing positions by 50-70%</w:t>
      </w:r>
    </w:p>
    <w:p>
      <w:pPr>
        <w:jc w:val="both"/>
      </w:pPr>
      <w:r>
        <w:rPr>
          <w:sz w:val="22"/>
        </w:rPr>
        <w:t xml:space="preserve">FINAL TRANSACTION PROPOSAL: </w:t>
      </w:r>
      <w:r>
        <w:rPr>
          <w:b/>
          <w:sz w:val="22"/>
        </w:rPr>
        <w:t>HOLD</w:t>
      </w:r>
    </w:p>
    <w:p>
      <w:pPr>
        <w:pBdr>
          <w:bottom w:val="single" w:sz="6" w:space="1" w:color="CCCCCC"/>
        </w:pBdr>
      </w:pPr>
    </w:p>
    <w:p>
      <w:pPr>
        <w:pStyle w:val="Heading2"/>
        <w:jc w:val="left"/>
      </w:pPr>
      <w:r>
        <w:rPr>
          <w:color w:val="502878"/>
        </w:rPr>
        <w:t>Rapport Marché</w:t>
      </w:r>
    </w:p>
    <w:p>
      <w:pPr>
        <w:jc w:val="both"/>
      </w:pPr>
      <w:r>
        <w:rPr>
          <w:sz w:val="22"/>
        </w:rPr>
        <w:t>Excellent! Now I have all the data I need. Let me create a comprehensive technical analysis report for CRASH150N.</w:t>
      </w:r>
    </w:p>
    <w:p>
      <w:pPr>
        <w:pBdr>
          <w:bottom w:val="single" w:sz="6" w:space="1" w:color="CCCCCC"/>
        </w:pBdr>
      </w:pPr>
    </w:p>
    <w:p>
      <w:pPr>
        <w:pStyle w:val="Heading2"/>
        <w:jc w:val="left"/>
      </w:pPr>
      <w:r>
        <w:rPr>
          <w:color w:val="502878"/>
          <w:sz w:val="28"/>
        </w:rPr>
        <w:t>**CRASH150N Technical Analysis Report**</w:t>
      </w:r>
    </w:p>
    <w:p>
      <w:pPr>
        <w:pStyle w:val="Heading3"/>
        <w:jc w:val="left"/>
      </w:pPr>
      <w:r>
        <w:rPr>
          <w:color w:val="502878"/>
          <w:sz w:val="24"/>
        </w:rPr>
        <w:t>**Executive Summary**</w:t>
      </w:r>
    </w:p>
    <w:p>
      <w:pPr>
        <w:jc w:val="both"/>
      </w:pPr>
      <w:r>
        <w:rPr>
          <w:sz w:val="20"/>
        </w:rPr>
        <w:t xml:space="preserve">CRASH150N is currently experiencing a </w:t>
      </w:r>
      <w:r>
        <w:rPr>
          <w:b/>
          <w:sz w:val="20"/>
        </w:rPr>
        <w:t>significant downtrend with recent oversold conditions</w:t>
      </w:r>
      <w:r>
        <w:rPr>
          <w:sz w:val="20"/>
        </w:rPr>
        <w:t xml:space="preserve">, presenting potential reversal signals for cautious traders. The synthetic index has declined sharply from its February peak of 10,490 to the current level of 10,127, representing a </w:t>
      </w:r>
      <w:r>
        <w:rPr>
          <w:b/>
          <w:sz w:val="20"/>
        </w:rPr>
        <w:t>decline of approximately 3.5%</w:t>
      </w:r>
      <w:r>
        <w:rPr>
          <w:sz w:val="20"/>
        </w:rPr>
        <w:t>. Multiple technical indicators suggest the market is oversold, yet longer-term moving averages indicate the bearish trend remains intact. This creates a complex environment where short-term bounce opportunities may exist within an overall downtrend.</w:t>
      </w:r>
    </w:p>
    <w:p>
      <w:pPr>
        <w:pBdr>
          <w:bottom w:val="single" w:sz="6" w:space="1" w:color="CCCCCC"/>
        </w:pBdr>
      </w:pPr>
    </w:p>
    <w:p>
      <w:pPr>
        <w:pStyle w:val="Heading3"/>
        <w:jc w:val="left"/>
      </w:pPr>
      <w:r>
        <w:rPr>
          <w:color w:val="502878"/>
          <w:sz w:val="24"/>
        </w:rPr>
        <w:t>**Selected Indicator Rationale**</w:t>
      </w:r>
    </w:p>
    <w:p>
      <w:pPr>
        <w:jc w:val="both"/>
      </w:pPr>
      <w:r>
        <w:rPr>
          <w:sz w:val="22"/>
        </w:rPr>
        <w:t xml:space="preserve">For CRASH150N, I selected </w:t>
      </w:r>
      <w:r>
        <w:rPr>
          <w:b/>
          <w:sz w:val="22"/>
        </w:rPr>
        <w:t>8 complementary indicators</w:t>
      </w:r>
      <w:r>
        <w:rPr>
          <w:sz w:val="22"/>
        </w:rPr>
        <w:t xml:space="preserve"> to provide a comprehensive view:</w:t>
      </w:r>
    </w:p>
    <w:p>
      <w:pPr>
        <w:pStyle w:val="ListNumber"/>
      </w:pPr>
      <w:r>
        <w:rPr>
          <w:b/>
          <w:sz w:val="20"/>
        </w:rPr>
        <w:t>200 SMA</w:t>
      </w:r>
      <w:r>
        <w:rPr>
          <w:sz w:val="20"/>
        </w:rPr>
        <w:t xml:space="preserve"> - Long-term trend benchmark (currently at 10,220)</w:t>
      </w:r>
    </w:p>
    <w:p>
      <w:pPr>
        <w:pStyle w:val="ListNumber"/>
      </w:pPr>
      <w:r>
        <w:rPr>
          <w:b/>
          <w:sz w:val="20"/>
        </w:rPr>
        <w:t>50 SMA</w:t>
      </w:r>
      <w:r>
        <w:rPr>
          <w:sz w:val="20"/>
        </w:rPr>
        <w:t xml:space="preserve"> - Medium-term trend indicator (currently at 10,265)</w:t>
      </w:r>
    </w:p>
    <w:p>
      <w:pPr>
        <w:pStyle w:val="ListNumber"/>
      </w:pPr>
      <w:r>
        <w:rPr>
          <w:b/>
          <w:sz w:val="20"/>
        </w:rPr>
        <w:t>10 EMA</w:t>
      </w:r>
      <w:r>
        <w:rPr>
          <w:sz w:val="20"/>
        </w:rPr>
        <w:t xml:space="preserve"> - Short-term momentum tracker (currently at 10,104)</w:t>
      </w:r>
    </w:p>
    <w:p>
      <w:pPr>
        <w:pStyle w:val="ListNumber"/>
      </w:pPr>
      <w:r>
        <w:rPr>
          <w:b/>
          <w:sz w:val="20"/>
        </w:rPr>
        <w:t>RSI</w:t>
      </w:r>
      <w:r>
        <w:rPr>
          <w:sz w:val="20"/>
        </w:rPr>
        <w:t xml:space="preserve"> - Momentum oscillator for overbought/oversold conditions</w:t>
      </w:r>
    </w:p>
    <w:p>
      <w:pPr>
        <w:pStyle w:val="ListNumber"/>
      </w:pPr>
      <w:r>
        <w:rPr>
          <w:b/>
          <w:sz w:val="20"/>
        </w:rPr>
        <w:t>MACD</w:t>
      </w:r>
      <w:r>
        <w:rPr>
          <w:sz w:val="20"/>
        </w:rPr>
        <w:t xml:space="preserve"> - Trend momentum and potential reversal signals</w:t>
      </w:r>
    </w:p>
    <w:p>
      <w:pPr>
        <w:pStyle w:val="ListNumber"/>
      </w:pPr>
      <w:r>
        <w:rPr>
          <w:b/>
          <w:sz w:val="20"/>
        </w:rPr>
        <w:t>MACD Histogram</w:t>
      </w:r>
      <w:r>
        <w:rPr>
          <w:sz w:val="20"/>
        </w:rPr>
        <w:t xml:space="preserve"> - Visual momentum strength and divergence detection</w:t>
      </w:r>
    </w:p>
    <w:p>
      <w:pPr>
        <w:pStyle w:val="ListNumber"/>
      </w:pPr>
      <w:r>
        <w:rPr>
          <w:b/>
          <w:sz w:val="20"/>
        </w:rPr>
        <w:t>Bollinger Upper Band</w:t>
      </w:r>
      <w:r>
        <w:rPr>
          <w:sz w:val="20"/>
        </w:rPr>
        <w:t xml:space="preserve"> - Volatility and resistance levels</w:t>
      </w:r>
    </w:p>
    <w:p>
      <w:pPr>
        <w:pStyle w:val="ListNumber"/>
      </w:pPr>
      <w:r>
        <w:rPr>
          <w:b/>
          <w:sz w:val="20"/>
        </w:rPr>
        <w:t>Bollinger Lower Band</w:t>
      </w:r>
      <w:r>
        <w:rPr>
          <w:sz w:val="20"/>
        </w:rPr>
        <w:t xml:space="preserve"> - Volatility and support levels</w:t>
      </w:r>
    </w:p>
    <w:p>
      <w:pPr>
        <w:jc w:val="both"/>
      </w:pPr>
      <w:r>
        <w:rPr>
          <w:sz w:val="22"/>
        </w:rPr>
        <w:t xml:space="preserve">These indicators provide </w:t>
      </w:r>
      <w:r>
        <w:rPr>
          <w:b/>
          <w:sz w:val="22"/>
        </w:rPr>
        <w:t>trend confirmation</w:t>
      </w:r>
      <w:r>
        <w:rPr>
          <w:sz w:val="22"/>
        </w:rPr>
        <w:t xml:space="preserve"> (moving averages), </w:t>
      </w:r>
      <w:r>
        <w:rPr>
          <w:b/>
          <w:sz w:val="22"/>
        </w:rPr>
        <w:t>momentum analysis</w:t>
      </w:r>
      <w:r>
        <w:rPr>
          <w:sz w:val="22"/>
        </w:rPr>
        <w:t xml:space="preserve"> (RSI, MACD), and </w:t>
      </w:r>
      <w:r>
        <w:rPr>
          <w:b/>
          <w:sz w:val="22"/>
        </w:rPr>
        <w:t>volatility assessment</w:t>
      </w:r>
      <w:r>
        <w:rPr>
          <w:sz w:val="22"/>
        </w:rPr>
        <w:t xml:space="preserve"> (Bollinger Bands), creating a balanced analytical framework.</w:t>
      </w:r>
    </w:p>
    <w:p>
      <w:pPr>
        <w:pBdr>
          <w:bottom w:val="single" w:sz="6" w:space="1" w:color="CCCCCC"/>
        </w:pBdr>
      </w:pPr>
    </w:p>
    <w:p>
      <w:pPr>
        <w:pStyle w:val="Heading3"/>
        <w:jc w:val="left"/>
      </w:pPr>
      <w:r>
        <w:rPr>
          <w:color w:val="502878"/>
          <w:sz w:val="24"/>
        </w:rPr>
        <w:t>**Detailed Technical Analysis**</w:t>
      </w:r>
    </w:p>
    <w:p>
      <w:pPr>
        <w:pStyle w:val="Heading4"/>
        <w:jc w:val="left"/>
      </w:pPr>
      <w:r>
        <w:rPr>
          <w:color w:val="502878"/>
          <w:sz w:val="22"/>
        </w:rPr>
        <w:t>**1. Trend Analysis: Bearish Structure with Potential Support**</w:t>
      </w:r>
    </w:p>
    <w:p>
      <w:r>
        <w:rPr>
          <w:b/>
          <w:sz w:val="20"/>
        </w:rPr>
        <w:t>Moving Average Positioning:</w:t>
      </w:r>
    </w:p>
    <w:p>
      <w:pPr>
        <w:jc w:val="both"/>
      </w:pPr>
      <w:r>
        <w:rPr>
          <w:sz w:val="20"/>
        </w:rPr>
        <w:t xml:space="preserve">- </w:t>
      </w:r>
      <w:r>
        <w:rPr>
          <w:b/>
          <w:sz w:val="20"/>
        </w:rPr>
        <w:t>Current Price:</w:t>
      </w:r>
      <w:r>
        <w:rPr>
          <w:sz w:val="20"/>
        </w:rPr>
        <w:t xml:space="preserve"> 10,127</w:t>
      </w:r>
    </w:p>
    <w:p>
      <w:pPr>
        <w:jc w:val="both"/>
      </w:pPr>
      <w:r>
        <w:rPr>
          <w:sz w:val="20"/>
        </w:rPr>
        <w:t xml:space="preserve">- </w:t>
      </w:r>
      <w:r>
        <w:rPr>
          <w:b/>
          <w:sz w:val="20"/>
        </w:rPr>
        <w:t>10 EMA:</w:t>
      </w:r>
      <w:r>
        <w:rPr>
          <w:sz w:val="20"/>
        </w:rPr>
        <w:t xml:space="preserve"> 10,104 (price slightly above)</w:t>
      </w:r>
    </w:p>
    <w:p>
      <w:pPr>
        <w:jc w:val="both"/>
      </w:pPr>
      <w:r>
        <w:rPr>
          <w:sz w:val="20"/>
        </w:rPr>
        <w:t xml:space="preserve">- </w:t>
      </w:r>
      <w:r>
        <w:rPr>
          <w:b/>
          <w:sz w:val="20"/>
        </w:rPr>
        <w:t>50 SMA:</w:t>
      </w:r>
      <w:r>
        <w:rPr>
          <w:sz w:val="20"/>
        </w:rPr>
        <w:t xml:space="preserve"> 10,265 (price below by 138 points / -1.35%)</w:t>
      </w:r>
    </w:p>
    <w:p>
      <w:pPr>
        <w:jc w:val="both"/>
      </w:pPr>
      <w:r>
        <w:rPr>
          <w:sz w:val="20"/>
        </w:rPr>
        <w:t xml:space="preserve">- </w:t>
      </w:r>
      <w:r>
        <w:rPr>
          <w:b/>
          <w:sz w:val="20"/>
        </w:rPr>
        <w:t>200 SMA:</w:t>
      </w:r>
      <w:r>
        <w:rPr>
          <w:sz w:val="20"/>
        </w:rPr>
        <w:t xml:space="preserve"> 10,220 (price below by 93 points / -0.91%)</w:t>
      </w:r>
    </w:p>
    <w:p>
      <w:r>
        <w:rPr>
          <w:b/>
          <w:sz w:val="20"/>
        </w:rPr>
        <w:t>Key Observations:</w:t>
      </w:r>
    </w:p>
    <w:p>
      <w:pPr>
        <w:jc w:val="both"/>
      </w:pPr>
      <w:r>
        <w:rPr>
          <w:sz w:val="20"/>
        </w:rPr>
        <w:t xml:space="preserve">The price is trading </w:t>
      </w:r>
      <w:r>
        <w:rPr>
          <w:b/>
          <w:sz w:val="20"/>
        </w:rPr>
        <w:t>below both the 50 SMA and 200 SMA</w:t>
      </w:r>
      <w:r>
        <w:rPr>
          <w:sz w:val="20"/>
        </w:rPr>
        <w:t>, confirming a bearish intermediate and long-term trend. The 50 SMA has been declining since late March (from 10,331 to 10,265), demonstrating persistent selling pressure. The 200 SMA, while still trending upward slowly (from 10,180 in February), has flattened considerably and may soon turn downward if the decline continues.</w:t>
      </w:r>
    </w:p>
    <w:p>
      <w:pPr>
        <w:jc w:val="both"/>
      </w:pPr>
      <w:r>
        <w:rPr>
          <w:sz w:val="22"/>
        </w:rPr>
        <w:t xml:space="preserve">The recent price action shows the 10 EMA (10,104) has crossed below both longer-term averages, a classic </w:t>
      </w:r>
      <w:r>
        <w:rPr>
          <w:b/>
          <w:sz w:val="22"/>
        </w:rPr>
        <w:t>bearish signal</w:t>
      </w:r>
      <w:r>
        <w:rPr>
          <w:sz w:val="22"/>
        </w:rPr>
        <w:t>. However, the current price (10,127) is attempting to hold above the 10 EMA, suggesting potential short-term stabilization.</w:t>
      </w:r>
    </w:p>
    <w:p>
      <w:pPr>
        <w:jc w:val="both"/>
      </w:pPr>
      <w:r>
        <w:rPr>
          <w:b/>
          <w:sz w:val="20"/>
        </w:rPr>
        <w:t>Critical Insight:</w:t>
      </w:r>
      <w:r>
        <w:rPr>
          <w:sz w:val="20"/>
        </w:rPr>
        <w:t xml:space="preserve"> The spread between the 50 SMA and 200 SMA has narrowed to just 45 points (10,265 vs. 10,220), suggesting a potential </w:t>
      </w:r>
      <w:r>
        <w:rPr>
          <w:b/>
          <w:sz w:val="20"/>
        </w:rPr>
        <w:t>"death cross"</w:t>
      </w:r>
      <w:r>
        <w:rPr>
          <w:sz w:val="20"/>
        </w:rPr>
        <w:t xml:space="preserve"> formation may be approaching if the decline accelerates. The 50 SMA crossed above the 200 SMA back in early 2026, but this bullish configuration is now at risk.</w:t>
      </w:r>
    </w:p>
    <w:p>
      <w:pPr>
        <w:pStyle w:val="Heading4"/>
        <w:jc w:val="left"/>
      </w:pPr>
      <w:r>
        <w:rPr>
          <w:color w:val="502878"/>
          <w:sz w:val="22"/>
        </w:rPr>
        <w:t>**2. Momentum Analysis: Oversold with Divergence Signals**</w:t>
      </w:r>
    </w:p>
    <w:p>
      <w:r>
        <w:rPr>
          <w:b/>
          <w:sz w:val="20"/>
        </w:rPr>
        <w:t>RSI Analysis:</w:t>
      </w:r>
    </w:p>
    <w:p>
      <w:pPr>
        <w:jc w:val="both"/>
      </w:pPr>
      <w:r>
        <w:rPr>
          <w:sz w:val="20"/>
        </w:rPr>
        <w:t xml:space="preserve">- </w:t>
      </w:r>
      <w:r>
        <w:rPr>
          <w:b/>
          <w:sz w:val="20"/>
        </w:rPr>
        <w:t>Current RSI:</w:t>
      </w:r>
      <w:r>
        <w:rPr>
          <w:sz w:val="20"/>
        </w:rPr>
        <w:t xml:space="preserve"> 42.43 (May 20)</w:t>
      </w:r>
    </w:p>
    <w:p>
      <w:pPr>
        <w:jc w:val="both"/>
      </w:pPr>
      <w:r>
        <w:rPr>
          <w:sz w:val="20"/>
        </w:rPr>
        <w:t xml:space="preserve">- </w:t>
      </w:r>
      <w:r>
        <w:rPr>
          <w:b/>
          <w:sz w:val="20"/>
        </w:rPr>
        <w:t>Recent Low:</w:t>
      </w:r>
      <w:r>
        <w:rPr>
          <w:sz w:val="20"/>
        </w:rPr>
        <w:t xml:space="preserve"> 26.15 (May 15)</w:t>
      </w:r>
    </w:p>
    <w:p>
      <w:pPr>
        <w:jc w:val="both"/>
      </w:pPr>
      <w:r>
        <w:rPr>
          <w:sz w:val="20"/>
        </w:rPr>
        <w:t xml:space="preserve">- </w:t>
      </w:r>
      <w:r>
        <w:rPr>
          <w:b/>
          <w:sz w:val="20"/>
        </w:rPr>
        <w:t>Trend:</w:t>
      </w:r>
      <w:r>
        <w:rPr>
          <w:sz w:val="20"/>
        </w:rPr>
        <w:t xml:space="preserve"> Rising from extreme oversold</w:t>
      </w:r>
    </w:p>
    <w:p>
      <w:pPr>
        <w:jc w:val="both"/>
      </w:pPr>
      <w:r>
        <w:rPr>
          <w:sz w:val="22"/>
        </w:rPr>
        <w:t xml:space="preserve">The RSI dropped to </w:t>
      </w:r>
      <w:r>
        <w:rPr>
          <w:b/>
          <w:sz w:val="22"/>
        </w:rPr>
        <w:t>26.15 on May 15</w:t>
      </w:r>
      <w:r>
        <w:rPr>
          <w:sz w:val="22"/>
        </w:rPr>
        <w:t>, a deeply oversold reading well below the traditional 30 threshold. This marked the most oversold condition since the data period began. Since then, RSI has recovered to 42.43, indicating a relief bounce but still remaining below the neutral 50 level.</w:t>
      </w:r>
    </w:p>
    <w:p>
      <w:pPr>
        <w:jc w:val="both"/>
      </w:pPr>
      <w:r>
        <w:rPr>
          <w:b/>
          <w:sz w:val="22"/>
        </w:rPr>
        <w:t>Key Pattern:</w:t>
      </w:r>
      <w:r>
        <w:rPr>
          <w:sz w:val="22"/>
        </w:rPr>
        <w:t xml:space="preserve"> Between May 10-17, RSI remained in the 26-35 range for 6 consecutive days, suggesting </w:t>
      </w:r>
      <w:r>
        <w:rPr>
          <w:b/>
          <w:sz w:val="22"/>
        </w:rPr>
        <w:t>exhaustion of selling pressure</w:t>
      </w:r>
      <w:r>
        <w:rPr>
          <w:sz w:val="22"/>
        </w:rPr>
        <w:t>. The current recovery to 42 indicates buyers are stepping in at these lower levels.</w:t>
      </w:r>
    </w:p>
    <w:p>
      <w:r>
        <w:rPr>
          <w:b/>
          <w:sz w:val="20"/>
        </w:rPr>
        <w:t>MACD Analysis:</w:t>
      </w:r>
    </w:p>
    <w:p>
      <w:pPr>
        <w:jc w:val="both"/>
      </w:pPr>
      <w:r>
        <w:rPr>
          <w:sz w:val="20"/>
        </w:rPr>
        <w:t xml:space="preserve">- </w:t>
      </w:r>
      <w:r>
        <w:rPr>
          <w:b/>
          <w:sz w:val="20"/>
        </w:rPr>
        <w:t>Current MACD:</w:t>
      </w:r>
      <w:r>
        <w:rPr>
          <w:sz w:val="20"/>
        </w:rPr>
        <w:t xml:space="preserve"> -51.51</w:t>
      </w:r>
    </w:p>
    <w:p>
      <w:pPr>
        <w:jc w:val="both"/>
      </w:pPr>
      <w:r>
        <w:rPr>
          <w:sz w:val="20"/>
        </w:rPr>
        <w:t xml:space="preserve">- </w:t>
      </w:r>
      <w:r>
        <w:rPr>
          <w:b/>
          <w:sz w:val="20"/>
        </w:rPr>
        <w:t>MACD Histogram:</w:t>
      </w:r>
      <w:r>
        <w:rPr>
          <w:sz w:val="20"/>
        </w:rPr>
        <w:t xml:space="preserve"> +2.18 (first positive reading since April 30)</w:t>
      </w:r>
    </w:p>
    <w:p>
      <w:pPr>
        <w:jc w:val="both"/>
      </w:pPr>
      <w:r>
        <w:rPr>
          <w:sz w:val="20"/>
        </w:rPr>
        <w:t xml:space="preserve">- </w:t>
      </w:r>
      <w:r>
        <w:rPr>
          <w:b/>
          <w:sz w:val="20"/>
        </w:rPr>
        <w:t>Peak MACD:</w:t>
      </w:r>
      <w:r>
        <w:rPr>
          <w:sz w:val="20"/>
        </w:rPr>
        <w:t xml:space="preserve"> +39.06 (April 12)</w:t>
      </w:r>
    </w:p>
    <w:p>
      <w:pPr>
        <w:jc w:val="both"/>
      </w:pPr>
      <w:r>
        <w:rPr>
          <w:sz w:val="22"/>
        </w:rPr>
        <w:t xml:space="preserve">The MACD line has been deeply negative since late April, reaching a low of </w:t>
      </w:r>
      <w:r>
        <w:rPr>
          <w:b/>
          <w:sz w:val="22"/>
        </w:rPr>
        <w:t>-61.81 on May 17</w:t>
      </w:r>
      <w:r>
        <w:rPr>
          <w:sz w:val="22"/>
        </w:rPr>
        <w:t xml:space="preserve">. However, the MACD histogram has just turned </w:t>
      </w:r>
      <w:r>
        <w:rPr>
          <w:b/>
          <w:sz w:val="22"/>
        </w:rPr>
        <w:t>positive (+2.18)</w:t>
      </w:r>
      <w:r>
        <w:rPr>
          <w:sz w:val="22"/>
        </w:rPr>
        <w:t xml:space="preserve">, indicating the MACD line is rising faster than its signal line. This is a preliminary </w:t>
      </w:r>
      <w:r>
        <w:rPr>
          <w:b/>
          <w:sz w:val="22"/>
        </w:rPr>
        <w:t>bullish divergence signal</w:t>
      </w:r>
      <w:r>
        <w:rPr>
          <w:sz w:val="22"/>
        </w:rPr>
        <w:t>.</w:t>
      </w:r>
    </w:p>
    <w:p>
      <w:pPr>
        <w:jc w:val="both"/>
      </w:pPr>
      <w:r>
        <w:rPr>
          <w:b/>
          <w:sz w:val="22"/>
        </w:rPr>
        <w:t>Critical Pattern:</w:t>
      </w:r>
      <w:r>
        <w:rPr>
          <w:sz w:val="22"/>
        </w:rPr>
        <w:t xml:space="preserve"> While the price made a new low on May 17 (10,046), the MACD histogram was less negative than previous lows, suggesting </w:t>
      </w:r>
      <w:r>
        <w:rPr>
          <w:b/>
          <w:sz w:val="22"/>
        </w:rPr>
        <w:t>bullish divergence</w:t>
      </w:r>
      <w:r>
        <w:rPr>
          <w:sz w:val="22"/>
        </w:rPr>
        <w:t>. This occurs when price makes lower lows but the momentum indicator makes higher lows, often preceding a trend reversal.</w:t>
      </w:r>
    </w:p>
    <w:p>
      <w:pPr>
        <w:pStyle w:val="Heading4"/>
        <w:jc w:val="left"/>
      </w:pPr>
      <w:r>
        <w:rPr>
          <w:color w:val="502878"/>
          <w:sz w:val="22"/>
        </w:rPr>
        <w:t>**3. Volatility Analysis: Compression at Lower Band**</w:t>
      </w:r>
    </w:p>
    <w:p>
      <w:r>
        <w:rPr>
          <w:b/>
          <w:sz w:val="20"/>
        </w:rPr>
        <w:t>Bollinger Bands Configuration:</w:t>
      </w:r>
    </w:p>
    <w:p>
      <w:pPr>
        <w:jc w:val="both"/>
      </w:pPr>
      <w:r>
        <w:rPr>
          <w:sz w:val="20"/>
        </w:rPr>
        <w:t xml:space="preserve">- </w:t>
      </w:r>
      <w:r>
        <w:rPr>
          <w:b/>
          <w:sz w:val="20"/>
        </w:rPr>
        <w:t>Upper Band:</w:t>
      </w:r>
      <w:r>
        <w:rPr>
          <w:sz w:val="20"/>
        </w:rPr>
        <w:t xml:space="preserve"> 10,279 (May 20)</w:t>
      </w:r>
    </w:p>
    <w:p>
      <w:pPr>
        <w:jc w:val="both"/>
      </w:pPr>
      <w:r>
        <w:rPr>
          <w:sz w:val="20"/>
        </w:rPr>
        <w:t xml:space="preserve">- </w:t>
      </w:r>
      <w:r>
        <w:rPr>
          <w:b/>
          <w:sz w:val="20"/>
        </w:rPr>
        <w:t>Middle Band (20 SMA):</w:t>
      </w:r>
      <w:r>
        <w:rPr>
          <w:sz w:val="20"/>
        </w:rPr>
        <w:t xml:space="preserve"> 10,143 (implied)</w:t>
      </w:r>
    </w:p>
    <w:p>
      <w:pPr>
        <w:jc w:val="both"/>
      </w:pPr>
      <w:r>
        <w:rPr>
          <w:sz w:val="20"/>
        </w:rPr>
        <w:t xml:space="preserve">- </w:t>
      </w:r>
      <w:r>
        <w:rPr>
          <w:b/>
          <w:sz w:val="20"/>
        </w:rPr>
        <w:t>Lower Band:</w:t>
      </w:r>
      <w:r>
        <w:rPr>
          <w:sz w:val="20"/>
        </w:rPr>
        <w:t xml:space="preserve"> 10,008 (May 20)</w:t>
      </w:r>
    </w:p>
    <w:p>
      <w:pPr>
        <w:jc w:val="both"/>
      </w:pPr>
      <w:r>
        <w:rPr>
          <w:sz w:val="20"/>
        </w:rPr>
        <w:t xml:space="preserve">- </w:t>
      </w:r>
      <w:r>
        <w:rPr>
          <w:b/>
          <w:sz w:val="20"/>
        </w:rPr>
        <w:t>Band Width:</w:t>
      </w:r>
      <w:r>
        <w:rPr>
          <w:sz w:val="20"/>
        </w:rPr>
        <w:t xml:space="preserve"> 271 points (2.7%)</w:t>
      </w:r>
    </w:p>
    <w:p>
      <w:pPr>
        <w:jc w:val="both"/>
      </w:pPr>
      <w:r>
        <w:rPr>
          <w:sz w:val="20"/>
        </w:rPr>
        <w:t xml:space="preserve">- </w:t>
      </w:r>
      <w:r>
        <w:rPr>
          <w:b/>
          <w:sz w:val="20"/>
        </w:rPr>
        <w:t>Price Position:</w:t>
      </w:r>
      <w:r>
        <w:rPr>
          <w:sz w:val="20"/>
        </w:rPr>
        <w:t xml:space="preserve"> 10,127 (within lower 44% of band)</w:t>
      </w:r>
    </w:p>
    <w:p>
      <w:pPr>
        <w:jc w:val="both"/>
      </w:pPr>
      <w:r>
        <w:rPr>
          <w:b/>
          <w:sz w:val="22"/>
        </w:rPr>
        <w:t>Key Observations:</w:t>
      </w:r>
    </w:p>
    <w:p>
      <w:pPr>
        <w:jc w:val="both"/>
      </w:pPr>
      <w:r>
        <w:rPr>
          <w:sz w:val="22"/>
        </w:rPr>
        <w:t xml:space="preserve">The Bollinger Bands have narrowed significantly from their peak width of 493 points on May 3 to the current 271 points, indicating </w:t>
      </w:r>
      <w:r>
        <w:rPr>
          <w:b/>
          <w:sz w:val="22"/>
        </w:rPr>
        <w:t>decreasing volatility</w:t>
      </w:r>
      <w:r>
        <w:rPr>
          <w:sz w:val="22"/>
        </w:rPr>
        <w:t>. This compression often precedes significant moves, though the direction is uncertain.</w:t>
      </w:r>
    </w:p>
    <w:p>
      <w:pPr>
        <w:jc w:val="both"/>
      </w:pPr>
      <w:r>
        <w:rPr>
          <w:sz w:val="22"/>
        </w:rPr>
        <w:t xml:space="preserve">The price tested the lower Bollinger Band multiple times between May 10-18, with the May 17 low of 10,046 penetrating very close to the lower band (10,004 on that day). The price has since </w:t>
      </w:r>
      <w:r>
        <w:rPr>
          <w:b/>
          <w:sz w:val="22"/>
        </w:rPr>
        <w:t>bounced away from the lower band</w:t>
      </w:r>
      <w:r>
        <w:rPr>
          <w:sz w:val="22"/>
        </w:rPr>
        <w:t>, a classic reversal signal when combined with oversold RSI.</w:t>
      </w:r>
    </w:p>
    <w:p>
      <w:pPr>
        <w:jc w:val="both"/>
      </w:pPr>
      <w:r>
        <w:rPr>
          <w:b/>
          <w:sz w:val="22"/>
        </w:rPr>
        <w:t>Volatility Pattern:</w:t>
      </w:r>
      <w:r>
        <w:rPr>
          <w:sz w:val="22"/>
        </w:rPr>
        <w:t xml:space="preserve"> The lower band has been rising from 9,999 (May 18) to 10,008 (May 20), while the upper band has been falling from 10,353 (May 15) to 10,279 (May 20). This </w:t>
      </w:r>
      <w:r>
        <w:rPr>
          <w:b/>
          <w:sz w:val="22"/>
        </w:rPr>
        <w:t>squeeze pattern</w:t>
      </w:r>
      <w:r>
        <w:rPr>
          <w:sz w:val="22"/>
        </w:rPr>
        <w:t xml:space="preserve"> suggests a period of consolidation before the next directional move.</w:t>
      </w:r>
    </w:p>
    <w:p>
      <w:pPr>
        <w:pStyle w:val="Heading4"/>
        <w:jc w:val="left"/>
      </w:pPr>
      <w:r>
        <w:rPr>
          <w:color w:val="502878"/>
          <w:sz w:val="22"/>
        </w:rPr>
        <w:t>**4. Recent Price Action: Potential Double Bottom Formation**</w:t>
      </w:r>
    </w:p>
    <w:p>
      <w:pPr>
        <w:jc w:val="both"/>
      </w:pPr>
      <w:r>
        <w:rPr>
          <w:sz w:val="20"/>
        </w:rPr>
        <w:t>Examining the closing prices:</w:t>
      </w:r>
    </w:p>
    <w:p>
      <w:pPr>
        <w:jc w:val="both"/>
      </w:pPr>
      <w:r>
        <w:rPr>
          <w:sz w:val="20"/>
        </w:rPr>
        <w:t xml:space="preserve">- </w:t>
      </w:r>
      <w:r>
        <w:rPr>
          <w:b/>
          <w:sz w:val="20"/>
        </w:rPr>
        <w:t>May 10:</w:t>
      </w:r>
      <w:r>
        <w:rPr>
          <w:sz w:val="20"/>
        </w:rPr>
        <w:t xml:space="preserve"> 10,123 (local low)</w:t>
      </w:r>
    </w:p>
    <w:p>
      <w:pPr>
        <w:jc w:val="both"/>
      </w:pPr>
      <w:r>
        <w:rPr>
          <w:sz w:val="20"/>
        </w:rPr>
        <w:t xml:space="preserve">- </w:t>
      </w:r>
      <w:r>
        <w:rPr>
          <w:b/>
          <w:sz w:val="20"/>
        </w:rPr>
        <w:t>May 17:</w:t>
      </w:r>
      <w:r>
        <w:rPr>
          <w:sz w:val="20"/>
        </w:rPr>
        <w:t xml:space="preserve"> 10,046 (absolute low)</w:t>
      </w:r>
    </w:p>
    <w:p>
      <w:pPr>
        <w:jc w:val="both"/>
      </w:pPr>
      <w:r>
        <w:rPr>
          <w:sz w:val="20"/>
        </w:rPr>
        <w:t xml:space="preserve">- </w:t>
      </w:r>
      <w:r>
        <w:rPr>
          <w:b/>
          <w:sz w:val="20"/>
        </w:rPr>
        <w:t>May 20:</w:t>
      </w:r>
      <w:r>
        <w:rPr>
          <w:sz w:val="20"/>
        </w:rPr>
        <w:t xml:space="preserve"> 10,115 (current)</w:t>
      </w:r>
    </w:p>
    <w:p>
      <w:pPr>
        <w:jc w:val="both"/>
      </w:pPr>
      <w:r>
        <w:rPr>
          <w:sz w:val="20"/>
        </w:rPr>
        <w:t xml:space="preserve">- </w:t>
      </w:r>
      <w:r>
        <w:rPr>
          <w:b/>
          <w:sz w:val="20"/>
        </w:rPr>
        <w:t>May 21 intraday:</w:t>
      </w:r>
      <w:r>
        <w:rPr>
          <w:sz w:val="20"/>
        </w:rPr>
        <w:t xml:space="preserve"> Range 10,105-10,135</w:t>
      </w:r>
    </w:p>
    <w:p>
      <w:pPr>
        <w:jc w:val="both"/>
      </w:pPr>
      <w:r>
        <w:rPr>
          <w:sz w:val="20"/>
        </w:rPr>
        <w:t xml:space="preserve">The market formed a potential </w:t>
      </w:r>
      <w:r>
        <w:rPr>
          <w:b/>
          <w:sz w:val="20"/>
        </w:rPr>
        <w:t>double bottom pattern</w:t>
      </w:r>
      <w:r>
        <w:rPr>
          <w:sz w:val="20"/>
        </w:rPr>
        <w:t xml:space="preserve"> with lows on May 10 (10,123) and May 17 (10,046). While the second low is technically lower (bearish), the subsequent bounce has been stronger, with the May 20 close (10,115) showing bullish momentum. The intraday high on May 21 reached 10,135, attempting to break above the May 20 high of 10,162.</w:t>
      </w:r>
    </w:p>
    <w:p>
      <w:pPr>
        <w:jc w:val="both"/>
      </w:pPr>
      <w:r>
        <w:rPr>
          <w:b/>
          <w:sz w:val="22"/>
        </w:rPr>
        <w:t>Volume Consideration:</w:t>
      </w:r>
      <w:r>
        <w:rPr>
          <w:sz w:val="22"/>
        </w:rPr>
        <w:t xml:space="preserve"> All daily volume readings show 1.0, which is typical for Deriv synthetic indices where volume is standardized. Therefore, volume confirmation cannot be used.</w:t>
      </w:r>
    </w:p>
    <w:p>
      <w:pPr>
        <w:pStyle w:val="Heading4"/>
        <w:jc w:val="left"/>
      </w:pPr>
      <w:r>
        <w:rPr>
          <w:color w:val="502878"/>
          <w:sz w:val="22"/>
        </w:rPr>
        <w:t>**5. Support and Resistance Levels**</w:t>
      </w:r>
    </w:p>
    <w:p>
      <w:r>
        <w:rPr>
          <w:b/>
          <w:sz w:val="20"/>
        </w:rPr>
        <w:t>Critical Support Zones:</w:t>
      </w:r>
    </w:p>
    <w:p>
      <w:pPr>
        <w:jc w:val="both"/>
      </w:pPr>
      <w:r>
        <w:rPr>
          <w:sz w:val="20"/>
        </w:rPr>
        <w:t xml:space="preserve">1. </w:t>
      </w:r>
      <w:r>
        <w:rPr>
          <w:b/>
          <w:sz w:val="20"/>
        </w:rPr>
        <w:t>10,000-10,050:</w:t>
      </w:r>
      <w:r>
        <w:rPr>
          <w:sz w:val="20"/>
        </w:rPr>
        <w:t xml:space="preserve"> Major psychological support and recent double bottom area (May 10-17 lows)</w:t>
      </w:r>
    </w:p>
    <w:p>
      <w:pPr>
        <w:jc w:val="both"/>
      </w:pPr>
      <w:r>
        <w:rPr>
          <w:sz w:val="20"/>
        </w:rPr>
        <w:t xml:space="preserve">2. </w:t>
      </w:r>
      <w:r>
        <w:rPr>
          <w:b/>
          <w:sz w:val="20"/>
        </w:rPr>
        <w:t>10,008:</w:t>
      </w:r>
      <w:r>
        <w:rPr>
          <w:sz w:val="20"/>
        </w:rPr>
        <w:t xml:space="preserve"> Current Bollinger Lower Band (dynamic support)</w:t>
      </w:r>
    </w:p>
    <w:p>
      <w:pPr>
        <w:jc w:val="both"/>
      </w:pPr>
      <w:r>
        <w:rPr>
          <w:sz w:val="20"/>
        </w:rPr>
        <w:t xml:space="preserve">3. </w:t>
      </w:r>
      <w:r>
        <w:rPr>
          <w:b/>
          <w:sz w:val="20"/>
        </w:rPr>
        <w:t>9,847:</w:t>
      </w:r>
      <w:r>
        <w:rPr>
          <w:sz w:val="20"/>
        </w:rPr>
        <w:t xml:space="preserve"> September 2025 low (long-term support if current level breaks)</w:t>
      </w:r>
    </w:p>
    <w:p>
      <w:r>
        <w:rPr>
          <w:b/>
          <w:sz w:val="20"/>
        </w:rPr>
        <w:t>Critical Resistance Zones:</w:t>
      </w:r>
    </w:p>
    <w:p>
      <w:pPr>
        <w:jc w:val="both"/>
      </w:pPr>
      <w:r>
        <w:rPr>
          <w:sz w:val="20"/>
        </w:rPr>
        <w:t xml:space="preserve">1. </w:t>
      </w:r>
      <w:r>
        <w:rPr>
          <w:b/>
          <w:sz w:val="20"/>
        </w:rPr>
        <w:t>10,143:</w:t>
      </w:r>
      <w:r>
        <w:rPr>
          <w:sz w:val="20"/>
        </w:rPr>
        <w:t xml:space="preserve"> Bollinger Middle Band / 20 SMA (immediate resistance)</w:t>
      </w:r>
    </w:p>
    <w:p>
      <w:pPr>
        <w:jc w:val="both"/>
      </w:pPr>
      <w:r>
        <w:rPr>
          <w:sz w:val="20"/>
        </w:rPr>
        <w:t xml:space="preserve">2. </w:t>
      </w:r>
      <w:r>
        <w:rPr>
          <w:b/>
          <w:sz w:val="20"/>
        </w:rPr>
        <w:t>10,200-10,220:</w:t>
      </w:r>
      <w:r>
        <w:rPr>
          <w:sz w:val="20"/>
        </w:rPr>
        <w:t xml:space="preserve"> 200 SMA zone and recent consolidation area</w:t>
      </w:r>
    </w:p>
    <w:p>
      <w:pPr>
        <w:jc w:val="both"/>
      </w:pPr>
      <w:r>
        <w:rPr>
          <w:sz w:val="20"/>
        </w:rPr>
        <w:t xml:space="preserve">3. </w:t>
      </w:r>
      <w:r>
        <w:rPr>
          <w:b/>
          <w:sz w:val="20"/>
        </w:rPr>
        <w:t>10,265:</w:t>
      </w:r>
      <w:r>
        <w:rPr>
          <w:sz w:val="20"/>
        </w:rPr>
        <w:t xml:space="preserve"> 50 SMA (key medium-term resistance)</w:t>
      </w:r>
    </w:p>
    <w:p>
      <w:pPr>
        <w:jc w:val="both"/>
      </w:pPr>
      <w:r>
        <w:rPr>
          <w:sz w:val="20"/>
        </w:rPr>
        <w:t xml:space="preserve">4. </w:t>
      </w:r>
      <w:r>
        <w:rPr>
          <w:b/>
          <w:sz w:val="20"/>
        </w:rPr>
        <w:t>10,279:</w:t>
      </w:r>
      <w:r>
        <w:rPr>
          <w:sz w:val="20"/>
        </w:rPr>
        <w:t xml:space="preserve"> Bollinger Upper Band (dynamic resistance)</w:t>
      </w:r>
    </w:p>
    <w:p>
      <w:pPr>
        <w:jc w:val="both"/>
      </w:pPr>
      <w:r>
        <w:rPr>
          <w:sz w:val="20"/>
        </w:rPr>
        <w:t xml:space="preserve">5. </w:t>
      </w:r>
      <w:r>
        <w:rPr>
          <w:b/>
          <w:sz w:val="20"/>
        </w:rPr>
        <w:t>10,300-10,320:</w:t>
      </w:r>
      <w:r>
        <w:rPr>
          <w:sz w:val="20"/>
        </w:rPr>
        <w:t xml:space="preserve"> April-May consolidation zone</w:t>
      </w:r>
    </w:p>
    <w:p>
      <w:pPr>
        <w:jc w:val="both"/>
      </w:pPr>
      <w:r>
        <w:rPr>
          <w:b/>
          <w:sz w:val="22"/>
        </w:rPr>
        <w:t>Breakout Scenario:</w:t>
      </w:r>
      <w:r>
        <w:rPr>
          <w:sz w:val="22"/>
        </w:rPr>
        <w:t xml:space="preserve"> A sustained move above 10,220 (200 SMA) would invalidate the current bearish setup and potentially trigger short-covering, targeting 10,265-10,300. Conversely, a break below 10,000 would likely accelerate selling toward the 9,850-9,900 zone.</w:t>
      </w:r>
    </w:p>
    <w:p>
      <w:pPr>
        <w:pBdr>
          <w:bottom w:val="single" w:sz="6" w:space="1" w:color="CCCCCC"/>
        </w:pBdr>
      </w:pPr>
    </w:p>
    <w:p>
      <w:pPr>
        <w:pStyle w:val="Heading3"/>
        <w:jc w:val="left"/>
      </w:pPr>
      <w:r>
        <w:rPr>
          <w:color w:val="502878"/>
          <w:sz w:val="24"/>
        </w:rPr>
        <w:t>**Market Context and Historical Perspective**</w:t>
      </w:r>
    </w:p>
    <w:p>
      <w:pPr>
        <w:pStyle w:val="Heading4"/>
        <w:jc w:val="left"/>
      </w:pPr>
      <w:r>
        <w:rPr>
          <w:color w:val="502878"/>
          <w:sz w:val="22"/>
        </w:rPr>
        <w:t>**Major Trend Phases:**</w:t>
      </w:r>
    </w:p>
    <w:p>
      <w:pPr>
        <w:pStyle w:val="ListNumber"/>
      </w:pPr>
      <w:r>
        <w:rPr>
          <w:b/>
          <w:sz w:val="20"/>
        </w:rPr>
        <w:t>September-October 2025:</w:t>
      </w:r>
      <w:r>
        <w:rPr>
          <w:sz w:val="20"/>
        </w:rPr>
        <w:t xml:space="preserve"> Accumulation phase around 9,800-10,000</w:t>
      </w:r>
    </w:p>
    <w:p>
      <w:pPr>
        <w:pStyle w:val="ListNumber"/>
      </w:pPr>
      <w:r>
        <w:rPr>
          <w:b/>
          <w:sz w:val="20"/>
        </w:rPr>
        <w:t>November 2025-January 2026:</w:t>
      </w:r>
      <w:r>
        <w:rPr>
          <w:sz w:val="20"/>
        </w:rPr>
        <w:t xml:space="preserve"> Strong uptrend to 10,190 (+3.9%)</w:t>
      </w:r>
    </w:p>
    <w:p>
      <w:pPr>
        <w:pStyle w:val="ListNumber"/>
      </w:pPr>
      <w:r>
        <w:rPr>
          <w:b/>
          <w:sz w:val="20"/>
        </w:rPr>
        <w:t>February 2026:</w:t>
      </w:r>
      <w:r>
        <w:rPr>
          <w:sz w:val="20"/>
        </w:rPr>
        <w:t xml:space="preserve"> Acceleration phase to peak at 10,490 (+3.1%)</w:t>
      </w:r>
    </w:p>
    <w:p>
      <w:pPr>
        <w:pStyle w:val="ListNumber"/>
      </w:pPr>
      <w:r>
        <w:rPr>
          <w:b/>
          <w:sz w:val="20"/>
        </w:rPr>
        <w:t>March-April 2026:</w:t>
      </w:r>
      <w:r>
        <w:rPr>
          <w:sz w:val="20"/>
        </w:rPr>
        <w:t xml:space="preserve"> Consolidation between 10,200-10,450</w:t>
      </w:r>
    </w:p>
    <w:p>
      <w:pPr>
        <w:pStyle w:val="ListNumber"/>
      </w:pPr>
      <w:r>
        <w:rPr>
          <w:b/>
          <w:sz w:val="20"/>
        </w:rPr>
        <w:t>May 2026:</w:t>
      </w:r>
      <w:r>
        <w:rPr>
          <w:sz w:val="20"/>
        </w:rPr>
        <w:t xml:space="preserve"> Sharp decline to 10,046 (-4.2% from peak)</w:t>
      </w:r>
    </w:p>
    <w:p>
      <w:pPr>
        <w:jc w:val="both"/>
      </w:pPr>
      <w:r>
        <w:rPr>
          <w:sz w:val="22"/>
        </w:rPr>
        <w:t xml:space="preserve">The current decline represents a </w:t>
      </w:r>
      <w:r>
        <w:rPr>
          <w:b/>
          <w:sz w:val="22"/>
        </w:rPr>
        <w:t>retracement of approximately 60%</w:t>
      </w:r>
      <w:r>
        <w:rPr>
          <w:sz w:val="22"/>
        </w:rPr>
        <w:t xml:space="preserve"> of the rally from the October low (10,000) to the February high (10,490). This brings the price back to levels not seen since mid-March, erasing three months of gains.</w:t>
      </w:r>
    </w:p>
    <w:p>
      <w:pPr>
        <w:pStyle w:val="Heading4"/>
        <w:jc w:val="left"/>
      </w:pPr>
      <w:r>
        <w:rPr>
          <w:color w:val="502878"/>
          <w:sz w:val="22"/>
        </w:rPr>
        <w:t>**Volatility Cycles:**</w:t>
      </w:r>
    </w:p>
    <w:p>
      <w:pPr>
        <w:jc w:val="both"/>
      </w:pPr>
      <w:r>
        <w:rPr>
          <w:sz w:val="20"/>
        </w:rPr>
        <w:t xml:space="preserve">Examining the price swings, CRASH150N exhibits </w:t>
      </w:r>
      <w:r>
        <w:rPr>
          <w:b/>
          <w:sz w:val="20"/>
        </w:rPr>
        <w:t>controlled volatility</w:t>
      </w:r>
      <w:r>
        <w:rPr>
          <w:sz w:val="20"/>
        </w:rPr>
        <w:t xml:space="preserve"> with daily ranges typically between 0.3-0.8%. The largest single-day moves in the recent period:</w:t>
      </w:r>
    </w:p>
    <w:p>
      <w:pPr>
        <w:jc w:val="both"/>
      </w:pPr>
      <w:r>
        <w:rPr>
          <w:sz w:val="20"/>
        </w:rPr>
        <w:t xml:space="preserve">- </w:t>
      </w:r>
      <w:r>
        <w:rPr>
          <w:b/>
          <w:sz w:val="20"/>
        </w:rPr>
        <w:t>April 4:</w:t>
      </w:r>
      <w:r>
        <w:rPr>
          <w:sz w:val="20"/>
        </w:rPr>
        <w:t xml:space="preserve"> +5.8% intraday (10,352 to 10,415)</w:t>
      </w:r>
    </w:p>
    <w:p>
      <w:pPr>
        <w:jc w:val="both"/>
      </w:pPr>
      <w:r>
        <w:rPr>
          <w:sz w:val="20"/>
        </w:rPr>
        <w:t xml:space="preserve">- </w:t>
      </w:r>
      <w:r>
        <w:rPr>
          <w:b/>
          <w:sz w:val="20"/>
        </w:rPr>
        <w:t>April 19:</w:t>
      </w:r>
      <w:r>
        <w:rPr>
          <w:sz w:val="20"/>
        </w:rPr>
        <w:t xml:space="preserve"> -0.9% (reversal day)</w:t>
      </w:r>
    </w:p>
    <w:p>
      <w:pPr>
        <w:jc w:val="both"/>
      </w:pPr>
      <w:r>
        <w:rPr>
          <w:sz w:val="20"/>
        </w:rPr>
        <w:t xml:space="preserve">- </w:t>
      </w:r>
      <w:r>
        <w:rPr>
          <w:b/>
          <w:sz w:val="20"/>
        </w:rPr>
        <w:t>May 10:</w:t>
      </w:r>
      <w:r>
        <w:rPr>
          <w:sz w:val="20"/>
        </w:rPr>
        <w:t xml:space="preserve"> -6.6% intraday (major breakdown)</w:t>
      </w:r>
    </w:p>
    <w:p>
      <w:pPr>
        <w:jc w:val="both"/>
      </w:pPr>
      <w:r>
        <w:rPr>
          <w:sz w:val="22"/>
        </w:rPr>
        <w:t>The synthetic nature of this index means it's designed to simulate crash market behavior, with periodic sharp declines followed by recovery phases. The current decline fits this pattern, suggesting algorithmic mean reversion may occur.</w:t>
      </w:r>
    </w:p>
    <w:p>
      <w:pPr>
        <w:pBdr>
          <w:bottom w:val="single" w:sz="6" w:space="1" w:color="CCCCCC"/>
        </w:pBdr>
      </w:pPr>
    </w:p>
    <w:p>
      <w:pPr>
        <w:pStyle w:val="Heading3"/>
        <w:jc w:val="left"/>
      </w:pPr>
      <w:r>
        <w:rPr>
          <w:color w:val="502878"/>
          <w:sz w:val="24"/>
        </w:rPr>
        <w:t>**Trading Implications and Strategic Considerations**</w:t>
      </w:r>
    </w:p>
    <w:p>
      <w:pPr>
        <w:pStyle w:val="Heading4"/>
        <w:jc w:val="left"/>
      </w:pPr>
      <w:r>
        <w:rPr>
          <w:color w:val="502878"/>
          <w:sz w:val="22"/>
        </w:rPr>
        <w:t>**For SHORT-TERM Traders (1-5 days):**</w:t>
      </w:r>
    </w:p>
    <w:p>
      <w:r>
        <w:rPr>
          <w:b/>
          <w:sz w:val="20"/>
        </w:rPr>
        <w:t>Bullish Case (Probability: 55%):</w:t>
      </w:r>
    </w:p>
    <w:p>
      <w:pPr>
        <w:jc w:val="both"/>
      </w:pPr>
      <w:r>
        <w:rPr>
          <w:sz w:val="20"/>
        </w:rPr>
        <w:t>- RSI has recovered from 26 to 42, showing buyers stepping in</w:t>
      </w:r>
    </w:p>
    <w:p>
      <w:pPr>
        <w:jc w:val="both"/>
      </w:pPr>
      <w:r>
        <w:rPr>
          <w:sz w:val="20"/>
        </w:rPr>
        <w:t>- MACD histogram turned positive, first time since April 30</w:t>
      </w:r>
    </w:p>
    <w:p>
      <w:pPr>
        <w:jc w:val="both"/>
      </w:pPr>
      <w:r>
        <w:rPr>
          <w:sz w:val="20"/>
        </w:rPr>
        <w:t>- Price bounced strongly from lower Bollinger Band</w:t>
      </w:r>
    </w:p>
    <w:p>
      <w:pPr>
        <w:jc w:val="both"/>
      </w:pPr>
      <w:r>
        <w:rPr>
          <w:sz w:val="20"/>
        </w:rPr>
        <w:t>- Potential double bottom formation near 10,000-10,050</w:t>
      </w:r>
    </w:p>
    <w:p>
      <w:pPr>
        <w:jc w:val="both"/>
      </w:pPr>
      <w:r>
        <w:rPr>
          <w:sz w:val="20"/>
        </w:rPr>
        <w:t xml:space="preserve">- </w:t>
      </w:r>
      <w:r>
        <w:rPr>
          <w:b/>
          <w:sz w:val="20"/>
        </w:rPr>
        <w:t>Entry:</w:t>
      </w:r>
      <w:r>
        <w:rPr>
          <w:sz w:val="20"/>
        </w:rPr>
        <w:t xml:space="preserve"> Current level (10,127) or on dip to 10,100</w:t>
      </w:r>
    </w:p>
    <w:p>
      <w:pPr>
        <w:jc w:val="both"/>
      </w:pPr>
      <w:r>
        <w:rPr>
          <w:sz w:val="20"/>
        </w:rPr>
        <w:t xml:space="preserve">- </w:t>
      </w:r>
      <w:r>
        <w:rPr>
          <w:b/>
          <w:sz w:val="20"/>
        </w:rPr>
        <w:t>Target:</w:t>
      </w:r>
      <w:r>
        <w:rPr>
          <w:sz w:val="20"/>
        </w:rPr>
        <w:t xml:space="preserve"> 10,200-10,220 (200 SMA)</w:t>
      </w:r>
    </w:p>
    <w:p>
      <w:pPr>
        <w:jc w:val="both"/>
      </w:pPr>
      <w:r>
        <w:rPr>
          <w:sz w:val="20"/>
        </w:rPr>
        <w:t xml:space="preserve">- </w:t>
      </w:r>
      <w:r>
        <w:rPr>
          <w:b/>
          <w:sz w:val="20"/>
        </w:rPr>
        <w:t>Stop Loss:</w:t>
      </w:r>
      <w:r>
        <w:rPr>
          <w:sz w:val="20"/>
        </w:rPr>
        <w:t xml:space="preserve"> 10,040 (below May 17 low)</w:t>
      </w:r>
    </w:p>
    <w:p>
      <w:pPr>
        <w:jc w:val="both"/>
      </w:pPr>
      <w:r>
        <w:rPr>
          <w:sz w:val="20"/>
        </w:rPr>
        <w:t xml:space="preserve">- </w:t>
      </w:r>
      <w:r>
        <w:rPr>
          <w:b/>
          <w:sz w:val="20"/>
        </w:rPr>
        <w:t>Risk/Reward:</w:t>
      </w:r>
      <w:r>
        <w:rPr>
          <w:sz w:val="20"/>
        </w:rPr>
        <w:t xml:space="preserve"> Favorable 2:1 ratio</w:t>
      </w:r>
    </w:p>
    <w:p>
      <w:r>
        <w:rPr>
          <w:b/>
          <w:sz w:val="20"/>
        </w:rPr>
        <w:t>Bearish Case (Probability: 45%):</w:t>
      </w:r>
    </w:p>
    <w:p>
      <w:pPr>
        <w:jc w:val="both"/>
      </w:pPr>
      <w:r>
        <w:rPr>
          <w:sz w:val="20"/>
        </w:rPr>
        <w:t>- Price still below both 50 and 200 SMA</w:t>
      </w:r>
    </w:p>
    <w:p>
      <w:pPr>
        <w:jc w:val="both"/>
      </w:pPr>
      <w:r>
        <w:rPr>
          <w:sz w:val="20"/>
        </w:rPr>
        <w:t>- Failed to reclaim 10 EMA decisively</w:t>
      </w:r>
    </w:p>
    <w:p>
      <w:pPr>
        <w:jc w:val="both"/>
      </w:pPr>
      <w:r>
        <w:rPr>
          <w:sz w:val="20"/>
        </w:rPr>
        <w:t>- MACD still deeply negative (-51)</w:t>
      </w:r>
    </w:p>
    <w:p>
      <w:pPr>
        <w:jc w:val="both"/>
      </w:pPr>
      <w:r>
        <w:rPr>
          <w:sz w:val="20"/>
        </w:rPr>
        <w:t>- Lower highs pattern since February peak</w:t>
      </w:r>
    </w:p>
    <w:p>
      <w:pPr>
        <w:jc w:val="both"/>
      </w:pPr>
      <w:r>
        <w:rPr>
          <w:sz w:val="20"/>
        </w:rPr>
        <w:t xml:space="preserve">- </w:t>
      </w:r>
      <w:r>
        <w:rPr>
          <w:b/>
          <w:sz w:val="20"/>
        </w:rPr>
        <w:t>Entry:</w:t>
      </w:r>
      <w:r>
        <w:rPr>
          <w:sz w:val="20"/>
        </w:rPr>
        <w:t xml:space="preserve"> Sell on rally to 10,160-10,180</w:t>
      </w:r>
    </w:p>
    <w:p>
      <w:pPr>
        <w:jc w:val="both"/>
      </w:pPr>
      <w:r>
        <w:rPr>
          <w:sz w:val="20"/>
        </w:rPr>
        <w:t xml:space="preserve">- </w:t>
      </w:r>
      <w:r>
        <w:rPr>
          <w:b/>
          <w:sz w:val="20"/>
        </w:rPr>
        <w:t>Target:</w:t>
      </w:r>
      <w:r>
        <w:rPr>
          <w:sz w:val="20"/>
        </w:rPr>
        <w:t xml:space="preserve"> 10,000 then 9,900</w:t>
      </w:r>
    </w:p>
    <w:p>
      <w:pPr>
        <w:jc w:val="both"/>
      </w:pPr>
      <w:r>
        <w:rPr>
          <w:sz w:val="20"/>
        </w:rPr>
        <w:t xml:space="preserve">- </w:t>
      </w:r>
      <w:r>
        <w:rPr>
          <w:b/>
          <w:sz w:val="20"/>
        </w:rPr>
        <w:t>Stop Loss:</w:t>
      </w:r>
      <w:r>
        <w:rPr>
          <w:sz w:val="20"/>
        </w:rPr>
        <w:t xml:space="preserve"> 10,230 (above 200 SMA)</w:t>
      </w:r>
    </w:p>
    <w:p>
      <w:pPr>
        <w:pStyle w:val="Heading4"/>
        <w:jc w:val="left"/>
      </w:pPr>
      <w:r>
        <w:rPr>
          <w:color w:val="502878"/>
          <w:sz w:val="22"/>
        </w:rPr>
        <w:t>**For MEDIUM-TERM Traders (1-4 weeks):**</w:t>
      </w:r>
    </w:p>
    <w:p>
      <w:r>
        <w:rPr>
          <w:b/>
          <w:sz w:val="20"/>
        </w:rPr>
        <w:t>Strategy: Wait for Confirmation</w:t>
      </w:r>
    </w:p>
    <w:p>
      <w:pPr>
        <w:jc w:val="both"/>
      </w:pPr>
      <w:r>
        <w:rPr>
          <w:sz w:val="20"/>
        </w:rPr>
        <w:t xml:space="preserve">The market is at a </w:t>
      </w:r>
      <w:r>
        <w:rPr>
          <w:b/>
          <w:sz w:val="20"/>
        </w:rPr>
        <w:t>critical juncture</w:t>
      </w:r>
      <w:r>
        <w:rPr>
          <w:sz w:val="20"/>
        </w:rPr>
        <w:t>. Medium-term traders should wait for:</w:t>
      </w:r>
    </w:p>
    <w:p>
      <w:pPr>
        <w:jc w:val="both"/>
      </w:pPr>
      <w:r>
        <w:rPr>
          <w:sz w:val="20"/>
        </w:rPr>
        <w:t xml:space="preserve">1. </w:t>
      </w:r>
      <w:r>
        <w:rPr>
          <w:b/>
          <w:sz w:val="20"/>
        </w:rPr>
        <w:t>Bullish Confirmation:</w:t>
      </w:r>
      <w:r>
        <w:rPr>
          <w:sz w:val="20"/>
        </w:rPr>
        <w:t xml:space="preserve"> Close above 10,220 (200 SMA) with RSI &gt; 50</w:t>
      </w:r>
    </w:p>
    <w:p>
      <w:pPr>
        <w:jc w:val="both"/>
      </w:pPr>
      <w:r>
        <w:rPr>
          <w:sz w:val="20"/>
        </w:rPr>
        <w:t xml:space="preserve">2. </w:t>
      </w:r>
      <w:r>
        <w:rPr>
          <w:b/>
          <w:sz w:val="20"/>
        </w:rPr>
        <w:t>Bearish Confirmation:</w:t>
      </w:r>
      <w:r>
        <w:rPr>
          <w:sz w:val="20"/>
        </w:rPr>
        <w:t xml:space="preserve"> Close below 10,000 with increased momentum</w:t>
      </w:r>
    </w:p>
    <w:p>
      <w:pPr>
        <w:jc w:val="both"/>
      </w:pPr>
      <w:r>
        <w:rPr>
          <w:b/>
          <w:sz w:val="22"/>
        </w:rPr>
        <w:t>Avoid trading in the 10,050-10,200 range</w:t>
      </w:r>
      <w:r>
        <w:rPr>
          <w:sz w:val="22"/>
        </w:rPr>
        <w:t xml:space="preserve"> as this represents a consolidation zone with high choppiness potential. The Bollinger Band compression suggests a breakout is imminent, but the direction remains uncertain.</w:t>
      </w:r>
    </w:p>
    <w:p>
      <w:pPr>
        <w:pStyle w:val="Heading4"/>
        <w:jc w:val="left"/>
      </w:pPr>
      <w:r>
        <w:rPr>
          <w:color w:val="502878"/>
          <w:sz w:val="22"/>
        </w:rPr>
        <w:t>**For LONG-TERM Position Traders:**</w:t>
      </w:r>
    </w:p>
    <w:p>
      <w:pPr>
        <w:jc w:val="both"/>
      </w:pPr>
      <w:r>
        <w:rPr>
          <w:sz w:val="22"/>
        </w:rPr>
        <w:t xml:space="preserve">The broader trend shows CRASH150N has been in an </w:t>
      </w:r>
      <w:r>
        <w:rPr>
          <w:b/>
          <w:sz w:val="22"/>
        </w:rPr>
        <w:t>uptrend since September 2025</w:t>
      </w:r>
      <w:r>
        <w:rPr>
          <w:sz w:val="22"/>
        </w:rPr>
        <w:t xml:space="preserve"> (from 9,800 to current 10,127, +3.3%). The current decline is a </w:t>
      </w:r>
      <w:r>
        <w:rPr>
          <w:b/>
          <w:sz w:val="22"/>
        </w:rPr>
        <w:t>retracement within this uptrend</w:t>
      </w:r>
      <w:r>
        <w:rPr>
          <w:sz w:val="22"/>
        </w:rPr>
        <w:t>. Long-term traders can consider:</w:t>
      </w:r>
    </w:p>
    <w:p>
      <w:pPr>
        <w:pStyle w:val="ListBullet"/>
      </w:pPr>
      <w:r>
        <w:rPr>
          <w:b/>
          <w:sz w:val="20"/>
        </w:rPr>
        <w:t>Accumulation Zone:</w:t>
      </w:r>
      <w:r>
        <w:rPr>
          <w:sz w:val="20"/>
        </w:rPr>
        <w:t xml:space="preserve"> 10,000-10,100 (strong support area)</w:t>
      </w:r>
    </w:p>
    <w:p>
      <w:pPr>
        <w:pStyle w:val="ListBullet"/>
      </w:pPr>
      <w:r>
        <w:rPr>
          <w:b/>
          <w:sz w:val="20"/>
        </w:rPr>
        <w:t>Target:</w:t>
      </w:r>
      <w:r>
        <w:rPr>
          <w:sz w:val="20"/>
        </w:rPr>
        <w:t xml:space="preserve"> 10,500-10,600 (next resistance)</w:t>
      </w:r>
    </w:p>
    <w:p>
      <w:pPr>
        <w:pStyle w:val="ListBullet"/>
      </w:pPr>
      <w:r>
        <w:rPr>
          <w:b/>
          <w:sz w:val="20"/>
        </w:rPr>
        <w:t>Timeframe:</w:t>
      </w:r>
      <w:r>
        <w:rPr>
          <w:sz w:val="20"/>
        </w:rPr>
        <w:t xml:space="preserve"> 2-3 months</w:t>
      </w:r>
    </w:p>
    <w:p>
      <w:pPr>
        <w:pStyle w:val="ListBullet"/>
      </w:pPr>
      <w:r>
        <w:rPr>
          <w:b/>
          <w:sz w:val="20"/>
        </w:rPr>
        <w:t>Risk Management:</w:t>
      </w:r>
      <w:r>
        <w:rPr>
          <w:sz w:val="20"/>
        </w:rPr>
        <w:t xml:space="preserve"> Maximum 3% position size, stop below 9,800</w:t>
      </w:r>
    </w:p>
    <w:p>
      <w:pPr>
        <w:pBdr>
          <w:bottom w:val="single" w:sz="6" w:space="1" w:color="CCCCCC"/>
        </w:pBdr>
      </w:pPr>
    </w:p>
    <w:p>
      <w:pPr>
        <w:pStyle w:val="Heading3"/>
        <w:jc w:val="left"/>
      </w:pPr>
      <w:r>
        <w:rPr>
          <w:color w:val="502878"/>
          <w:sz w:val="24"/>
        </w:rPr>
        <w:t>**Risk Factors and Warnings**</w:t>
      </w:r>
    </w:p>
    <w:p>
      <w:pPr>
        <w:pStyle w:val="ListNumber"/>
      </w:pPr>
      <w:r>
        <w:rPr>
          <w:b/>
          <w:sz w:val="20"/>
        </w:rPr>
        <w:t>Synthetic Index Characteristics:</w:t>
      </w:r>
      <w:r>
        <w:rPr>
          <w:sz w:val="20"/>
        </w:rPr>
        <w:t xml:space="preserve"> CRASH150N is designed to simulate crash events with sudden downward spikes. These can occur without warning and bypass traditional support levels.</w:t>
      </w:r>
    </w:p>
    <w:p>
      <w:pPr>
        <w:pStyle w:val="ListNumber"/>
      </w:pPr>
      <w:r>
        <w:rPr>
          <w:b/>
          <w:sz w:val="20"/>
        </w:rPr>
        <w:t>Lack of Volume Confirmation:</w:t>
      </w:r>
      <w:r>
        <w:rPr>
          <w:sz w:val="20"/>
        </w:rPr>
        <w:t xml:space="preserve"> The standardized volume (1.0) means we cannot confirm reversals with volume analysis, reducing signal reliability.</w:t>
      </w:r>
    </w:p>
    <w:p>
      <w:pPr>
        <w:pStyle w:val="ListNumber"/>
      </w:pPr>
      <w:r>
        <w:rPr>
          <w:b/>
          <w:sz w:val="20"/>
        </w:rPr>
        <w:t>Moving Average Death Cross Risk:</w:t>
      </w:r>
      <w:r>
        <w:rPr>
          <w:sz w:val="20"/>
        </w:rPr>
        <w:t xml:space="preserve"> The 50 SMA is only 45 points above the 200 SMA and declining. A death cross would be a strong bearish signal.</w:t>
      </w:r>
    </w:p>
    <w:p>
      <w:pPr>
        <w:pStyle w:val="ListNumber"/>
      </w:pPr>
      <w:r>
        <w:rPr>
          <w:b/>
          <w:sz w:val="20"/>
        </w:rPr>
        <w:t>No Fundamental Catalysts:</w:t>
      </w:r>
      <w:r>
        <w:rPr>
          <w:sz w:val="20"/>
        </w:rPr>
        <w:t xml:space="preserve"> Synthetic indices have no fundamental drivers, making them purely technical and algorithm-driven. This can lead to unexpected moves that violate technical patterns.</w:t>
      </w:r>
    </w:p>
    <w:p>
      <w:pPr>
        <w:pStyle w:val="ListNumber"/>
      </w:pPr>
      <w:r>
        <w:rPr>
          <w:b/>
          <w:sz w:val="20"/>
        </w:rPr>
        <w:t>Over-reliance on Mean Reversion:</w:t>
      </w:r>
      <w:r>
        <w:rPr>
          <w:sz w:val="20"/>
        </w:rPr>
        <w:t xml:space="preserve"> While the current oversold condition suggests a bounce, extended downtrends can remain oversold for prolonged periods, especially in synthetic crash indices.</w:t>
      </w:r>
    </w:p>
    <w:p>
      <w:pPr>
        <w:pBdr>
          <w:bottom w:val="single" w:sz="6" w:space="1" w:color="CCCCCC"/>
        </w:pBdr>
      </w:pPr>
    </w:p>
    <w:p>
      <w:pPr>
        <w:pStyle w:val="Heading3"/>
        <w:jc w:val="left"/>
      </w:pPr>
      <w:r>
        <w:rPr>
          <w:color w:val="502878"/>
          <w:sz w:val="24"/>
        </w:rPr>
        <w:t>**Conclusion and Actionable Recommendations**</w:t>
      </w:r>
    </w:p>
    <w:p>
      <w:pPr>
        <w:pStyle w:val="Heading4"/>
        <w:jc w:val="left"/>
      </w:pPr>
      <w:r>
        <w:rPr>
          <w:color w:val="502878"/>
          <w:sz w:val="22"/>
        </w:rPr>
        <w:t>**Current Market State:**</w:t>
      </w:r>
    </w:p>
    <w:p>
      <w:pPr>
        <w:jc w:val="both"/>
      </w:pPr>
      <w:r>
        <w:rPr>
          <w:sz w:val="20"/>
        </w:rPr>
        <w:t xml:space="preserve">CRASH150N is exhibiting classic technical signals of an oversold market attempting to stabilize. The convergence of multiple indicators (RSI recovery, positive MACD histogram, Bollinger Band bounce) suggests </w:t>
      </w:r>
      <w:r>
        <w:rPr>
          <w:b/>
          <w:sz w:val="20"/>
        </w:rPr>
        <w:t>short-term upside potential to 10,200-10,265</w:t>
      </w:r>
      <w:r>
        <w:rPr>
          <w:sz w:val="20"/>
        </w:rPr>
        <w:t>. However, the broader trend remains bearish with price below key moving averages.</w:t>
      </w:r>
    </w:p>
    <w:p>
      <w:pPr>
        <w:pStyle w:val="Heading4"/>
        <w:jc w:val="left"/>
      </w:pPr>
      <w:r>
        <w:rPr>
          <w:color w:val="502878"/>
          <w:sz w:val="22"/>
        </w:rPr>
        <w:t>**Recommended Actions by Trader Type:**</w:t>
      </w:r>
    </w:p>
    <w:p>
      <w:r>
        <w:rPr>
          <w:b/>
          <w:sz w:val="20"/>
        </w:rPr>
        <w:t>Aggressive Short-Term Traders:</w:t>
      </w:r>
    </w:p>
    <w:p>
      <w:pPr>
        <w:jc w:val="both"/>
      </w:pPr>
      <w:r>
        <w:rPr>
          <w:sz w:val="20"/>
        </w:rPr>
        <w:t xml:space="preserve">- </w:t>
      </w:r>
      <w:r>
        <w:rPr>
          <w:b/>
          <w:sz w:val="20"/>
        </w:rPr>
        <w:t>BUY</w:t>
      </w:r>
      <w:r>
        <w:rPr>
          <w:sz w:val="20"/>
        </w:rPr>
        <w:t xml:space="preserve"> at current levels (10,127) with tight stop at 10,040</w:t>
      </w:r>
    </w:p>
    <w:p>
      <w:pPr>
        <w:jc w:val="both"/>
      </w:pPr>
      <w:r>
        <w:rPr>
          <w:sz w:val="20"/>
        </w:rPr>
        <w:t>- Target 10,200-10,220 for 70-90 point gain</w:t>
      </w:r>
    </w:p>
    <w:p>
      <w:pPr>
        <w:jc w:val="both"/>
      </w:pPr>
      <w:r>
        <w:rPr>
          <w:sz w:val="20"/>
        </w:rPr>
        <w:t>- Take partial profits at 10,160, trail stop on remainder</w:t>
      </w:r>
    </w:p>
    <w:p>
      <w:pPr>
        <w:jc w:val="both"/>
      </w:pPr>
      <w:r>
        <w:rPr>
          <w:sz w:val="20"/>
        </w:rPr>
        <w:t>- Time horizon: 2-5 trading days</w:t>
      </w:r>
    </w:p>
    <w:p>
      <w:r>
        <w:rPr>
          <w:b/>
          <w:sz w:val="20"/>
        </w:rPr>
        <w:t>Conservative Traders:</w:t>
      </w:r>
    </w:p>
    <w:p>
      <w:pPr>
        <w:jc w:val="both"/>
      </w:pPr>
      <w:r>
        <w:rPr>
          <w:sz w:val="20"/>
        </w:rPr>
        <w:t xml:space="preserve">- </w:t>
      </w:r>
      <w:r>
        <w:rPr>
          <w:b/>
          <w:sz w:val="20"/>
        </w:rPr>
        <w:t>HOLD</w:t>
      </w:r>
      <w:r>
        <w:rPr>
          <w:sz w:val="20"/>
        </w:rPr>
        <w:t xml:space="preserve"> and wait for breakout confirmation above 10,220 or breakdown below 10,000</w:t>
      </w:r>
    </w:p>
    <w:p>
      <w:pPr>
        <w:jc w:val="both"/>
      </w:pPr>
      <w:r>
        <w:rPr>
          <w:sz w:val="20"/>
        </w:rPr>
        <w:t>- Avoid trading in the current range (10,050-10,200)</w:t>
      </w:r>
    </w:p>
    <w:p>
      <w:pPr>
        <w:jc w:val="both"/>
      </w:pPr>
      <w:r>
        <w:rPr>
          <w:sz w:val="20"/>
        </w:rPr>
        <w:t>- Set alerts at 10,225 (buy signal) and 9,995 (sell signal)</w:t>
      </w:r>
    </w:p>
    <w:p>
      <w:r>
        <w:rPr>
          <w:b/>
          <w:sz w:val="20"/>
        </w:rPr>
        <w:t>Position/Swing Traders:</w:t>
      </w:r>
    </w:p>
    <w:p>
      <w:pPr>
        <w:jc w:val="both"/>
      </w:pPr>
      <w:r>
        <w:rPr>
          <w:sz w:val="20"/>
        </w:rPr>
        <w:t xml:space="preserve">- </w:t>
      </w:r>
      <w:r>
        <w:rPr>
          <w:b/>
          <w:sz w:val="20"/>
        </w:rPr>
        <w:t>SELECTIVE BUY</w:t>
      </w:r>
      <w:r>
        <w:rPr>
          <w:sz w:val="20"/>
        </w:rPr>
        <w:t xml:space="preserve"> in the 10,000-10,050 zone for accumulation</w:t>
      </w:r>
    </w:p>
    <w:p>
      <w:pPr>
        <w:jc w:val="both"/>
      </w:pPr>
      <w:r>
        <w:rPr>
          <w:sz w:val="20"/>
        </w:rPr>
        <w:t>- Build position gradually with 1/3 positions at 10,050, 10,000, and 9,950</w:t>
      </w:r>
    </w:p>
    <w:p>
      <w:pPr>
        <w:jc w:val="both"/>
      </w:pPr>
      <w:r>
        <w:rPr>
          <w:sz w:val="20"/>
        </w:rPr>
        <w:t>- Target 10,400-10,500 over 4-8 weeks</w:t>
      </w:r>
    </w:p>
    <w:p>
      <w:pPr>
        <w:jc w:val="both"/>
      </w:pPr>
      <w:r>
        <w:rPr>
          <w:sz w:val="20"/>
        </w:rPr>
        <w:t>- Maximum position size: 3% of portfolio</w:t>
      </w:r>
    </w:p>
    <w:p>
      <w:r>
        <w:rPr>
          <w:b/>
          <w:sz w:val="20"/>
        </w:rPr>
        <w:t>Current Position Holders:</w:t>
      </w:r>
    </w:p>
    <w:p>
      <w:pPr>
        <w:jc w:val="both"/>
      </w:pPr>
      <w:r>
        <w:rPr>
          <w:sz w:val="20"/>
        </w:rPr>
        <w:t xml:space="preserve">- If long from higher levels: </w:t>
      </w:r>
      <w:r>
        <w:rPr>
          <w:b/>
          <w:sz w:val="20"/>
        </w:rPr>
        <w:t>HOLD</w:t>
      </w:r>
      <w:r>
        <w:rPr>
          <w:sz w:val="20"/>
        </w:rPr>
        <w:t xml:space="preserve"> with stop at 9,980 (below double bottom)</w:t>
      </w:r>
    </w:p>
    <w:p>
      <w:pPr>
        <w:jc w:val="both"/>
      </w:pPr>
      <w:r>
        <w:rPr>
          <w:sz w:val="20"/>
        </w:rPr>
        <w:t xml:space="preserve">- If short: Consider </w:t>
      </w:r>
      <w:r>
        <w:rPr>
          <w:b/>
          <w:sz w:val="20"/>
        </w:rPr>
        <w:t>taking profits</w:t>
      </w:r>
      <w:r>
        <w:rPr>
          <w:sz w:val="20"/>
        </w:rPr>
        <w:t xml:space="preserve"> near 10,000-10,050 and waiting for confirmation</w:t>
      </w:r>
    </w:p>
    <w:p>
      <w:pPr>
        <w:jc w:val="both"/>
      </w:pPr>
      <w:r>
        <w:rPr>
          <w:sz w:val="20"/>
        </w:rPr>
        <w:t>- Avoid adding to positions until breakout/breakdown occurs</w:t>
      </w:r>
    </w:p>
    <w:p>
      <w:pPr>
        <w:pBdr>
          <w:bottom w:val="single" w:sz="6" w:space="1" w:color="CCCCCC"/>
        </w:pBdr>
      </w:pPr>
    </w:p>
    <w:p>
      <w:pPr>
        <w:pStyle w:val="Heading3"/>
        <w:jc w:val="left"/>
      </w:pPr>
      <w:r>
        <w:rPr>
          <w:color w:val="502878"/>
          <w:sz w:val="24"/>
        </w:rPr>
        <w:t>**Key Technical Levels Summary Table**</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val="clear" w:color="auto" w:fill="1F3C78"/>
          </w:tcPr>
          <w:p>
            <w:r/>
            <w:r>
              <w:rPr>
                <w:b/>
                <w:color w:val="FFFFFF"/>
                <w:sz w:val="18"/>
              </w:rPr>
              <w:t>**Level Type**</w:t>
            </w:r>
          </w:p>
        </w:tc>
        <w:tc>
          <w:tcPr>
            <w:tcW w:type="dxa" w:w="2160"/>
            <w:shd w:val="clear" w:color="auto" w:fill="1F3C78"/>
          </w:tcPr>
          <w:p>
            <w:r/>
            <w:r>
              <w:rPr>
                <w:b/>
                <w:color w:val="FFFFFF"/>
                <w:sz w:val="18"/>
              </w:rPr>
              <w:t>**Price**</w:t>
            </w:r>
          </w:p>
        </w:tc>
        <w:tc>
          <w:tcPr>
            <w:tcW w:type="dxa" w:w="2160"/>
            <w:shd w:val="clear" w:color="auto" w:fill="1F3C78"/>
          </w:tcPr>
          <w:p>
            <w:r/>
            <w:r>
              <w:rPr>
                <w:b/>
                <w:color w:val="FFFFFF"/>
                <w:sz w:val="18"/>
              </w:rPr>
              <w:t>**Significance**</w:t>
            </w:r>
          </w:p>
        </w:tc>
        <w:tc>
          <w:tcPr>
            <w:tcW w:type="dxa" w:w="2160"/>
            <w:shd w:val="clear" w:color="auto" w:fill="1F3C78"/>
          </w:tcPr>
          <w:p>
            <w:r/>
            <w:r>
              <w:rPr>
                <w:b/>
                <w:color w:val="FFFFFF"/>
                <w:sz w:val="18"/>
              </w:rPr>
              <w:t>**Action**</w:t>
            </w:r>
          </w:p>
        </w:tc>
      </w:tr>
      <w:tr>
        <w:tc>
          <w:tcPr>
            <w:tcW w:type="dxa" w:w="2160"/>
            <w:shd w:val="clear" w:color="auto" w:fill="EEF4FF"/>
          </w:tcPr>
          <w:p>
            <w:r/>
            <w:r>
              <w:rPr>
                <w:b/>
                <w:sz w:val="18"/>
              </w:rPr>
              <w:t>Strong Support</w:t>
            </w:r>
          </w:p>
        </w:tc>
        <w:tc>
          <w:tcPr>
            <w:tcW w:type="dxa" w:w="2160"/>
            <w:shd w:val="clear" w:color="auto" w:fill="EEF4FF"/>
          </w:tcPr>
          <w:p>
            <w:r/>
            <w:r>
              <w:rPr>
                <w:sz w:val="18"/>
              </w:rPr>
              <w:t>10,000-10,050</w:t>
            </w:r>
          </w:p>
        </w:tc>
        <w:tc>
          <w:tcPr>
            <w:tcW w:type="dxa" w:w="2160"/>
            <w:shd w:val="clear" w:color="auto" w:fill="EEF4FF"/>
          </w:tcPr>
          <w:p>
            <w:r/>
            <w:r>
              <w:rPr>
                <w:sz w:val="18"/>
              </w:rPr>
              <w:t>Double bottom, psychological support</w:t>
            </w:r>
          </w:p>
        </w:tc>
        <w:tc>
          <w:tcPr>
            <w:tcW w:type="dxa" w:w="2160"/>
            <w:shd w:val="clear" w:color="auto" w:fill="EEF4FF"/>
          </w:tcPr>
          <w:p>
            <w:r/>
            <w:r>
              <w:rPr>
                <w:sz w:val="18"/>
              </w:rPr>
              <w:t>Watch for bounce or breakdown</w:t>
            </w:r>
          </w:p>
        </w:tc>
      </w:tr>
      <w:tr>
        <w:tc>
          <w:tcPr>
            <w:tcW w:type="dxa" w:w="2160"/>
            <w:shd w:val="clear" w:color="auto" w:fill="FFFFFF"/>
          </w:tcPr>
          <w:p>
            <w:r/>
            <w:r>
              <w:rPr>
                <w:b/>
                <w:sz w:val="18"/>
              </w:rPr>
              <w:t>Current Price</w:t>
            </w:r>
          </w:p>
        </w:tc>
        <w:tc>
          <w:tcPr>
            <w:tcW w:type="dxa" w:w="2160"/>
            <w:shd w:val="clear" w:color="auto" w:fill="FFFFFF"/>
          </w:tcPr>
          <w:p>
            <w:r/>
            <w:r>
              <w:rPr>
                <w:sz w:val="18"/>
              </w:rPr>
              <w:t>10,127</w:t>
            </w:r>
          </w:p>
        </w:tc>
        <w:tc>
          <w:tcPr>
            <w:tcW w:type="dxa" w:w="2160"/>
            <w:shd w:val="clear" w:color="auto" w:fill="FFFFFF"/>
          </w:tcPr>
          <w:p>
            <w:r/>
            <w:r>
              <w:rPr>
                <w:sz w:val="18"/>
              </w:rPr>
              <w:t>Current trading level (May 21)</w:t>
            </w:r>
          </w:p>
        </w:tc>
        <w:tc>
          <w:tcPr>
            <w:tcW w:type="dxa" w:w="2160"/>
            <w:shd w:val="clear" w:color="auto" w:fill="FFFFFF"/>
          </w:tcPr>
          <w:p>
            <w:r/>
            <w:r>
              <w:rPr>
                <w:sz w:val="18"/>
              </w:rPr>
              <w:t>Oversold bounce in progress</w:t>
            </w:r>
          </w:p>
        </w:tc>
      </w:tr>
      <w:tr>
        <w:tc>
          <w:tcPr>
            <w:tcW w:type="dxa" w:w="2160"/>
            <w:shd w:val="clear" w:color="auto" w:fill="EEF4FF"/>
          </w:tcPr>
          <w:p>
            <w:r/>
            <w:r>
              <w:rPr>
                <w:b/>
                <w:sz w:val="18"/>
              </w:rPr>
              <w:t>10 EMA</w:t>
            </w:r>
          </w:p>
        </w:tc>
        <w:tc>
          <w:tcPr>
            <w:tcW w:type="dxa" w:w="2160"/>
            <w:shd w:val="clear" w:color="auto" w:fill="EEF4FF"/>
          </w:tcPr>
          <w:p>
            <w:r/>
            <w:r>
              <w:rPr>
                <w:sz w:val="18"/>
              </w:rPr>
              <w:t>10,104</w:t>
            </w:r>
          </w:p>
        </w:tc>
        <w:tc>
          <w:tcPr>
            <w:tcW w:type="dxa" w:w="2160"/>
            <w:shd w:val="clear" w:color="auto" w:fill="EEF4FF"/>
          </w:tcPr>
          <w:p>
            <w:r/>
            <w:r>
              <w:rPr>
                <w:sz w:val="18"/>
              </w:rPr>
              <w:t>Short-term trend</w:t>
            </w:r>
          </w:p>
        </w:tc>
        <w:tc>
          <w:tcPr>
            <w:tcW w:type="dxa" w:w="2160"/>
            <w:shd w:val="clear" w:color="auto" w:fill="EEF4FF"/>
          </w:tcPr>
          <w:p>
            <w:r/>
            <w:r>
              <w:rPr>
                <w:sz w:val="18"/>
              </w:rPr>
              <w:t>Must hold above for bullish continuation</w:t>
            </w:r>
          </w:p>
        </w:tc>
      </w:tr>
      <w:tr>
        <w:tc>
          <w:tcPr>
            <w:tcW w:type="dxa" w:w="2160"/>
            <w:shd w:val="clear" w:color="auto" w:fill="FFFFFF"/>
          </w:tcPr>
          <w:p>
            <w:r/>
            <w:r>
              <w:rPr>
                <w:b/>
                <w:sz w:val="18"/>
              </w:rPr>
              <w:t>Bollinger Middle</w:t>
            </w:r>
          </w:p>
        </w:tc>
        <w:tc>
          <w:tcPr>
            <w:tcW w:type="dxa" w:w="2160"/>
            <w:shd w:val="clear" w:color="auto" w:fill="FFFFFF"/>
          </w:tcPr>
          <w:p>
            <w:r/>
            <w:r>
              <w:rPr>
                <w:sz w:val="18"/>
              </w:rPr>
              <w:t>10,143</w:t>
            </w:r>
          </w:p>
        </w:tc>
        <w:tc>
          <w:tcPr>
            <w:tcW w:type="dxa" w:w="2160"/>
            <w:shd w:val="clear" w:color="auto" w:fill="FFFFFF"/>
          </w:tcPr>
          <w:p>
            <w:r/>
            <w:r>
              <w:rPr>
                <w:sz w:val="18"/>
              </w:rPr>
              <w:t>Mean reversion target</w:t>
            </w:r>
          </w:p>
        </w:tc>
        <w:tc>
          <w:tcPr>
            <w:tcW w:type="dxa" w:w="2160"/>
            <w:shd w:val="clear" w:color="auto" w:fill="FFFFFF"/>
          </w:tcPr>
          <w:p>
            <w:r/>
            <w:r>
              <w:rPr>
                <w:sz w:val="18"/>
              </w:rPr>
              <w:t>Immediate resistance</w:t>
            </w:r>
          </w:p>
        </w:tc>
      </w:tr>
      <w:tr>
        <w:tc>
          <w:tcPr>
            <w:tcW w:type="dxa" w:w="2160"/>
            <w:shd w:val="clear" w:color="auto" w:fill="EEF4FF"/>
          </w:tcPr>
          <w:p>
            <w:r/>
            <w:r>
              <w:rPr>
                <w:b/>
                <w:sz w:val="18"/>
              </w:rPr>
              <w:t>200 SMA</w:t>
            </w:r>
          </w:p>
        </w:tc>
        <w:tc>
          <w:tcPr>
            <w:tcW w:type="dxa" w:w="2160"/>
            <w:shd w:val="clear" w:color="auto" w:fill="EEF4FF"/>
          </w:tcPr>
          <w:p>
            <w:r/>
            <w:r>
              <w:rPr>
                <w:sz w:val="18"/>
              </w:rPr>
              <w:t>10,220</w:t>
            </w:r>
          </w:p>
        </w:tc>
        <w:tc>
          <w:tcPr>
            <w:tcW w:type="dxa" w:w="2160"/>
            <w:shd w:val="clear" w:color="auto" w:fill="EEF4FF"/>
          </w:tcPr>
          <w:p>
            <w:r/>
            <w:r>
              <w:rPr>
                <w:sz w:val="18"/>
              </w:rPr>
              <w:t>Long-term trend benchmark</w:t>
            </w:r>
          </w:p>
        </w:tc>
        <w:tc>
          <w:tcPr>
            <w:tcW w:type="dxa" w:w="2160"/>
            <w:shd w:val="clear" w:color="auto" w:fill="EEF4FF"/>
          </w:tcPr>
          <w:p>
            <w:r/>
            <w:r>
              <w:rPr>
                <w:sz w:val="18"/>
              </w:rPr>
              <w:t>Major resistance, breakout level</w:t>
            </w:r>
          </w:p>
        </w:tc>
      </w:tr>
      <w:tr>
        <w:tc>
          <w:tcPr>
            <w:tcW w:type="dxa" w:w="2160"/>
            <w:shd w:val="clear" w:color="auto" w:fill="FFFFFF"/>
          </w:tcPr>
          <w:p>
            <w:r/>
            <w:r>
              <w:rPr>
                <w:b/>
                <w:sz w:val="18"/>
              </w:rPr>
              <w:t>50 SMA</w:t>
            </w:r>
          </w:p>
        </w:tc>
        <w:tc>
          <w:tcPr>
            <w:tcW w:type="dxa" w:w="2160"/>
            <w:shd w:val="clear" w:color="auto" w:fill="FFFFFF"/>
          </w:tcPr>
          <w:p>
            <w:r/>
            <w:r>
              <w:rPr>
                <w:sz w:val="18"/>
              </w:rPr>
              <w:t>10,265</w:t>
            </w:r>
          </w:p>
        </w:tc>
        <w:tc>
          <w:tcPr>
            <w:tcW w:type="dxa" w:w="2160"/>
            <w:shd w:val="clear" w:color="auto" w:fill="FFFFFF"/>
          </w:tcPr>
          <w:p>
            <w:r/>
            <w:r>
              <w:rPr>
                <w:sz w:val="18"/>
              </w:rPr>
              <w:t>Medium-term trend</w:t>
            </w:r>
          </w:p>
        </w:tc>
        <w:tc>
          <w:tcPr>
            <w:tcW w:type="dxa" w:w="2160"/>
            <w:shd w:val="clear" w:color="auto" w:fill="FFFFFF"/>
          </w:tcPr>
          <w:p>
            <w:r/>
            <w:r>
              <w:rPr>
                <w:sz w:val="18"/>
              </w:rPr>
              <w:t>Key resistance zone</w:t>
            </w:r>
          </w:p>
        </w:tc>
      </w:tr>
      <w:tr>
        <w:tc>
          <w:tcPr>
            <w:tcW w:type="dxa" w:w="2160"/>
            <w:shd w:val="clear" w:color="auto" w:fill="EEF4FF"/>
          </w:tcPr>
          <w:p>
            <w:r/>
            <w:r>
              <w:rPr>
                <w:b/>
                <w:sz w:val="18"/>
              </w:rPr>
              <w:t>Bollinger Upper</w:t>
            </w:r>
          </w:p>
        </w:tc>
        <w:tc>
          <w:tcPr>
            <w:tcW w:type="dxa" w:w="2160"/>
            <w:shd w:val="clear" w:color="auto" w:fill="EEF4FF"/>
          </w:tcPr>
          <w:p>
            <w:r/>
            <w:r>
              <w:rPr>
                <w:sz w:val="18"/>
              </w:rPr>
              <w:t>10,279</w:t>
            </w:r>
          </w:p>
        </w:tc>
        <w:tc>
          <w:tcPr>
            <w:tcW w:type="dxa" w:w="2160"/>
            <w:shd w:val="clear" w:color="auto" w:fill="EEF4FF"/>
          </w:tcPr>
          <w:p>
            <w:r/>
            <w:r>
              <w:rPr>
                <w:sz w:val="18"/>
              </w:rPr>
              <w:t>Overbought threshold</w:t>
            </w:r>
          </w:p>
        </w:tc>
        <w:tc>
          <w:tcPr>
            <w:tcW w:type="dxa" w:w="2160"/>
            <w:shd w:val="clear" w:color="auto" w:fill="EEF4FF"/>
          </w:tcPr>
          <w:p>
            <w:r/>
            <w:r>
              <w:rPr>
                <w:sz w:val="18"/>
              </w:rPr>
              <w:t>Extended move target</w:t>
            </w:r>
          </w:p>
        </w:tc>
      </w:tr>
      <w:tr>
        <w:tc>
          <w:tcPr>
            <w:tcW w:type="dxa" w:w="2160"/>
            <w:shd w:val="clear" w:color="auto" w:fill="FFFFFF"/>
          </w:tcPr>
          <w:p>
            <w:r/>
            <w:r>
              <w:rPr>
                <w:b/>
                <w:sz w:val="18"/>
              </w:rPr>
              <w:t>Recent High</w:t>
            </w:r>
          </w:p>
        </w:tc>
        <w:tc>
          <w:tcPr>
            <w:tcW w:type="dxa" w:w="2160"/>
            <w:shd w:val="clear" w:color="auto" w:fill="FFFFFF"/>
          </w:tcPr>
          <w:p>
            <w:r/>
            <w:r>
              <w:rPr>
                <w:sz w:val="18"/>
              </w:rPr>
              <w:t>10,490</w:t>
            </w:r>
          </w:p>
        </w:tc>
        <w:tc>
          <w:tcPr>
            <w:tcW w:type="dxa" w:w="2160"/>
            <w:shd w:val="clear" w:color="auto" w:fill="FFFFFF"/>
          </w:tcPr>
          <w:p>
            <w:r/>
            <w:r>
              <w:rPr>
                <w:sz w:val="18"/>
              </w:rPr>
              <w:t>February 2026 peak</w:t>
            </w:r>
          </w:p>
        </w:tc>
        <w:tc>
          <w:tcPr>
            <w:tcW w:type="dxa" w:w="2160"/>
            <w:shd w:val="clear" w:color="auto" w:fill="FFFFFF"/>
          </w:tcPr>
          <w:p>
            <w:r/>
            <w:r>
              <w:rPr>
                <w:sz w:val="18"/>
              </w:rPr>
              <w:t>Long-term target (4+ weeks)</w:t>
            </w:r>
          </w:p>
        </w:tc>
      </w:tr>
    </w:tbl>
    <w:p/>
    <w:p>
      <w:pPr>
        <w:pStyle w:val="Heading3"/>
        <w:jc w:val="left"/>
      </w:pPr>
      <w:r>
        <w:rPr>
          <w:color w:val="502878"/>
          <w:sz w:val="24"/>
        </w:rPr>
        <w:t>**Technical Indicator Summary Table**</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val="clear" w:color="auto" w:fill="1F3C78"/>
          </w:tcPr>
          <w:p>
            <w:r/>
            <w:r>
              <w:rPr>
                <w:b/>
                <w:color w:val="FFFFFF"/>
                <w:sz w:val="18"/>
              </w:rPr>
              <w:t>**Indicator**</w:t>
            </w:r>
          </w:p>
        </w:tc>
        <w:tc>
          <w:tcPr>
            <w:tcW w:type="dxa" w:w="1728"/>
            <w:shd w:val="clear" w:color="auto" w:fill="1F3C78"/>
          </w:tcPr>
          <w:p>
            <w:r/>
            <w:r>
              <w:rPr>
                <w:b/>
                <w:color w:val="FFFFFF"/>
                <w:sz w:val="18"/>
              </w:rPr>
              <w:t>**Current Value**</w:t>
            </w:r>
          </w:p>
        </w:tc>
        <w:tc>
          <w:tcPr>
            <w:tcW w:type="dxa" w:w="1728"/>
            <w:shd w:val="clear" w:color="auto" w:fill="1F3C78"/>
          </w:tcPr>
          <w:p>
            <w:r/>
            <w:r>
              <w:rPr>
                <w:b/>
                <w:color w:val="FFFFFF"/>
                <w:sz w:val="18"/>
              </w:rPr>
              <w:t>**Signal**</w:t>
            </w:r>
          </w:p>
        </w:tc>
        <w:tc>
          <w:tcPr>
            <w:tcW w:type="dxa" w:w="1728"/>
            <w:shd w:val="clear" w:color="auto" w:fill="1F3C78"/>
          </w:tcPr>
          <w:p>
            <w:r/>
            <w:r>
              <w:rPr>
                <w:b/>
                <w:color w:val="FFFFFF"/>
                <w:sz w:val="18"/>
              </w:rPr>
              <w:t>**Strength**</w:t>
            </w:r>
          </w:p>
        </w:tc>
        <w:tc>
          <w:tcPr>
            <w:tcW w:type="dxa" w:w="1728"/>
            <w:shd w:val="clear" w:color="auto" w:fill="1F3C78"/>
          </w:tcPr>
          <w:p>
            <w:r/>
            <w:r>
              <w:rPr>
                <w:b/>
                <w:color w:val="FFFFFF"/>
                <w:sz w:val="18"/>
              </w:rPr>
              <w:t>**Interpretation**</w:t>
            </w:r>
          </w:p>
        </w:tc>
      </w:tr>
      <w:tr>
        <w:tc>
          <w:tcPr>
            <w:tcW w:type="dxa" w:w="1728"/>
            <w:shd w:val="clear" w:color="auto" w:fill="EEF4FF"/>
          </w:tcPr>
          <w:p>
            <w:r/>
            <w:r>
              <w:rPr>
                <w:b/>
                <w:sz w:val="18"/>
              </w:rPr>
              <w:t>RSI (14)</w:t>
            </w:r>
          </w:p>
        </w:tc>
        <w:tc>
          <w:tcPr>
            <w:tcW w:type="dxa" w:w="1728"/>
            <w:shd w:val="clear" w:color="auto" w:fill="EEF4FF"/>
          </w:tcPr>
          <w:p>
            <w:r/>
            <w:r>
              <w:rPr>
                <w:sz w:val="18"/>
              </w:rPr>
              <w:t>42.43</w:t>
            </w:r>
          </w:p>
        </w:tc>
        <w:tc>
          <w:tcPr>
            <w:tcW w:type="dxa" w:w="1728"/>
            <w:shd w:val="clear" w:color="auto" w:fill="EEF4FF"/>
          </w:tcPr>
          <w:p>
            <w:r/>
            <w:r>
              <w:rPr>
                <w:sz w:val="18"/>
              </w:rPr>
              <w:t>Neutral-Bullish</w:t>
            </w:r>
          </w:p>
        </w:tc>
        <w:tc>
          <w:tcPr>
            <w:tcW w:type="dxa" w:w="1728"/>
            <w:shd w:val="clear" w:color="auto" w:fill="EEF4FF"/>
          </w:tcPr>
          <w:p>
            <w:r/>
            <w:r>
              <w:rPr>
                <w:sz w:val="18"/>
              </w:rPr>
              <w:t>Moderate</w:t>
            </w:r>
          </w:p>
        </w:tc>
        <w:tc>
          <w:tcPr>
            <w:tcW w:type="dxa" w:w="1728"/>
            <w:shd w:val="clear" w:color="auto" w:fill="EEF4FF"/>
          </w:tcPr>
          <w:p>
            <w:r/>
            <w:r>
              <w:rPr>
                <w:sz w:val="18"/>
              </w:rPr>
              <w:t>Recovered from oversold (26), neutral zone</w:t>
            </w:r>
          </w:p>
        </w:tc>
      </w:tr>
      <w:tr>
        <w:tc>
          <w:tcPr>
            <w:tcW w:type="dxa" w:w="1728"/>
            <w:shd w:val="clear" w:color="auto" w:fill="FFFFFF"/>
          </w:tcPr>
          <w:p>
            <w:r/>
            <w:r>
              <w:rPr>
                <w:b/>
                <w:sz w:val="18"/>
              </w:rPr>
              <w:t>MACD</w:t>
            </w:r>
          </w:p>
        </w:tc>
        <w:tc>
          <w:tcPr>
            <w:tcW w:type="dxa" w:w="1728"/>
            <w:shd w:val="clear" w:color="auto" w:fill="FFFFFF"/>
          </w:tcPr>
          <w:p>
            <w:r/>
            <w:r>
              <w:rPr>
                <w:sz w:val="18"/>
              </w:rPr>
              <w:t>-51.51</w:t>
            </w:r>
          </w:p>
        </w:tc>
        <w:tc>
          <w:tcPr>
            <w:tcW w:type="dxa" w:w="1728"/>
            <w:shd w:val="clear" w:color="auto" w:fill="FFFFFF"/>
          </w:tcPr>
          <w:p>
            <w:r/>
            <w:r>
              <w:rPr>
                <w:sz w:val="18"/>
              </w:rPr>
              <w:t>Bearish</w:t>
            </w:r>
          </w:p>
        </w:tc>
        <w:tc>
          <w:tcPr>
            <w:tcW w:type="dxa" w:w="1728"/>
            <w:shd w:val="clear" w:color="auto" w:fill="FFFFFF"/>
          </w:tcPr>
          <w:p>
            <w:r/>
            <w:r>
              <w:rPr>
                <w:sz w:val="18"/>
              </w:rPr>
              <w:t>Weak</w:t>
            </w:r>
          </w:p>
        </w:tc>
        <w:tc>
          <w:tcPr>
            <w:tcW w:type="dxa" w:w="1728"/>
            <w:shd w:val="clear" w:color="auto" w:fill="FFFFFF"/>
          </w:tcPr>
          <w:p>
            <w:r/>
            <w:r>
              <w:rPr>
                <w:sz w:val="18"/>
              </w:rPr>
              <w:t>Negative but improving, watch for zero cross</w:t>
            </w:r>
          </w:p>
        </w:tc>
      </w:tr>
      <w:tr>
        <w:tc>
          <w:tcPr>
            <w:tcW w:type="dxa" w:w="1728"/>
            <w:shd w:val="clear" w:color="auto" w:fill="EEF4FF"/>
          </w:tcPr>
          <w:p>
            <w:r/>
            <w:r>
              <w:rPr>
                <w:b/>
                <w:sz w:val="18"/>
              </w:rPr>
              <w:t>MACD Histogram</w:t>
            </w:r>
          </w:p>
        </w:tc>
        <w:tc>
          <w:tcPr>
            <w:tcW w:type="dxa" w:w="1728"/>
            <w:shd w:val="clear" w:color="auto" w:fill="EEF4FF"/>
          </w:tcPr>
          <w:p>
            <w:r/>
            <w:r>
              <w:rPr>
                <w:sz w:val="18"/>
              </w:rPr>
              <w:t>+2.18</w:t>
            </w:r>
          </w:p>
        </w:tc>
        <w:tc>
          <w:tcPr>
            <w:tcW w:type="dxa" w:w="1728"/>
            <w:shd w:val="clear" w:color="auto" w:fill="EEF4FF"/>
          </w:tcPr>
          <w:p>
            <w:r/>
            <w:r>
              <w:rPr>
                <w:sz w:val="18"/>
              </w:rPr>
              <w:t>Bullish</w:t>
            </w:r>
          </w:p>
        </w:tc>
        <w:tc>
          <w:tcPr>
            <w:tcW w:type="dxa" w:w="1728"/>
            <w:shd w:val="clear" w:color="auto" w:fill="EEF4FF"/>
          </w:tcPr>
          <w:p>
            <w:r/>
            <w:r>
              <w:rPr>
                <w:sz w:val="18"/>
              </w:rPr>
              <w:t>Weak</w:t>
            </w:r>
          </w:p>
        </w:tc>
        <w:tc>
          <w:tcPr>
            <w:tcW w:type="dxa" w:w="1728"/>
            <w:shd w:val="clear" w:color="auto" w:fill="EEF4FF"/>
          </w:tcPr>
          <w:p>
            <w:r/>
            <w:r>
              <w:rPr>
                <w:sz w:val="18"/>
              </w:rPr>
              <w:t>First positive reading, early momentum shift</w:t>
            </w:r>
          </w:p>
        </w:tc>
      </w:tr>
      <w:tr>
        <w:tc>
          <w:tcPr>
            <w:tcW w:type="dxa" w:w="1728"/>
            <w:shd w:val="clear" w:color="auto" w:fill="FFFFFF"/>
          </w:tcPr>
          <w:p>
            <w:r/>
            <w:r>
              <w:rPr>
                <w:b/>
                <w:sz w:val="18"/>
              </w:rPr>
              <w:t>10 EMA</w:t>
            </w:r>
          </w:p>
        </w:tc>
        <w:tc>
          <w:tcPr>
            <w:tcW w:type="dxa" w:w="1728"/>
            <w:shd w:val="clear" w:color="auto" w:fill="FFFFFF"/>
          </w:tcPr>
          <w:p>
            <w:r/>
            <w:r>
              <w:rPr>
                <w:sz w:val="18"/>
              </w:rPr>
              <w:t>10,104</w:t>
            </w:r>
          </w:p>
        </w:tc>
        <w:tc>
          <w:tcPr>
            <w:tcW w:type="dxa" w:w="1728"/>
            <w:shd w:val="clear" w:color="auto" w:fill="FFFFFF"/>
          </w:tcPr>
          <w:p>
            <w:r/>
            <w:r>
              <w:rPr>
                <w:sz w:val="18"/>
              </w:rPr>
              <w:t>Bullish</w:t>
            </w:r>
          </w:p>
        </w:tc>
        <w:tc>
          <w:tcPr>
            <w:tcW w:type="dxa" w:w="1728"/>
            <w:shd w:val="clear" w:color="auto" w:fill="FFFFFF"/>
          </w:tcPr>
          <w:p>
            <w:r/>
            <w:r>
              <w:rPr>
                <w:sz w:val="18"/>
              </w:rPr>
              <w:t>Weak</w:t>
            </w:r>
          </w:p>
        </w:tc>
        <w:tc>
          <w:tcPr>
            <w:tcW w:type="dxa" w:w="1728"/>
            <w:shd w:val="clear" w:color="auto" w:fill="FFFFFF"/>
          </w:tcPr>
          <w:p>
            <w:r/>
            <w:r>
              <w:rPr>
                <w:sz w:val="18"/>
              </w:rPr>
              <w:t>Price just above, testing support</w:t>
            </w:r>
          </w:p>
        </w:tc>
      </w:tr>
      <w:tr>
        <w:tc>
          <w:tcPr>
            <w:tcW w:type="dxa" w:w="1728"/>
            <w:shd w:val="clear" w:color="auto" w:fill="EEF4FF"/>
          </w:tcPr>
          <w:p>
            <w:r/>
            <w:r>
              <w:rPr>
                <w:b/>
                <w:sz w:val="18"/>
              </w:rPr>
              <w:t>50 SMA</w:t>
            </w:r>
          </w:p>
        </w:tc>
        <w:tc>
          <w:tcPr>
            <w:tcW w:type="dxa" w:w="1728"/>
            <w:shd w:val="clear" w:color="auto" w:fill="EEF4FF"/>
          </w:tcPr>
          <w:p>
            <w:r/>
            <w:r>
              <w:rPr>
                <w:sz w:val="18"/>
              </w:rPr>
              <w:t>10,265</w:t>
            </w:r>
          </w:p>
        </w:tc>
        <w:tc>
          <w:tcPr>
            <w:tcW w:type="dxa" w:w="1728"/>
            <w:shd w:val="clear" w:color="auto" w:fill="EEF4FF"/>
          </w:tcPr>
          <w:p>
            <w:r/>
            <w:r>
              <w:rPr>
                <w:sz w:val="18"/>
              </w:rPr>
              <w:t>Bearish</w:t>
            </w:r>
          </w:p>
        </w:tc>
        <w:tc>
          <w:tcPr>
            <w:tcW w:type="dxa" w:w="1728"/>
            <w:shd w:val="clear" w:color="auto" w:fill="EEF4FF"/>
          </w:tcPr>
          <w:p>
            <w:r/>
            <w:r>
              <w:rPr>
                <w:sz w:val="18"/>
              </w:rPr>
              <w:t>Strong</w:t>
            </w:r>
          </w:p>
        </w:tc>
        <w:tc>
          <w:tcPr>
            <w:tcW w:type="dxa" w:w="1728"/>
            <w:shd w:val="clear" w:color="auto" w:fill="EEF4FF"/>
          </w:tcPr>
          <w:p>
            <w:r/>
            <w:r>
              <w:rPr>
                <w:sz w:val="18"/>
              </w:rPr>
              <w:t>Price below, key resistance</w:t>
            </w:r>
          </w:p>
        </w:tc>
      </w:tr>
      <w:tr>
        <w:tc>
          <w:tcPr>
            <w:tcW w:type="dxa" w:w="1728"/>
            <w:shd w:val="clear" w:color="auto" w:fill="FFFFFF"/>
          </w:tcPr>
          <w:p>
            <w:r/>
            <w:r>
              <w:rPr>
                <w:b/>
                <w:sz w:val="18"/>
              </w:rPr>
              <w:t>200 SMA</w:t>
            </w:r>
          </w:p>
        </w:tc>
        <w:tc>
          <w:tcPr>
            <w:tcW w:type="dxa" w:w="1728"/>
            <w:shd w:val="clear" w:color="auto" w:fill="FFFFFF"/>
          </w:tcPr>
          <w:p>
            <w:r/>
            <w:r>
              <w:rPr>
                <w:sz w:val="18"/>
              </w:rPr>
            </w:r>
          </w:p>
        </w:tc>
        <w:tc>
          <w:tcPr>
            <w:tcW w:type="dxa" w:w="1728"/>
            <w:shd w:val="clear" w:color="auto" w:fill="FFFFFF"/>
          </w:tcPr>
          <w:p>
            <w:r/>
            <w:r>
              <w:rPr>
                <w:sz w:val="18"/>
              </w:rPr>
            </w:r>
          </w:p>
        </w:tc>
        <w:tc>
          <w:tcPr>
            <w:tcW w:type="dxa" w:w="1728"/>
            <w:shd w:val="clear" w:color="auto" w:fill="FFFFFF"/>
          </w:tcPr>
          <w:p>
            <w:r/>
            <w:r>
              <w:rPr>
                <w:sz w:val="18"/>
              </w:rPr>
            </w:r>
          </w:p>
        </w:tc>
        <w:tc>
          <w:tcPr>
            <w:tcW w:type="dxa" w:w="1728"/>
            <w:shd w:val="clear" w:color="auto" w:fill="FFFFFF"/>
          </w:tcPr>
          <w:p>
            <w:r/>
            <w:r>
              <w:rPr>
                <w:sz w:val="18"/>
              </w:rPr>
            </w:r>
          </w:p>
        </w:tc>
      </w:tr>
    </w:tbl>
    <w:p/>
    <w:p>
      <w:pPr>
        <w:pBdr>
          <w:bottom w:val="single" w:sz="6" w:space="1" w:color="CCCCCC"/>
        </w:pBdr>
      </w:pPr>
    </w:p>
    <w:p>
      <w:pPr>
        <w:pStyle w:val="Heading2"/>
        <w:jc w:val="left"/>
      </w:pPr>
      <w:r>
        <w:rPr>
          <w:color w:val="783C00"/>
        </w:rPr>
        <w:t>Rapport Sentiment / Social</w:t>
      </w:r>
    </w:p>
    <w:p>
      <w:pPr>
        <w:pStyle w:val="Heading2"/>
        <w:jc w:val="left"/>
      </w:pPr>
      <w:r>
        <w:rPr>
          <w:color w:val="783C00"/>
          <w:sz w:val="28"/>
        </w:rPr>
        <w:t>Sentiment Report for CRASH150N</w:t>
      </w:r>
    </w:p>
    <w:p>
      <w:pPr>
        <w:pBdr>
          <w:bottom w:val="single" w:sz="6" w:space="1" w:color="CCCCCC"/>
        </w:pBdr>
      </w:pPr>
    </w:p>
    <w:p>
      <w:pPr>
        <w:pStyle w:val="Heading3"/>
        <w:jc w:val="left"/>
      </w:pPr>
      <w:r>
        <w:rPr>
          <w:color w:val="783C00"/>
          <w:sz w:val="24"/>
        </w:rPr>
        <w:t>1. Overall Sentiment Direction</w:t>
      </w:r>
    </w:p>
    <w:p>
      <w:pPr>
        <w:jc w:val="both"/>
      </w:pPr>
      <w:r>
        <w:rPr>
          <w:b/>
          <w:sz w:val="22"/>
        </w:rPr>
        <w:t>NEUTRAL / INDETERMINATE</w:t>
      </w:r>
      <w:r>
        <w:rPr>
          <w:sz w:val="22"/>
        </w:rPr>
        <w:t xml:space="preserve"> - </w:t>
      </w:r>
      <w:r>
        <w:rPr>
          <w:b/>
          <w:sz w:val="22"/>
        </w:rPr>
        <w:t>Low Confidence</w:t>
      </w:r>
    </w:p>
    <w:p>
      <w:pPr>
        <w:jc w:val="both"/>
      </w:pPr>
      <w:r>
        <w:rPr>
          <w:sz w:val="20"/>
        </w:rPr>
        <w:t>The sentiment assessment for CRASH150N is severely constrained by an absence of meaningful data across all three sources. With no news coverage, unavailable StockTwits data due to a technical error, and zero Reddit mentions across the three primary investing subreddits, there is insufficient signal to establish a directional sentiment read. This lack of visibility itself constitutes a form of signal - indicating either extremely low retail awareness, limited trading activity, or that the instrument operates outside the scope of typical retail discussion channels.</w:t>
      </w:r>
    </w:p>
    <w:p>
      <w:pPr>
        <w:pBdr>
          <w:bottom w:val="single" w:sz="6" w:space="1" w:color="CCCCCC"/>
        </w:pBdr>
      </w:pPr>
    </w:p>
    <w:p>
      <w:pPr>
        <w:pStyle w:val="Heading3"/>
        <w:jc w:val="left"/>
      </w:pPr>
      <w:r>
        <w:rPr>
          <w:color w:val="783C00"/>
          <w:sz w:val="24"/>
        </w:rPr>
        <w:t>2. Source-by-Source Breakdown</w:t>
      </w:r>
    </w:p>
    <w:p>
      <w:pPr>
        <w:pStyle w:val="Heading4"/>
        <w:jc w:val="left"/>
      </w:pPr>
      <w:r>
        <w:rPr>
          <w:color w:val="783C00"/>
          <w:sz w:val="22"/>
        </w:rPr>
        <w:t>A. Yahoo Finance News (Past 7 Days)</w:t>
      </w:r>
    </w:p>
    <w:p>
      <w:pPr>
        <w:jc w:val="both"/>
      </w:pPr>
      <w:r>
        <w:rPr>
          <w:b/>
          <w:sz w:val="20"/>
        </w:rPr>
        <w:t>Interpretation:</w:t>
      </w:r>
      <w:r>
        <w:rPr>
          <w:sz w:val="20"/>
        </w:rPr>
        <w:t xml:space="preserve"> The absence of institutional news coverage suggests:</w:t>
      </w:r>
    </w:p>
    <w:p>
      <w:pPr>
        <w:jc w:val="both"/>
      </w:pPr>
      <w:r>
        <w:rPr>
          <w:sz w:val="20"/>
        </w:rPr>
        <w:t>- CRASH150N may be a niche or synthetic instrument not tracked by mainstream financial media</w:t>
      </w:r>
    </w:p>
    <w:p>
      <w:pPr>
        <w:jc w:val="both"/>
      </w:pPr>
      <w:r>
        <w:rPr>
          <w:sz w:val="20"/>
        </w:rPr>
        <w:t>- No material corporate events, earnings releases, or regulatory filings occurred during this period</w:t>
      </w:r>
    </w:p>
    <w:p>
      <w:pPr>
        <w:jc w:val="both"/>
      </w:pPr>
      <w:r>
        <w:rPr>
          <w:sz w:val="20"/>
        </w:rPr>
        <w:t>- The ticker may represent a derivative, ETN, or synthetic index outside the typical equity news cycle</w:t>
      </w:r>
    </w:p>
    <w:p>
      <w:pPr>
        <w:jc w:val="both"/>
      </w:pPr>
      <w:r>
        <w:rPr>
          <w:b/>
          <w:sz w:val="22"/>
        </w:rPr>
        <w:t>Actionable takeaway:</w:t>
      </w:r>
      <w:r>
        <w:rPr>
          <w:sz w:val="22"/>
        </w:rPr>
        <w:t xml:space="preserve"> News silence is not inherently bearish or bullish - it simply reflects low institutional media attention. Traders relying on news-driven catalysts will find no momentum here.</w:t>
      </w:r>
    </w:p>
    <w:p>
      <w:pPr>
        <w:pBdr>
          <w:bottom w:val="single" w:sz="6" w:space="1" w:color="CCCCCC"/>
        </w:pBdr>
      </w:pPr>
    </w:p>
    <w:p>
      <w:pPr>
        <w:pStyle w:val="Heading4"/>
        <w:jc w:val="left"/>
      </w:pPr>
      <w:r>
        <w:rPr>
          <w:color w:val="783C00"/>
          <w:sz w:val="22"/>
        </w:rPr>
        <w:t>B. StockTwits (Retail Social Sentiment)</w:t>
      </w:r>
    </w:p>
    <w:p>
      <w:pPr>
        <w:jc w:val="both"/>
      </w:pPr>
      <w:r>
        <w:rPr>
          <w:b/>
          <w:sz w:val="20"/>
        </w:rPr>
        <w:t>Interpretation:</w:t>
      </w:r>
      <w:r>
        <w:rPr>
          <w:sz w:val="20"/>
        </w:rPr>
        <w:t xml:space="preserve"> A technical error prevented retrieval of StockTwits messages. This could indicate:</w:t>
      </w:r>
    </w:p>
    <w:p>
      <w:pPr>
        <w:jc w:val="both"/>
      </w:pPr>
      <w:r>
        <w:rPr>
          <w:sz w:val="20"/>
        </w:rPr>
        <w:t>- The ticker is not actively discussed on StockTwits (returns empty/error)</w:t>
      </w:r>
    </w:p>
    <w:p>
      <w:pPr>
        <w:jc w:val="both"/>
      </w:pPr>
      <w:r>
        <w:rPr>
          <w:sz w:val="20"/>
        </w:rPr>
        <w:t>- API connectivity issues during the data pull</w:t>
      </w:r>
    </w:p>
    <w:p>
      <w:pPr>
        <w:jc w:val="both"/>
      </w:pPr>
      <w:r>
        <w:rPr>
          <w:sz w:val="20"/>
        </w:rPr>
        <w:t>- The instrument may use a non-standard cashtag format not recognized by StockTwits</w:t>
      </w:r>
    </w:p>
    <w:p>
      <w:pPr>
        <w:jc w:val="both"/>
      </w:pPr>
      <w:r>
        <w:rPr>
          <w:b/>
          <w:sz w:val="22"/>
        </w:rPr>
        <w:t>Actionable takeaway:</w:t>
      </w:r>
      <w:r>
        <w:rPr>
          <w:sz w:val="22"/>
        </w:rPr>
        <w:t xml:space="preserve"> Without the fast-moving retail sentiment signal from StockTwits, we lose visibility into real-time trader positioning and momentum shifts. This gap is material - StockTwits often provides the earliest signal of retail accumulation or distribution.</w:t>
      </w:r>
    </w:p>
    <w:p>
      <w:pPr>
        <w:pBdr>
          <w:bottom w:val="single" w:sz="6" w:space="1" w:color="CCCCCC"/>
        </w:pBdr>
      </w:pPr>
    </w:p>
    <w:p>
      <w:pPr>
        <w:pStyle w:val="Heading4"/>
        <w:jc w:val="left"/>
      </w:pPr>
      <w:r>
        <w:rPr>
          <w:color w:val="783C00"/>
          <w:sz w:val="22"/>
        </w:rPr>
        <w:t>C. Reddit (r/wallstreetbets, r/stocks, r/investing)</w:t>
      </w:r>
    </w:p>
    <w:p>
      <w:pPr>
        <w:jc w:val="both"/>
      </w:pPr>
      <w:r>
        <w:rPr>
          <w:b/>
          <w:sz w:val="20"/>
        </w:rPr>
        <w:t>Interpretation:</w:t>
      </w:r>
      <w:r>
        <w:rPr>
          <w:sz w:val="20"/>
        </w:rPr>
        <w:t xml:space="preserve"> The complete absence of Reddit discussion is notable:</w:t>
      </w:r>
    </w:p>
    <w:p>
      <w:pPr>
        <w:jc w:val="both"/>
      </w:pPr>
      <w:r>
        <w:rPr>
          <w:sz w:val="20"/>
        </w:rPr>
        <w:t xml:space="preserve">- </w:t>
      </w:r>
      <w:r>
        <w:rPr>
          <w:b/>
          <w:sz w:val="20"/>
        </w:rPr>
        <w:t>r/wallstreetbets</w:t>
      </w:r>
      <w:r>
        <w:rPr>
          <w:sz w:val="20"/>
        </w:rPr>
        <w:t xml:space="preserve"> (high-risk, momentum-driven): No mention suggests the instrument is not part of the current retail "hype cycle"</w:t>
      </w:r>
    </w:p>
    <w:p>
      <w:pPr>
        <w:jc w:val="both"/>
      </w:pPr>
      <w:r>
        <w:rPr>
          <w:sz w:val="20"/>
        </w:rPr>
        <w:t xml:space="preserve">- </w:t>
      </w:r>
      <w:r>
        <w:rPr>
          <w:b/>
          <w:sz w:val="20"/>
        </w:rPr>
        <w:t>r/stocks</w:t>
      </w:r>
      <w:r>
        <w:rPr>
          <w:sz w:val="20"/>
        </w:rPr>
        <w:t xml:space="preserve"> (fundamental analysis focus): No threads indicate lack of valuation debate or fundamental interest</w:t>
      </w:r>
    </w:p>
    <w:p>
      <w:pPr>
        <w:jc w:val="both"/>
      </w:pPr>
      <w:r>
        <w:rPr>
          <w:sz w:val="20"/>
        </w:rPr>
        <w:t xml:space="preserve">- </w:t>
      </w:r>
      <w:r>
        <w:rPr>
          <w:b/>
          <w:sz w:val="20"/>
        </w:rPr>
        <w:t>r/investing</w:t>
      </w:r>
      <w:r>
        <w:rPr>
          <w:sz w:val="20"/>
        </w:rPr>
        <w:t xml:space="preserve"> (long-term, conservative): Silence here suggests the instrument is not being evaluated as a core portfolio holding</w:t>
      </w:r>
    </w:p>
    <w:p>
      <w:pPr>
        <w:jc w:val="both"/>
      </w:pPr>
      <w:r>
        <w:rPr>
          <w:b/>
          <w:sz w:val="22"/>
        </w:rPr>
        <w:t>Actionable takeaway:</w:t>
      </w:r>
      <w:r>
        <w:rPr>
          <w:sz w:val="22"/>
        </w:rPr>
        <w:t xml:space="preserve"> Lack of Reddit engagement means no community-driven narrative, no viral momentum, and no crowd-sourced due diligence. This is consistent with either a professional-only instrument or one with very low retail participation.</w:t>
      </w:r>
    </w:p>
    <w:p>
      <w:pPr>
        <w:pBdr>
          <w:bottom w:val="single" w:sz="6" w:space="1" w:color="CCCCCC"/>
        </w:pBdr>
      </w:pPr>
    </w:p>
    <w:p>
      <w:pPr>
        <w:pStyle w:val="Heading3"/>
        <w:jc w:val="left"/>
      </w:pPr>
      <w:r>
        <w:rPr>
          <w:color w:val="783C00"/>
          <w:sz w:val="24"/>
        </w:rPr>
        <w:t>3. Divergences, Alignments, and Key Narratives</w:t>
      </w:r>
    </w:p>
    <w:p>
      <w:pPr>
        <w:pStyle w:val="Heading4"/>
        <w:jc w:val="left"/>
      </w:pPr>
      <w:r>
        <w:rPr>
          <w:color w:val="783C00"/>
          <w:sz w:val="22"/>
        </w:rPr>
        <w:t>Cross-Source Alignment</w:t>
      </w:r>
    </w:p>
    <w:p>
      <w:pPr>
        <w:pStyle w:val="ListNumber"/>
      </w:pPr>
      <w:r>
        <w:rPr>
          <w:b/>
          <w:sz w:val="20"/>
        </w:rPr>
        <w:t>Low liquidity or trading volume</w:t>
      </w:r>
      <w:r>
        <w:rPr>
          <w:sz w:val="20"/>
        </w:rPr>
        <w:t xml:space="preserve"> - instruments with active markets generate discussion</w:t>
      </w:r>
    </w:p>
    <w:p>
      <w:pPr>
        <w:pStyle w:val="ListNumber"/>
      </w:pPr>
      <w:r>
        <w:rPr>
          <w:b/>
          <w:sz w:val="20"/>
        </w:rPr>
        <w:t>Non-retail instrument</w:t>
      </w:r>
      <w:r>
        <w:rPr>
          <w:sz w:val="20"/>
        </w:rPr>
        <w:t xml:space="preserve"> - CRASH150N may be a synthetic index, volatility product, or institutional-only vehicle</w:t>
      </w:r>
    </w:p>
    <w:p>
      <w:pPr>
        <w:pStyle w:val="ListNumber"/>
      </w:pPr>
      <w:r>
        <w:rPr>
          <w:b/>
          <w:sz w:val="20"/>
        </w:rPr>
        <w:t>Emerging or delisted status</w:t>
      </w:r>
      <w:r>
        <w:rPr>
          <w:sz w:val="20"/>
        </w:rPr>
        <w:t xml:space="preserve"> - newly launched instruments or those being phased out often lack coverage</w:t>
      </w:r>
    </w:p>
    <w:p>
      <w:pPr>
        <w:pStyle w:val="Heading4"/>
        <w:jc w:val="left"/>
      </w:pPr>
      <w:r>
        <w:rPr>
          <w:color w:val="783C00"/>
          <w:sz w:val="22"/>
        </w:rPr>
        <w:t>Key Narratives</w:t>
      </w:r>
    </w:p>
    <w:p>
      <w:pPr>
        <w:pBdr>
          <w:bottom w:val="single" w:sz="6" w:space="1" w:color="CCCCCC"/>
        </w:pBdr>
      </w:pPr>
    </w:p>
    <w:p>
      <w:pPr>
        <w:pStyle w:val="Heading3"/>
        <w:jc w:val="left"/>
      </w:pPr>
      <w:r>
        <w:rPr>
          <w:color w:val="783C00"/>
          <w:sz w:val="24"/>
        </w:rPr>
        <w:t>4. Catalysts and Risks</w:t>
      </w:r>
    </w:p>
    <w:p>
      <w:pPr>
        <w:pStyle w:val="Heading4"/>
        <w:jc w:val="left"/>
      </w:pPr>
      <w:r>
        <w:rPr>
          <w:color w:val="783C00"/>
          <w:sz w:val="22"/>
        </w:rPr>
        <w:t>Identified Catalysts (Bullish Drivers)</w:t>
      </w:r>
    </w:p>
    <w:p>
      <w:pPr>
        <w:pStyle w:val="Heading4"/>
        <w:jc w:val="left"/>
      </w:pPr>
      <w:r>
        <w:rPr>
          <w:color w:val="783C00"/>
          <w:sz w:val="22"/>
        </w:rPr>
        <w:t>Identified Risks (Bearish Drivers)</w:t>
      </w:r>
    </w:p>
    <w:p>
      <w:pPr>
        <w:pStyle w:val="Heading4"/>
        <w:jc w:val="left"/>
      </w:pPr>
      <w:r>
        <w:rPr>
          <w:color w:val="783C00"/>
          <w:sz w:val="22"/>
        </w:rPr>
        <w:t>Macro/Sector Context</w:t>
      </w:r>
    </w:p>
    <w:p>
      <w:pPr>
        <w:pBdr>
          <w:bottom w:val="single" w:sz="6" w:space="1" w:color="CCCCCC"/>
        </w:pBdr>
      </w:pPr>
    </w:p>
    <w:p>
      <w:pPr>
        <w:pStyle w:val="Heading3"/>
        <w:jc w:val="left"/>
      </w:pPr>
      <w:r>
        <w:rPr>
          <w:color w:val="783C00"/>
          <w:sz w:val="24"/>
        </w:rPr>
        <w:t>5. Summary Table: Sentiment Signals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val="clear" w:color="auto" w:fill="1F3C78"/>
          </w:tcPr>
          <w:p>
            <w:r/>
            <w:r>
              <w:rPr>
                <w:b/>
                <w:color w:val="FFFFFF"/>
                <w:sz w:val="18"/>
              </w:rPr>
              <w:t>**Signal Source**</w:t>
            </w:r>
          </w:p>
        </w:tc>
        <w:tc>
          <w:tcPr>
            <w:tcW w:type="dxa" w:w="2160"/>
            <w:shd w:val="clear" w:color="auto" w:fill="1F3C78"/>
          </w:tcPr>
          <w:p>
            <w:r/>
            <w:r>
              <w:rPr>
                <w:b/>
                <w:color w:val="FFFFFF"/>
                <w:sz w:val="18"/>
              </w:rPr>
              <w:t>**Direction**</w:t>
            </w:r>
          </w:p>
        </w:tc>
        <w:tc>
          <w:tcPr>
            <w:tcW w:type="dxa" w:w="2160"/>
            <w:shd w:val="clear" w:color="auto" w:fill="1F3C78"/>
          </w:tcPr>
          <w:p>
            <w:r/>
            <w:r>
              <w:rPr>
                <w:b/>
                <w:color w:val="FFFFFF"/>
                <w:sz w:val="18"/>
              </w:rPr>
              <w:t>**Confidence**</w:t>
            </w:r>
          </w:p>
        </w:tc>
        <w:tc>
          <w:tcPr>
            <w:tcW w:type="dxa" w:w="2160"/>
            <w:shd w:val="clear" w:color="auto" w:fill="1F3C78"/>
          </w:tcPr>
          <w:p>
            <w:r/>
            <w:r>
              <w:rPr>
                <w:b/>
                <w:color w:val="FFFFFF"/>
                <w:sz w:val="18"/>
              </w:rPr>
              <w:t>**Supporting Evidence**</w:t>
            </w:r>
          </w:p>
        </w:tc>
      </w:tr>
      <w:tr>
        <w:tc>
          <w:tcPr>
            <w:tcW w:type="dxa" w:w="2160"/>
            <w:shd w:val="clear" w:color="auto" w:fill="EEF4FF"/>
          </w:tcPr>
          <w:p>
            <w:r/>
            <w:r>
              <w:rPr>
                <w:sz w:val="18"/>
              </w:rPr>
              <w:t>Yahoo Finance News</w:t>
            </w:r>
          </w:p>
        </w:tc>
        <w:tc>
          <w:tcPr>
            <w:tcW w:type="dxa" w:w="2160"/>
            <w:shd w:val="clear" w:color="auto" w:fill="EEF4FF"/>
          </w:tcPr>
          <w:p>
            <w:r/>
            <w:r>
              <w:rPr>
                <w:sz w:val="18"/>
              </w:rPr>
              <w:t>No Signal</w:t>
            </w:r>
          </w:p>
        </w:tc>
        <w:tc>
          <w:tcPr>
            <w:tcW w:type="dxa" w:w="2160"/>
            <w:shd w:val="clear" w:color="auto" w:fill="EEF4FF"/>
          </w:tcPr>
          <w:p>
            <w:r/>
            <w:r>
              <w:rPr>
                <w:sz w:val="18"/>
              </w:rPr>
              <w:t>N/A</w:t>
            </w:r>
          </w:p>
        </w:tc>
        <w:tc>
          <w:tcPr>
            <w:tcW w:type="dxa" w:w="2160"/>
            <w:shd w:val="clear" w:color="auto" w:fill="EEF4FF"/>
          </w:tcPr>
          <w:p>
            <w:r/>
            <w:r>
              <w:rPr>
                <w:sz w:val="18"/>
              </w:rPr>
              <w:t>Zero news articles found for CRASH150N in past 7 days</w:t>
            </w:r>
          </w:p>
        </w:tc>
      </w:tr>
      <w:tr>
        <w:tc>
          <w:tcPr>
            <w:tcW w:type="dxa" w:w="2160"/>
            <w:shd w:val="clear" w:color="auto" w:fill="FFFFFF"/>
          </w:tcPr>
          <w:p>
            <w:r/>
            <w:r>
              <w:rPr>
                <w:sz w:val="18"/>
              </w:rPr>
              <w:t>StockTwits (Retail)</w:t>
            </w:r>
          </w:p>
        </w:tc>
        <w:tc>
          <w:tcPr>
            <w:tcW w:type="dxa" w:w="2160"/>
            <w:shd w:val="clear" w:color="auto" w:fill="FFFFFF"/>
          </w:tcPr>
          <w:p>
            <w:r/>
            <w:r>
              <w:rPr>
                <w:sz w:val="18"/>
              </w:rPr>
              <w:t>Unavailable</w:t>
            </w:r>
          </w:p>
        </w:tc>
        <w:tc>
          <w:tcPr>
            <w:tcW w:type="dxa" w:w="2160"/>
            <w:shd w:val="clear" w:color="auto" w:fill="FFFFFF"/>
          </w:tcPr>
          <w:p>
            <w:r/>
            <w:r>
              <w:rPr>
                <w:sz w:val="18"/>
              </w:rPr>
              <w:t>N/A</w:t>
            </w:r>
          </w:p>
        </w:tc>
        <w:tc>
          <w:tcPr>
            <w:tcW w:type="dxa" w:w="2160"/>
            <w:shd w:val="clear" w:color="auto" w:fill="FFFFFF"/>
          </w:tcPr>
          <w:p>
            <w:r/>
            <w:r>
              <w:rPr>
                <w:sz w:val="18"/>
              </w:rPr>
              <w:t>HTTPError - data could not be retrieved; no Bullish/Bearish ratio available</w:t>
            </w:r>
          </w:p>
        </w:tc>
      </w:tr>
      <w:tr>
        <w:tc>
          <w:tcPr>
            <w:tcW w:type="dxa" w:w="2160"/>
            <w:shd w:val="clear" w:color="auto" w:fill="EEF4FF"/>
          </w:tcPr>
          <w:p>
            <w:r/>
            <w:r>
              <w:rPr>
                <w:sz w:val="18"/>
              </w:rPr>
              <w:t>Reddit (WSB/Stocks/Invest)</w:t>
            </w:r>
          </w:p>
        </w:tc>
        <w:tc>
          <w:tcPr>
            <w:tcW w:type="dxa" w:w="2160"/>
            <w:shd w:val="clear" w:color="auto" w:fill="EEF4FF"/>
          </w:tcPr>
          <w:p>
            <w:r/>
            <w:r>
              <w:rPr>
                <w:sz w:val="18"/>
              </w:rPr>
              <w:t>No Signal</w:t>
            </w:r>
          </w:p>
        </w:tc>
        <w:tc>
          <w:tcPr>
            <w:tcW w:type="dxa" w:w="2160"/>
            <w:shd w:val="clear" w:color="auto" w:fill="EEF4FF"/>
          </w:tcPr>
          <w:p>
            <w:r/>
            <w:r>
              <w:rPr>
                <w:sz w:val="18"/>
              </w:rPr>
              <w:t>N/A</w:t>
            </w:r>
          </w:p>
        </w:tc>
        <w:tc>
          <w:tcPr>
            <w:tcW w:type="dxa" w:w="2160"/>
            <w:shd w:val="clear" w:color="auto" w:fill="EEF4FF"/>
          </w:tcPr>
          <w:p>
            <w:r/>
            <w:r>
              <w:rPr>
                <w:sz w:val="18"/>
              </w:rPr>
              <w:t>Zero posts mentioning CRASH150N across all three subreddits</w:t>
            </w:r>
          </w:p>
        </w:tc>
      </w:tr>
      <w:tr>
        <w:tc>
          <w:tcPr>
            <w:tcW w:type="dxa" w:w="2160"/>
            <w:shd w:val="clear" w:color="auto" w:fill="FFFFFF"/>
          </w:tcPr>
          <w:p>
            <w:r/>
            <w:r>
              <w:rPr>
                <w:b/>
                <w:sz w:val="18"/>
              </w:rPr>
              <w:t>Overall Sentiment</w:t>
            </w:r>
          </w:p>
        </w:tc>
        <w:tc>
          <w:tcPr>
            <w:tcW w:type="dxa" w:w="2160"/>
            <w:shd w:val="clear" w:color="auto" w:fill="FFFFFF"/>
          </w:tcPr>
          <w:p>
            <w:r/>
            <w:r>
              <w:rPr>
                <w:b/>
                <w:sz w:val="18"/>
              </w:rPr>
              <w:t>Neutral/Unknown</w:t>
            </w:r>
          </w:p>
        </w:tc>
        <w:tc>
          <w:tcPr>
            <w:tcW w:type="dxa" w:w="2160"/>
            <w:shd w:val="clear" w:color="auto" w:fill="FFFFFF"/>
          </w:tcPr>
          <w:p>
            <w:r/>
            <w:r>
              <w:rPr>
                <w:b/>
                <w:sz w:val="18"/>
              </w:rPr>
              <w:t>Low</w:t>
            </w:r>
          </w:p>
        </w:tc>
        <w:tc>
          <w:tcPr>
            <w:tcW w:type="dxa" w:w="2160"/>
            <w:shd w:val="clear" w:color="auto" w:fill="FFFFFF"/>
          </w:tcPr>
          <w:p>
            <w:r/>
            <w:r>
              <w:rPr>
                <w:sz w:val="18"/>
              </w:rPr>
              <w:t>Insufficient data across all sources; lack of visibility itself is a structural concern</w:t>
            </w:r>
          </w:p>
        </w:tc>
      </w:tr>
    </w:tbl>
    <w:p/>
    <w:p>
      <w:pPr>
        <w:pBdr>
          <w:bottom w:val="single" w:sz="6" w:space="1" w:color="CCCCCC"/>
        </w:pBdr>
      </w:pPr>
    </w:p>
    <w:p>
      <w:pPr>
        <w:pStyle w:val="Heading3"/>
        <w:jc w:val="left"/>
      </w:pPr>
      <w:r>
        <w:rPr>
          <w:color w:val="783C00"/>
          <w:sz w:val="24"/>
        </w:rPr>
        <w:t>Recommendations for the Trading Team</w:t>
      </w:r>
    </w:p>
    <w:p>
      <w:pPr>
        <w:pStyle w:val="ListNumber"/>
      </w:pPr>
      <w:r>
        <w:rPr>
          <w:b/>
          <w:sz w:val="20"/>
        </w:rPr>
        <w:t>Investigate instrument type:</w:t>
      </w:r>
      <w:r>
        <w:rPr>
          <w:sz w:val="20"/>
        </w:rPr>
        <w:t xml:space="preserve"> Confirm whether CRASH150N is a synthetic index (e.g., Deriv's Crash indices), ETN, or other derivative. Synthetics often have limited media/social coverage by design.</w:t>
      </w:r>
    </w:p>
    <w:p>
      <w:pPr>
        <w:pStyle w:val="ListNumber"/>
      </w:pPr>
      <w:r>
        <w:rPr>
          <w:b/>
          <w:sz w:val="20"/>
        </w:rPr>
        <w:t>Validate ticker symbol:</w:t>
      </w:r>
      <w:r>
        <w:rPr>
          <w:sz w:val="20"/>
        </w:rPr>
        <w:t xml:space="preserve"> Ensure CRASH150N is the correct cashtag/symbol format for news and social APIs. Some instruments use alternative formats (e.g., </w:t>
      </w:r>
      <w:r>
        <w:rPr>
          <w:rFonts w:ascii="Courier New" w:hAnsi="Courier New"/>
          <w:sz w:val="18"/>
        </w:rPr>
        <w:t>CRASH 150 1s</w:t>
      </w:r>
      <w:r>
        <w:rPr>
          <w:sz w:val="20"/>
        </w:rPr>
        <w:t xml:space="preserve"> on Deriv).</w:t>
      </w:r>
    </w:p>
    <w:p>
      <w:pPr>
        <w:pStyle w:val="ListNumber"/>
      </w:pPr>
      <w:r>
        <w:rPr>
          <w:b/>
          <w:sz w:val="20"/>
        </w:rPr>
        <w:t>Seek alternative data sources:</w:t>
      </w:r>
      <w:r>
        <w:rPr>
          <w:sz w:val="20"/>
        </w:rPr>
        <w:t xml:space="preserve"> If CRASH150N is a Deriv synthetic, sentiment may exist in:</w:t>
      </w:r>
    </w:p>
    <w:p>
      <w:pPr>
        <w:pStyle w:val="ListBullet"/>
      </w:pPr>
      <w:r>
        <w:rPr>
          <w:sz w:val="20"/>
        </w:rPr>
        <w:t>Deriv community forums or proprietary social channels</w:t>
      </w:r>
    </w:p>
    <w:p>
      <w:pPr>
        <w:pStyle w:val="ListBullet"/>
      </w:pPr>
      <w:r>
        <w:rPr>
          <w:sz w:val="20"/>
        </w:rPr>
        <w:t>Specialized derivatives trading communities (not captured by WSB/StockTwits)</w:t>
      </w:r>
    </w:p>
    <w:p>
      <w:pPr>
        <w:pStyle w:val="ListBullet"/>
      </w:pPr>
      <w:r>
        <w:rPr>
          <w:sz w:val="20"/>
        </w:rPr>
        <w:t>Professional trader Telegram/Discord groups</w:t>
      </w:r>
    </w:p>
    <w:p>
      <w:pPr>
        <w:pStyle w:val="ListNumber"/>
      </w:pPr>
      <w:r>
        <w:rPr>
          <w:b/>
          <w:sz w:val="20"/>
        </w:rPr>
        <w:t>Prioritize technical and fundamental analysis:</w:t>
      </w:r>
      <w:r>
        <w:rPr>
          <w:sz w:val="20"/>
        </w:rPr>
        <w:t xml:space="preserve"> In the absence of sentiment data, rely more heavily on:</w:t>
      </w:r>
    </w:p>
    <w:p>
      <w:pPr>
        <w:pStyle w:val="ListBullet"/>
      </w:pPr>
      <w:r>
        <w:rPr>
          <w:sz w:val="20"/>
        </w:rPr>
        <w:t>Price action and volume analysis</w:t>
      </w:r>
    </w:p>
    <w:p>
      <w:pPr>
        <w:pStyle w:val="ListBullet"/>
      </w:pPr>
      <w:r>
        <w:rPr>
          <w:sz w:val="20"/>
        </w:rPr>
        <w:t>Volatility metrics and drawdown patterns (especially relevant for Crash indices)</w:t>
      </w:r>
    </w:p>
    <w:p>
      <w:pPr>
        <w:pStyle w:val="ListBullet"/>
      </w:pPr>
      <w:r>
        <w:rPr>
          <w:sz w:val="20"/>
        </w:rPr>
        <w:t>Correlation with underlying volatility instruments (e.g., VIX if applicable)</w:t>
      </w:r>
    </w:p>
    <w:p>
      <w:pPr>
        <w:pStyle w:val="ListNumber"/>
      </w:pPr>
      <w:r>
        <w:rPr>
          <w:b/>
          <w:sz w:val="20"/>
        </w:rPr>
        <w:t>Flag data quality concerns:</w:t>
      </w:r>
      <w:r>
        <w:rPr>
          <w:sz w:val="20"/>
        </w:rPr>
        <w:t xml:space="preserve"> Any trading decision based on this report should explicitly note the </w:t>
      </w:r>
      <w:r>
        <w:rPr>
          <w:b/>
          <w:sz w:val="20"/>
        </w:rPr>
        <w:t>absence of sentiment data</w:t>
      </w:r>
      <w:r>
        <w:rPr>
          <w:sz w:val="20"/>
        </w:rPr>
        <w:t xml:space="preserve"> as a limiting factor. Sentiment-driven strategies (momentum, contrarian) are not supported by current data availability.</w:t>
      </w:r>
    </w:p>
    <w:p>
      <w:pPr>
        <w:pBdr>
          <w:bottom w:val="single" w:sz="6" w:space="1" w:color="CCCCCC"/>
        </w:pBdr>
      </w:pPr>
    </w:p>
    <w:p>
      <w:pPr>
        <w:pStyle w:val="Heading3"/>
        <w:jc w:val="left"/>
      </w:pPr>
      <w:r>
        <w:rPr>
          <w:color w:val="783C00"/>
          <w:sz w:val="24"/>
        </w:rPr>
        <w:t>Final Notes</w:t>
      </w:r>
    </w:p>
    <w:p>
      <w:pPr>
        <w:jc w:val="both"/>
      </w:pPr>
      <w:r>
        <w:rPr>
          <w:sz w:val="22"/>
        </w:rPr>
        <w:t xml:space="preserve">The sentiment analysis for CRASH150N is </w:t>
      </w:r>
      <w:r>
        <w:rPr>
          <w:b/>
          <w:sz w:val="22"/>
        </w:rPr>
        <w:t>inconclusive due to data unavailability across all monitored sources</w:t>
      </w:r>
      <w:r>
        <w:rPr>
          <w:sz w:val="22"/>
        </w:rPr>
        <w:t xml:space="preserve">. This is not a "neutral" sentiment in the traditional sense (balanced bullish/bearish signals) but rather a </w:t>
      </w:r>
      <w:r>
        <w:rPr>
          <w:b/>
          <w:sz w:val="22"/>
        </w:rPr>
        <w:t>lack of observable sentiment altogether</w:t>
      </w:r>
      <w:r>
        <w:rPr>
          <w:sz w:val="22"/>
        </w:rPr>
        <w:t>.</w:t>
      </w:r>
    </w:p>
    <w:p>
      <w:pPr>
        <w:jc w:val="both"/>
      </w:pPr>
      <w:r>
        <w:rPr>
          <w:sz w:val="22"/>
        </w:rPr>
        <w:t>If CRASH150N is a Deriv synthetic volatility index (as the naming convention suggests), the lack of traditional media/social coverage is expected and not inherently negative - these instruments are typically traded by professionals using technical signals rather than sentiment-driven retail flows.</w:t>
      </w:r>
    </w:p>
    <w:p>
      <w:pPr>
        <w:jc w:val="both"/>
      </w:pPr>
      <w:r>
        <w:rPr>
          <w:b/>
          <w:sz w:val="22"/>
        </w:rPr>
        <w:t>Next steps:</w:t>
      </w:r>
      <w:r>
        <w:rPr>
          <w:sz w:val="22"/>
        </w:rPr>
        <w:t xml:space="preserve"> Supplement this report with technical analysis (price momentum, RSI, Bollinger Bands) and consult Deriv-specific trading forums or community channels for instrument-specific sentiment that may not appear in mainstream sources.</w:t>
      </w:r>
    </w:p>
    <w:p>
      <w:pPr>
        <w:pBdr>
          <w:bottom w:val="single" w:sz="6" w:space="1" w:color="CCCCCC"/>
        </w:pBdr>
      </w:pPr>
    </w:p>
    <w:p>
      <w:pPr>
        <w:jc w:val="both"/>
      </w:pPr>
      <w:r>
        <w:rPr>
          <w:b/>
          <w:sz w:val="20"/>
        </w:rPr>
        <w:t>Report prepared by:</w:t>
      </w:r>
      <w:r>
        <w:rPr>
          <w:sz w:val="20"/>
        </w:rPr>
        <w:t xml:space="preserve"> Market Sentiment Analyst</w:t>
      </w:r>
    </w:p>
    <w:p>
      <w:pPr>
        <w:jc w:val="both"/>
      </w:pPr>
      <w:r>
        <w:rPr>
          <w:b/>
          <w:sz w:val="20"/>
        </w:rPr>
        <w:t>Data sources:</w:t>
      </w:r>
      <w:r>
        <w:rPr>
          <w:sz w:val="20"/>
        </w:rPr>
        <w:t xml:space="preserve"> Yahoo Finance (news), StockTwits (retail social), Reddit (r/wallstreetbets, r/stocks, r/investing)</w:t>
      </w:r>
    </w:p>
    <w:p>
      <w:pPr>
        <w:jc w:val="both"/>
      </w:pPr>
      <w:r>
        <w:rPr>
          <w:b/>
          <w:sz w:val="20"/>
        </w:rPr>
        <w:t>Limitations:</w:t>
      </w:r>
      <w:r>
        <w:rPr>
          <w:sz w:val="20"/>
        </w:rPr>
        <w:t xml:space="preserve"> All data sources returned null/unavailable results; sentiment read is indeterminate.</w:t>
      </w:r>
    </w:p>
    <w:p>
      <w:pPr>
        <w:pBdr>
          <w:bottom w:val="single" w:sz="6" w:space="1" w:color="CCCCCC"/>
        </w:pBdr>
      </w:pPr>
    </w:p>
    <w:p>
      <w:pPr>
        <w:pStyle w:val="Heading2"/>
        <w:jc w:val="left"/>
      </w:pPr>
      <w:r>
        <w:rPr>
          <w:color w:val="500064"/>
        </w:rPr>
        <w:t>Analyse Expert Scalping — Claude ($10 / $50)</w:t>
      </w:r>
    </w:p>
    <w:p>
      <w:pPr>
        <w:pStyle w:val="Heading2"/>
        <w:jc w:val="left"/>
      </w:pPr>
      <w:r>
        <w:rPr>
          <w:color w:val="500064"/>
          <w:sz w:val="28"/>
        </w:rPr>
        <w:t>ANALYSE SCALPING CRASH 150 INDEX</w:t>
      </w:r>
    </w:p>
    <w:p>
      <w:pPr>
        <w:pStyle w:val="Heading3"/>
        <w:jc w:val="left"/>
      </w:pPr>
      <w:r>
        <w:rPr>
          <w:color w:val="500064"/>
          <w:sz w:val="24"/>
        </w:rPr>
        <w:t>ÉVALUATION CONDITIONS ACTUELLES</w:t>
      </w:r>
    </w:p>
    <w:p>
      <w:pPr>
        <w:jc w:val="both"/>
      </w:pPr>
      <w:r>
        <w:rPr>
          <w:b/>
          <w:sz w:val="22"/>
        </w:rPr>
        <w:t>Score opportunité : 65/100</w:t>
      </w:r>
      <w:r>
        <w:rPr>
          <w:sz w:val="22"/>
        </w:rPr>
        <w:t xml:space="preserve"> ️ MODÉRÉ</w:t>
      </w:r>
    </w:p>
    <w:p>
      <w:pPr>
        <w:pStyle w:val="Heading4"/>
        <w:jc w:val="left"/>
      </w:pPr>
      <w:r>
        <w:rPr>
          <w:color w:val="500064"/>
          <w:sz w:val="22"/>
        </w:rPr>
        <w:t>Contexte marché :</w:t>
      </w:r>
    </w:p>
    <w:p>
      <w:pPr>
        <w:pStyle w:val="Heading4"/>
        <w:jc w:val="left"/>
      </w:pPr>
      <w:r>
        <w:rPr>
          <w:color w:val="500064"/>
          <w:sz w:val="22"/>
        </w:rPr>
        <w:t>️ POINTS D'ATTENTION :</w:t>
      </w:r>
    </w:p>
    <w:p>
      <w:pPr>
        <w:pBdr>
          <w:bottom w:val="single" w:sz="6" w:space="1" w:color="CCCCCC"/>
        </w:pBdr>
      </w:pPr>
    </w:p>
    <w:p>
      <w:pPr>
        <w:pStyle w:val="Heading3"/>
        <w:jc w:val="left"/>
      </w:pPr>
      <w:r>
        <w:rPr>
          <w:color w:val="500064"/>
          <w:sz w:val="24"/>
        </w:rPr>
        <w:t>SIGNAUX SCALPING (15 MIN MAX)</w:t>
      </w:r>
    </w:p>
    <w:p>
      <w:pPr>
        <w:pStyle w:val="Heading4"/>
        <w:jc w:val="left"/>
      </w:pPr>
      <w:r>
        <w:rPr>
          <w:color w:val="500064"/>
          <w:sz w:val="22"/>
        </w:rPr>
        <w:t>**SIGNAL #1 : SELL LIMIT (RECOMMANDÉ)**</w:t>
      </w:r>
    </w:p>
    <w:p>
      <w:pPr>
        <w:pStyle w:val="ListBullet"/>
      </w:pPr>
      <w:r>
        <w:rPr>
          <w:b/>
          <w:sz w:val="20"/>
        </w:rPr>
        <w:t>Entrée :</w:t>
      </w:r>
      <w:r>
        <w:rPr>
          <w:sz w:val="20"/>
        </w:rPr>
        <w:t xml:space="preserve"> 10145.00 (SELL LIMIT au-dessus du prix actuel)</w:t>
      </w:r>
    </w:p>
    <w:p>
      <w:pPr>
        <w:pStyle w:val="ListBullet"/>
      </w:pPr>
      <w:r>
        <w:rPr>
          <w:b/>
          <w:sz w:val="20"/>
        </w:rPr>
        <w:t>Stop Loss :</w:t>
      </w:r>
      <w:r>
        <w:rPr>
          <w:sz w:val="20"/>
        </w:rPr>
        <w:t xml:space="preserve"> 10175.00 (30 pips)</w:t>
      </w:r>
    </w:p>
    <w:p>
      <w:pPr>
        <w:pStyle w:val="ListBullet"/>
      </w:pPr>
      <w:r>
        <w:rPr>
          <w:b/>
          <w:sz w:val="20"/>
        </w:rPr>
        <w:t>Take Profit :</w:t>
      </w:r>
      <w:r>
        <w:rPr>
          <w:sz w:val="20"/>
        </w:rPr>
        <w:t xml:space="preserve"> 10085.00 (60 pips)</w:t>
      </w:r>
    </w:p>
    <w:p>
      <w:pPr>
        <w:pStyle w:val="ListBullet"/>
      </w:pPr>
      <w:r>
        <w:rPr>
          <w:b/>
          <w:sz w:val="20"/>
        </w:rPr>
        <w:t>Risk/Reward :</w:t>
      </w:r>
      <w:r>
        <w:rPr>
          <w:sz w:val="20"/>
        </w:rPr>
        <w:t xml:space="preserve"> 1:2</w:t>
      </w:r>
    </w:p>
    <w:p>
      <w:pPr>
        <w:pStyle w:val="ListBullet"/>
      </w:pPr>
      <w:r>
        <w:rPr>
          <w:b/>
          <w:sz w:val="20"/>
        </w:rPr>
        <w:t>Rationale :</w:t>
      </w:r>
      <w:r>
        <w:rPr>
          <w:sz w:val="20"/>
        </w:rPr>
        <w:t xml:space="preserve"> Attendre rebond vers SMA20 pour shorter la résistance</w:t>
      </w:r>
    </w:p>
    <w:p>
      <w:r>
        <w:rPr>
          <w:b/>
          <w:sz w:val="20"/>
        </w:rPr>
        <w:t>Lots calculés :</w:t>
      </w:r>
    </w:p>
    <w:p>
      <w:pPr>
        <w:jc w:val="both"/>
      </w:pPr>
      <w:r>
        <w:rPr>
          <w:sz w:val="20"/>
        </w:rPr>
        <w:t xml:space="preserve">- Compte $10 : </w:t>
      </w:r>
      <w:r>
        <w:rPr>
          <w:b/>
          <w:sz w:val="20"/>
        </w:rPr>
        <w:t>0.01 lot</w:t>
      </w:r>
      <w:r>
        <w:rPr>
          <w:sz w:val="20"/>
        </w:rPr>
        <w:t xml:space="preserve"> (risque = $0.30)</w:t>
      </w:r>
    </w:p>
    <w:p>
      <w:pPr>
        <w:jc w:val="both"/>
      </w:pPr>
      <w:r>
        <w:rPr>
          <w:sz w:val="20"/>
        </w:rPr>
        <w:t xml:space="preserve">- Compte $50 : </w:t>
      </w:r>
      <w:r>
        <w:rPr>
          <w:b/>
          <w:sz w:val="20"/>
        </w:rPr>
        <w:t>0.01 lot</w:t>
      </w:r>
      <w:r>
        <w:rPr>
          <w:sz w:val="20"/>
        </w:rPr>
        <w:t xml:space="preserve"> (risque = $0.30)</w:t>
      </w:r>
    </w:p>
    <w:p>
      <w:pPr>
        <w:pBdr>
          <w:bottom w:val="single" w:sz="6" w:space="1" w:color="CCCCCC"/>
        </w:pBdr>
      </w:pPr>
    </w:p>
    <w:p>
      <w:pPr>
        <w:pStyle w:val="Heading4"/>
        <w:jc w:val="left"/>
      </w:pPr>
      <w:r>
        <w:rPr>
          <w:color w:val="500064"/>
          <w:sz w:val="22"/>
        </w:rPr>
        <w:t>**SIGNAL #2 : SELL MARKET (SI CONFIRMATION)**</w:t>
      </w:r>
    </w:p>
    <w:p>
      <w:pPr>
        <w:pStyle w:val="ListBullet"/>
      </w:pPr>
      <w:r>
        <w:rPr>
          <w:b/>
          <w:sz w:val="20"/>
        </w:rPr>
        <w:t>Entrée :</w:t>
      </w:r>
      <w:r>
        <w:rPr>
          <w:sz w:val="20"/>
        </w:rPr>
        <w:t xml:space="preserve"> 10128.00 (MARKET au prix actuel)</w:t>
      </w:r>
    </w:p>
    <w:p>
      <w:pPr>
        <w:pStyle w:val="ListBullet"/>
      </w:pPr>
      <w:r>
        <w:rPr>
          <w:b/>
          <w:sz w:val="20"/>
        </w:rPr>
        <w:t>Stop Loss :</w:t>
      </w:r>
      <w:r>
        <w:rPr>
          <w:sz w:val="20"/>
        </w:rPr>
        <w:t xml:space="preserve"> 10158.00 (30 pips)</w:t>
      </w:r>
    </w:p>
    <w:p>
      <w:pPr>
        <w:pStyle w:val="ListBullet"/>
      </w:pPr>
      <w:r>
        <w:rPr>
          <w:b/>
          <w:sz w:val="20"/>
        </w:rPr>
        <w:t>Take Profit :</w:t>
      </w:r>
      <w:r>
        <w:rPr>
          <w:sz w:val="20"/>
        </w:rPr>
        <w:t xml:space="preserve"> 10068.00 (60 pips)</w:t>
      </w:r>
    </w:p>
    <w:p>
      <w:pPr>
        <w:pStyle w:val="ListBullet"/>
      </w:pPr>
      <w:r>
        <w:rPr>
          <w:b/>
          <w:sz w:val="20"/>
        </w:rPr>
        <w:t>Risk/Reward :</w:t>
      </w:r>
      <w:r>
        <w:rPr>
          <w:sz w:val="20"/>
        </w:rPr>
        <w:t xml:space="preserve"> 1:2</w:t>
      </w:r>
    </w:p>
    <w:p>
      <w:pPr>
        <w:pStyle w:val="ListBullet"/>
      </w:pPr>
      <w:r>
        <w:rPr>
          <w:b/>
          <w:sz w:val="20"/>
        </w:rPr>
        <w:t>Condition :</w:t>
      </w:r>
      <w:r>
        <w:rPr>
          <w:sz w:val="20"/>
        </w:rPr>
        <w:t xml:space="preserve"> </w:t>
      </w:r>
      <w:r>
        <w:rPr>
          <w:b/>
          <w:sz w:val="20"/>
        </w:rPr>
        <w:t>SEULEMENT si RSI passe sous 42 dans les 2 prochaines minutes</w:t>
      </w:r>
    </w:p>
    <w:p>
      <w:r>
        <w:rPr>
          <w:b/>
          <w:sz w:val="20"/>
        </w:rPr>
        <w:t>Lots calculés :</w:t>
      </w:r>
    </w:p>
    <w:p>
      <w:pPr>
        <w:jc w:val="both"/>
      </w:pPr>
      <w:r>
        <w:rPr>
          <w:sz w:val="20"/>
        </w:rPr>
        <w:t xml:space="preserve">- Compte $10 : </w:t>
      </w:r>
      <w:r>
        <w:rPr>
          <w:b/>
          <w:sz w:val="20"/>
        </w:rPr>
        <w:t>0.01 lot</w:t>
      </w:r>
      <w:r>
        <w:rPr>
          <w:sz w:val="20"/>
        </w:rPr>
        <w:t xml:space="preserve"> (risque = $0.30)</w:t>
      </w:r>
    </w:p>
    <w:p>
      <w:pPr>
        <w:jc w:val="both"/>
      </w:pPr>
      <w:r>
        <w:rPr>
          <w:sz w:val="20"/>
        </w:rPr>
        <w:t xml:space="preserve">- Compte $50 : </w:t>
      </w:r>
      <w:r>
        <w:rPr>
          <w:b/>
          <w:sz w:val="20"/>
        </w:rPr>
        <w:t>0.01 lot</w:t>
      </w:r>
      <w:r>
        <w:rPr>
          <w:sz w:val="20"/>
        </w:rPr>
        <w:t xml:space="preserve"> (risque = $0.30)</w:t>
      </w:r>
    </w:p>
    <w:p>
      <w:pPr>
        <w:pBdr>
          <w:bottom w:val="single" w:sz="6" w:space="1" w:color="CCCCCC"/>
        </w:pBdr>
      </w:pPr>
    </w:p>
    <w:p>
      <w:pPr>
        <w:pStyle w:val="Heading3"/>
        <w:jc w:val="left"/>
      </w:pPr>
      <w:r>
        <w:rPr>
          <w:color w:val="500064"/>
          <w:sz w:val="24"/>
        </w:rPr>
        <w:t>CONVICTION FINALE</w:t>
      </w:r>
    </w:p>
    <w:p>
      <w:pPr>
        <w:jc w:val="both"/>
      </w:pPr>
      <w:r>
        <w:rPr>
          <w:b/>
          <w:sz w:val="22"/>
        </w:rPr>
        <w:t>SIGNAL #1 (SELL LIMIT 10145) : 70% de conviction</w:t>
      </w:r>
    </w:p>
    <w:p>
      <w:r>
        <w:rPr>
          <w:b/>
          <w:sz w:val="20"/>
        </w:rPr>
        <w:t>Pourquoi :</w:t>
      </w:r>
    </w:p>
    <w:p>
      <w:pPr>
        <w:jc w:val="both"/>
      </w:pPr>
      <w:r>
        <w:rPr>
          <w:sz w:val="20"/>
        </w:rPr>
        <w:t>- Structure baissière intacte (prix sous moyennes mobiles)</w:t>
      </w:r>
    </w:p>
    <w:p>
      <w:pPr>
        <w:jc w:val="both"/>
      </w:pPr>
      <w:r>
        <w:rPr>
          <w:sz w:val="20"/>
        </w:rPr>
        <w:t>- SMA20 à 10137 = résistance naturelle pour placer SELL LIMIT</w:t>
      </w:r>
    </w:p>
    <w:p>
      <w:pPr>
        <w:jc w:val="both"/>
      </w:pPr>
      <w:r>
        <w:rPr>
          <w:sz w:val="20"/>
        </w:rPr>
        <w:t>- MACD négatif soutient continuation baissière</w:t>
      </w:r>
    </w:p>
    <w:p>
      <w:pPr>
        <w:jc w:val="both"/>
      </w:pPr>
      <w:r>
        <w:rPr>
          <w:sz w:val="20"/>
        </w:rPr>
        <w:t>- ATR 48 indique volatilité suffisante pour TP 60 pips en 15min</w:t>
      </w:r>
    </w:p>
    <w:p>
      <w:r>
        <w:rPr>
          <w:b/>
          <w:sz w:val="20"/>
        </w:rPr>
        <w:t>Pourquoi PAS 90%+ :</w:t>
      </w:r>
    </w:p>
    <w:p>
      <w:pPr>
        <w:jc w:val="both"/>
      </w:pPr>
      <w:r>
        <w:rPr>
          <w:sz w:val="20"/>
        </w:rPr>
        <w:t>- RSI neutre (pas en surachat) = manque signal extrême</w:t>
      </w:r>
    </w:p>
    <w:p>
      <w:pPr>
        <w:jc w:val="both"/>
      </w:pPr>
      <w:r>
        <w:rPr>
          <w:sz w:val="20"/>
        </w:rPr>
        <w:t>- Prix au centre Bollinger = pas en zone de rejet clair</w:t>
      </w:r>
    </w:p>
    <w:p>
      <w:pPr>
        <w:jc w:val="both"/>
      </w:pPr>
      <w:r>
        <w:rPr>
          <w:sz w:val="20"/>
        </w:rPr>
        <w:t>- Pas de spike visible imminent</w:t>
      </w:r>
    </w:p>
    <w:p>
      <w:pPr>
        <w:pBdr>
          <w:bottom w:val="single" w:sz="6" w:space="1" w:color="CCCCCC"/>
        </w:pBdr>
      </w:pPr>
    </w:p>
    <w:p>
      <w:pPr>
        <w:pStyle w:val="Heading3"/>
        <w:jc w:val="left"/>
      </w:pPr>
      <w:r>
        <w:rPr>
          <w:color w:val="500064"/>
          <w:sz w:val="24"/>
        </w:rPr>
        <w:t>️ RECOMMANDATION FINALE</w:t>
      </w:r>
    </w:p>
    <w:p>
      <w:pPr>
        <w:jc w:val="both"/>
      </w:pPr>
      <w:r>
        <w:rPr>
          <w:b/>
          <w:sz w:val="22"/>
        </w:rPr>
        <w:t>ATTENDRE SIGNAL #1</w:t>
      </w:r>
      <w:r>
        <w:rPr>
          <w:sz w:val="22"/>
        </w:rPr>
        <w:t xml:space="preserve"> (SELL LIMIT @ 10145) pour meilleur point d'entrée.</w:t>
      </w:r>
    </w:p>
    <w:p>
      <w:pPr>
        <w:jc w:val="both"/>
      </w:pPr>
      <w:r>
        <w:rPr>
          <w:sz w:val="20"/>
        </w:rPr>
        <w:t xml:space="preserve">Si prix monte directement vers 10145-10150 → </w:t>
      </w:r>
      <w:r>
        <w:rPr>
          <w:b/>
          <w:sz w:val="20"/>
        </w:rPr>
        <w:t>PRENDRE LE TRADE</w:t>
      </w:r>
    </w:p>
    <w:p>
      <w:pPr>
        <w:jc w:val="both"/>
      </w:pPr>
      <w:r>
        <w:rPr>
          <w:sz w:val="20"/>
        </w:rPr>
        <w:t xml:space="preserve">Si prix continue de baisser sans rebond → </w:t>
      </w:r>
      <w:r>
        <w:rPr>
          <w:b/>
          <w:sz w:val="20"/>
        </w:rPr>
        <w:t>NE PAS TRADER</w:t>
      </w:r>
      <w:r>
        <w:rPr>
          <w:sz w:val="20"/>
        </w:rPr>
        <w:t xml:space="preserve"> (attendre prochaine opportunité)</w:t>
      </w:r>
    </w:p>
    <w:p>
      <w:pPr>
        <w:jc w:val="both"/>
      </w:pPr>
      <w:r>
        <w:rPr>
          <w:b/>
          <w:sz w:val="22"/>
        </w:rPr>
        <w:t>Durée position max : 15 minutes | Surveiller toutes les 3-5 minutes</w:t>
      </w:r>
    </w:p>
    <w:p>
      <w:pPr>
        <w:pBdr>
          <w:bottom w:val="single" w:sz="6" w:space="1" w:color="CCCCCC"/>
        </w:pBdr>
      </w:pPr>
    </w:p>
    <w:p>
      <w:pPr>
        <w:pStyle w:val="Heading1"/>
        <w:jc w:val="left"/>
      </w:pPr>
      <w:r>
        <w:rPr>
          <w:color w:val="142864"/>
        </w:rPr>
        <w:t>RESUME — Ce qu'il faut retenir</w:t>
      </w:r>
    </w:p>
    <w:p>
      <w:pPr>
        <w:pStyle w:val="Heading2"/>
        <w:jc w:val="left"/>
      </w:pPr>
      <w:r>
        <w:rPr>
          <w:color w:val="142864"/>
          <w:sz w:val="28"/>
        </w:rPr>
        <w:t>RÉSUMÉ EXÉCUTIF - CRASH 150 INDEX</w:t>
      </w:r>
    </w:p>
    <w:p>
      <w:pPr>
        <w:pStyle w:val="ListNumber"/>
      </w:pPr>
      <w:r>
        <w:rPr>
          <w:b/>
          <w:sz w:val="20"/>
        </w:rPr>
        <w:t>Contexte de marché</w:t>
      </w:r>
      <w:r>
        <w:rPr>
          <w:sz w:val="20"/>
        </w:rPr>
        <w:t xml:space="preserve"> : Tendance baissière structurelle confirmée (prix sous SMA50/200, death cross imminent) avec signes techniques de rebond à court terme (RSI remonté de 26→44, MACD histogram positif +2.18).</w:t>
      </w:r>
    </w:p>
    <w:p>
      <w:pPr>
        <w:pStyle w:val="ListNumber"/>
      </w:pPr>
      <w:r>
        <w:rPr>
          <w:b/>
          <w:sz w:val="20"/>
        </w:rPr>
        <w:t>Signal principal</w:t>
      </w:r>
      <w:r>
        <w:rPr>
          <w:sz w:val="20"/>
        </w:rPr>
        <w:t xml:space="preserve"> : SELL avec confiance MODÉRÉE (65/100) - Position Underweight recommandée car malgré les signaux de reprise technique, la structure reste massivement baissière avec 5 résistances majeures dans une zone de 3%.</w:t>
      </w:r>
    </w:p>
    <w:p>
      <w:pPr>
        <w:pStyle w:val="ListNumber"/>
      </w:pPr>
      <w:r>
        <w:rPr>
          <w:b/>
          <w:sz w:val="20"/>
        </w:rPr>
        <w:t>Niveaux critiques</w:t>
      </w:r>
      <w:r>
        <w:rPr>
          <w:sz w:val="20"/>
        </w:rPr>
        <w:t xml:space="preserve"> : Entry conservateur 10127.91 (immédiat) ou agressif 10151.90 (limite), SL 10175.88 (+48 pips), TP principal 10031.98 (-96 pips), ratio risque/rendement 1:2 à 1:3.12.</w:t>
      </w:r>
    </w:p>
    <w:p>
      <w:pPr>
        <w:pStyle w:val="ListNumber"/>
      </w:pPr>
      <w:r>
        <w:rPr>
          <w:b/>
          <w:sz w:val="20"/>
        </w:rPr>
        <w:t>Sizing recommandé</w:t>
      </w:r>
      <w:r>
        <w:rPr>
          <w:sz w:val="20"/>
        </w:rPr>
        <w:t xml:space="preserve"> : 0.01 lot pour capital $10-50 (allocation 15-20% du portfolio), risque maximum $4.80-$24 par position avec réduction de 50% si cassure sous 10100.</w:t>
      </w:r>
    </w:p>
    <w:p>
      <w:pPr>
        <w:pStyle w:val="ListNumber"/>
      </w:pPr>
      <w:r>
        <w:rPr>
          <w:b/>
          <w:sz w:val="20"/>
        </w:rPr>
        <w:t>Condition d'entrée</w:t>
      </w:r>
      <w:r>
        <w:rPr>
          <w:sz w:val="20"/>
        </w:rPr>
        <w:t xml:space="preserve"> : Entrée immédiate possible en mode conservateur OU attendre rebond à 10151-10152 pour meilleur ratio (agressif), avec ajout de 10-15% uniquement si cassure confirmée &gt;10220 et RSI&gt;50.</w:t>
      </w:r>
    </w:p>
    <w:p>
      <w:pPr>
        <w:pStyle w:val="ListNumber"/>
      </w:pPr>
      <w:r>
        <w:rPr>
          <w:b/>
          <w:sz w:val="20"/>
        </w:rPr>
        <w:t>Risques principaux</w:t>
      </w:r>
      <w:r>
        <w:rPr>
          <w:sz w:val="20"/>
        </w:rPr>
        <w:t xml:space="preserve"> : Gap synthétique brutal (volatilité ATR 47.97 pips), et piège haussier avec résistances clusters entre 10137-10260 pouvant bloquer tout rebond significatif.</w:t>
      </w:r>
    </w:p>
    <w:p>
      <w:pPr>
        <w:pBdr>
          <w:bottom w:val="single" w:sz="6" w:space="1" w:color="CCCCCC"/>
        </w:pBdr>
      </w:pPr>
    </w:p>
    <w:p/>
    <w:p>
      <w:pPr>
        <w:jc w:val="center"/>
      </w:pPr>
      <w:r>
        <w:rPr>
          <w:color w:val="969696"/>
          <w:sz w:val="16"/>
        </w:rPr>
        <w:t>TradBOT — Rapport généré automatiquement par le bridge TradingAgents | 2026-05-21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