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rPr>
          <w:color w:val="1E3C78"/>
          <w:sz w:val="40"/>
        </w:rPr>
        <w:t>Rapport d'Analyse — Crash 50 Index</w:t>
      </w:r>
    </w:p>
    <w:p>
      <w:pPr>
        <w:jc w:val="center"/>
      </w:pPr>
      <w:r>
        <w:rPr>
          <w:color w:val="646464"/>
          <w:sz w:val="20"/>
        </w:rPr>
        <w:t>Date d'analyse : 2026-05-20    |    Généré le : 2026-05-20</w:t>
      </w:r>
    </w:p>
    <w:p/>
    <w:p>
      <w:pPr>
        <w:pStyle w:val="Heading2"/>
        <w:jc w:val="left"/>
      </w:pPr>
      <w:r>
        <w:rPr>
          <w:color w:val="1E3C78"/>
        </w:rPr>
        <w:t>Signal TradingAgents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EF2FF"/>
          </w:tcPr>
          <w:p>
            <w:r>
              <w:rPr>
                <w:b/>
                <w:color w:val="3C3C3C"/>
              </w:rPr>
              <w:t>Rating brut</w:t>
            </w:r>
          </w:p>
        </w:tc>
        <w:tc>
          <w:tcPr>
            <w:tcW w:type="dxa" w:w="4320"/>
            <w:shd w:val="clear" w:color="auto" w:fill="EEF2FF"/>
          </w:tcPr>
          <w:p>
            <w:r>
              <w:t>Sell</w:t>
            </w:r>
          </w:p>
        </w:tc>
      </w:tr>
      <w:tr>
        <w:tc>
          <w:tcPr>
            <w:tcW w:type="dxa" w:w="4320"/>
          </w:tcPr>
          <w:p>
            <w:r>
              <w:rPr>
                <w:b/>
                <w:color w:val="3C3C3C"/>
              </w:rPr>
              <w:t>Décision</w:t>
            </w:r>
          </w:p>
        </w:tc>
        <w:tc>
          <w:tcPr>
            <w:tcW w:type="dxa" w:w="4320"/>
          </w:tcPr>
          <w:p>
            <w:r>
              <w:rPr>
                <w:b/>
                <w:color w:val="B41E1E"/>
                <w:sz w:val="26"/>
              </w:rPr>
              <w:t>SELL</w:t>
            </w:r>
          </w:p>
        </w:tc>
      </w:tr>
      <w:tr>
        <w:tc>
          <w:tcPr>
            <w:tcW w:type="dxa" w:w="4320"/>
            <w:shd w:val="clear" w:color="auto" w:fill="EEF2FF"/>
          </w:tcPr>
          <w:p>
            <w:r>
              <w:rPr>
                <w:b/>
                <w:color w:val="3C3C3C"/>
              </w:rPr>
              <w:t>Prix actuel</w:t>
            </w:r>
          </w:p>
        </w:tc>
        <w:tc>
          <w:tcPr>
            <w:tcW w:type="dxa" w:w="4320"/>
            <w:shd w:val="clear" w:color="auto" w:fill="EEF2FF"/>
          </w:tcPr>
          <w:p>
            <w:r>
              <w:t>97,479.997</w:t>
            </w:r>
          </w:p>
        </w:tc>
      </w:tr>
      <w:tr>
        <w:tc>
          <w:tcPr>
            <w:tcW w:type="dxa" w:w="4320"/>
          </w:tcPr>
          <w:p>
            <w:r>
              <w:rPr>
                <w:b/>
                <w:color w:val="3C3C3C"/>
              </w:rPr>
              <w:t>ATR (volatilité)</w:t>
            </w:r>
          </w:p>
        </w:tc>
        <w:tc>
          <w:tcPr>
            <w:tcW w:type="dxa" w:w="4320"/>
          </w:tcPr>
          <w:p>
            <w:r>
              <w:t>336.93887</w:t>
            </w:r>
          </w:p>
        </w:tc>
      </w:tr>
    </w:tbl>
    <w:p/>
    <w:p>
      <w:pPr>
        <w:pStyle w:val="Heading2"/>
        <w:jc w:val="left"/>
      </w:pPr>
      <w:r>
        <w:rPr>
          <w:color w:val="B41E1E"/>
        </w:rPr>
        <w:t>Signaux de Trading Proposes</w:t>
      </w:r>
    </w:p>
    <w:p>
      <w:r>
        <w:rPr>
          <w:b/>
          <w:color w:val="B41E1E"/>
          <w:sz w:val="22"/>
        </w:rPr>
        <w:t xml:space="preserve">  Signal 1 — Conservateur — Ordre Marche</w:t>
      </w:r>
    </w:p>
    <w:tbl>
      <w:tblPr>
        <w:tblStyle w:val="TableGrid"/>
        <w:tblW w:type="auto" w:w="0"/>
        <w:tblLook w:firstColumn="1" w:firstRow="1" w:lastColumn="0" w:lastRow="0" w:noHBand="0" w:noVBand="1" w:val="04A0"/>
      </w:tblPr>
      <w:tblGrid>
        <w:gridCol w:w="4320"/>
        <w:gridCol w:w="4320"/>
      </w:tblGrid>
      <w:tr>
        <w:tc>
          <w:tcPr>
            <w:tcW w:type="dxa" w:w="4320"/>
            <w:shd w:val="clear" w:color="auto" w:fill="DFFFD6"/>
          </w:tcPr>
          <w:p>
            <w:r>
              <w:rPr>
                <w:b/>
              </w:rPr>
              <w:t>Type d'ordre</w:t>
            </w:r>
          </w:p>
        </w:tc>
        <w:tc>
          <w:tcPr>
            <w:tcW w:type="dxa" w:w="4320"/>
            <w:shd w:val="clear" w:color="auto" w:fill="DFFFD6"/>
          </w:tcPr>
          <w:p>
            <w:r>
              <w:t>MARKET</w:t>
            </w:r>
          </w:p>
        </w:tc>
      </w:tr>
      <w:tr>
        <w:tc>
          <w:tcPr>
            <w:tcW w:type="dxa" w:w="4320"/>
            <w:shd w:val="clear" w:color="auto" w:fill="DFFFD6"/>
          </w:tcPr>
          <w:p>
            <w:r>
              <w:rPr>
                <w:b/>
              </w:rPr>
              <w:t>Direction</w:t>
            </w:r>
          </w:p>
        </w:tc>
        <w:tc>
          <w:tcPr>
            <w:tcW w:type="dxa" w:w="4320"/>
            <w:shd w:val="clear" w:color="auto" w:fill="DFFFD6"/>
          </w:tcPr>
          <w:p>
            <w:r>
              <w:t>SELL</w:t>
            </w:r>
          </w:p>
        </w:tc>
      </w:tr>
      <w:tr>
        <w:tc>
          <w:tcPr>
            <w:tcW w:type="dxa" w:w="4320"/>
            <w:shd w:val="clear" w:color="auto" w:fill="DFFFD6"/>
          </w:tcPr>
          <w:p>
            <w:r>
              <w:rPr>
                <w:b/>
              </w:rPr>
              <w:t>Prix d'entrée</w:t>
            </w:r>
          </w:p>
        </w:tc>
        <w:tc>
          <w:tcPr>
            <w:tcW w:type="dxa" w:w="4320"/>
            <w:shd w:val="clear" w:color="auto" w:fill="DFFFD6"/>
          </w:tcPr>
          <w:p>
            <w:r>
              <w:t>97,479.997</w:t>
            </w:r>
          </w:p>
        </w:tc>
      </w:tr>
      <w:tr>
        <w:tc>
          <w:tcPr>
            <w:tcW w:type="dxa" w:w="4320"/>
            <w:shd w:val="clear" w:color="auto" w:fill="DFFFD6"/>
          </w:tcPr>
          <w:p>
            <w:r>
              <w:rPr>
                <w:b/>
              </w:rPr>
              <w:t>Stop Loss</w:t>
            </w:r>
          </w:p>
        </w:tc>
        <w:tc>
          <w:tcPr>
            <w:tcW w:type="dxa" w:w="4320"/>
            <w:shd w:val="clear" w:color="auto" w:fill="DFFFD6"/>
          </w:tcPr>
          <w:p>
            <w:r>
              <w:t>97,816.936  (336.9 pips de risque)</w:t>
            </w:r>
          </w:p>
        </w:tc>
      </w:tr>
      <w:tr>
        <w:tc>
          <w:tcPr>
            <w:tcW w:type="dxa" w:w="4320"/>
            <w:shd w:val="clear" w:color="auto" w:fill="DFFFD6"/>
          </w:tcPr>
          <w:p>
            <w:r>
              <w:rPr>
                <w:b/>
              </w:rPr>
              <w:t>Take Profit</w:t>
            </w:r>
          </w:p>
        </w:tc>
        <w:tc>
          <w:tcPr>
            <w:tcW w:type="dxa" w:w="4320"/>
            <w:shd w:val="clear" w:color="auto" w:fill="DFFFD6"/>
          </w:tcPr>
          <w:p>
            <w:r>
              <w:t>96,806.119  (673.9 pips de gain)</w:t>
            </w:r>
          </w:p>
        </w:tc>
      </w:tr>
      <w:tr>
        <w:tc>
          <w:tcPr>
            <w:tcW w:type="dxa" w:w="4320"/>
            <w:shd w:val="clear" w:color="auto" w:fill="DFFFD6"/>
          </w:tcPr>
          <w:p>
            <w:r>
              <w:rPr>
                <w:b/>
              </w:rPr>
              <w:t>Ratio R/R</w:t>
            </w:r>
          </w:p>
        </w:tc>
        <w:tc>
          <w:tcPr>
            <w:tcW w:type="dxa" w:w="4320"/>
            <w:shd w:val="clear" w:color="auto" w:fill="DFFFD6"/>
          </w:tcPr>
          <w:p>
            <w:r>
              <w:t>1 : 2.0</w:t>
            </w:r>
          </w:p>
        </w:tc>
      </w:tr>
      <w:tr>
        <w:tc>
          <w:tcPr>
            <w:tcW w:type="dxa" w:w="4320"/>
            <w:shd w:val="clear" w:color="auto" w:fill="DFFFD6"/>
          </w:tcPr>
          <w:p>
            <w:r>
              <w:rPr>
                <w:b/>
              </w:rPr>
              <w:t>Prix actuel</w:t>
            </w:r>
          </w:p>
        </w:tc>
        <w:tc>
          <w:tcPr>
            <w:tcW w:type="dxa" w:w="4320"/>
            <w:shd w:val="clear" w:color="auto" w:fill="DFFFD6"/>
          </w:tcPr>
          <w:p>
            <w:r>
              <w:t>97,479.997</w:t>
            </w:r>
          </w:p>
        </w:tc>
      </w:tr>
    </w:tbl>
    <w:p/>
    <w:p>
      <w:r>
        <w:rPr>
          <w:b/>
          <w:color w:val="B41E1E"/>
          <w:sz w:val="22"/>
        </w:rPr>
        <w:t xml:space="preserve">  Signal 2 — Agressif    — Ordre Limite</w:t>
      </w:r>
    </w:p>
    <w:tbl>
      <w:tblPr>
        <w:tblStyle w:val="TableGrid"/>
        <w:tblW w:type="auto" w:w="0"/>
        <w:tblLook w:firstColumn="1" w:firstRow="1" w:lastColumn="0" w:lastRow="0" w:noHBand="0" w:noVBand="1" w:val="04A0"/>
      </w:tblPr>
      <w:tblGrid>
        <w:gridCol w:w="4320"/>
        <w:gridCol w:w="4320"/>
      </w:tblGrid>
      <w:tr>
        <w:tc>
          <w:tcPr>
            <w:tcW w:type="dxa" w:w="4320"/>
            <w:shd w:val="clear" w:color="auto" w:fill="FFF3CD"/>
          </w:tcPr>
          <w:p>
            <w:r>
              <w:rPr>
                <w:b/>
              </w:rPr>
              <w:t>Type d'ordre</w:t>
            </w:r>
          </w:p>
        </w:tc>
        <w:tc>
          <w:tcPr>
            <w:tcW w:type="dxa" w:w="4320"/>
            <w:shd w:val="clear" w:color="auto" w:fill="FFF3CD"/>
          </w:tcPr>
          <w:p>
            <w:r>
              <w:t>LIMIT</w:t>
            </w:r>
          </w:p>
        </w:tc>
      </w:tr>
      <w:tr>
        <w:tc>
          <w:tcPr>
            <w:tcW w:type="dxa" w:w="4320"/>
            <w:shd w:val="clear" w:color="auto" w:fill="FFF3CD"/>
          </w:tcPr>
          <w:p>
            <w:r>
              <w:rPr>
                <w:b/>
              </w:rPr>
              <w:t>Direction</w:t>
            </w:r>
          </w:p>
        </w:tc>
        <w:tc>
          <w:tcPr>
            <w:tcW w:type="dxa" w:w="4320"/>
            <w:shd w:val="clear" w:color="auto" w:fill="FFF3CD"/>
          </w:tcPr>
          <w:p>
            <w:r>
              <w:t>SELL</w:t>
            </w:r>
          </w:p>
        </w:tc>
      </w:tr>
      <w:tr>
        <w:tc>
          <w:tcPr>
            <w:tcW w:type="dxa" w:w="4320"/>
            <w:shd w:val="clear" w:color="auto" w:fill="FFF3CD"/>
          </w:tcPr>
          <w:p>
            <w:r>
              <w:rPr>
                <w:b/>
              </w:rPr>
              <w:t>Prix d'entrée</w:t>
            </w:r>
          </w:p>
        </w:tc>
        <w:tc>
          <w:tcPr>
            <w:tcW w:type="dxa" w:w="4320"/>
            <w:shd w:val="clear" w:color="auto" w:fill="FFF3CD"/>
          </w:tcPr>
          <w:p>
            <w:r>
              <w:t>97,648.466</w:t>
            </w:r>
          </w:p>
        </w:tc>
      </w:tr>
      <w:tr>
        <w:tc>
          <w:tcPr>
            <w:tcW w:type="dxa" w:w="4320"/>
            <w:shd w:val="clear" w:color="auto" w:fill="FFF3CD"/>
          </w:tcPr>
          <w:p>
            <w:r>
              <w:rPr>
                <w:b/>
              </w:rPr>
              <w:t>Stop Loss</w:t>
            </w:r>
          </w:p>
        </w:tc>
        <w:tc>
          <w:tcPr>
            <w:tcW w:type="dxa" w:w="4320"/>
            <w:shd w:val="clear" w:color="auto" w:fill="FFF3CD"/>
          </w:tcPr>
          <w:p>
            <w:r>
              <w:t>97,918.018  (269.6 pips de risque)</w:t>
            </w:r>
          </w:p>
        </w:tc>
      </w:tr>
      <w:tr>
        <w:tc>
          <w:tcPr>
            <w:tcW w:type="dxa" w:w="4320"/>
            <w:shd w:val="clear" w:color="auto" w:fill="FFF3CD"/>
          </w:tcPr>
          <w:p>
            <w:r>
              <w:rPr>
                <w:b/>
              </w:rPr>
              <w:t>Take Profit</w:t>
            </w:r>
          </w:p>
        </w:tc>
        <w:tc>
          <w:tcPr>
            <w:tcW w:type="dxa" w:w="4320"/>
            <w:shd w:val="clear" w:color="auto" w:fill="FFF3CD"/>
          </w:tcPr>
          <w:p>
            <w:r>
              <w:t>96,806.119  (842.3 pips de gain)</w:t>
            </w:r>
          </w:p>
        </w:tc>
      </w:tr>
      <w:tr>
        <w:tc>
          <w:tcPr>
            <w:tcW w:type="dxa" w:w="4320"/>
            <w:shd w:val="clear" w:color="auto" w:fill="FFF3CD"/>
          </w:tcPr>
          <w:p>
            <w:r>
              <w:rPr>
                <w:b/>
              </w:rPr>
              <w:t>Ratio R/R</w:t>
            </w:r>
          </w:p>
        </w:tc>
        <w:tc>
          <w:tcPr>
            <w:tcW w:type="dxa" w:w="4320"/>
            <w:shd w:val="clear" w:color="auto" w:fill="FFF3CD"/>
          </w:tcPr>
          <w:p>
            <w:r>
              <w:t>1 : 3.12</w:t>
            </w:r>
          </w:p>
        </w:tc>
      </w:tr>
      <w:tr>
        <w:tc>
          <w:tcPr>
            <w:tcW w:type="dxa" w:w="4320"/>
            <w:shd w:val="clear" w:color="auto" w:fill="FFF3CD"/>
          </w:tcPr>
          <w:p>
            <w:r>
              <w:rPr>
                <w:b/>
              </w:rPr>
              <w:t>Prix actuel</w:t>
            </w:r>
          </w:p>
        </w:tc>
        <w:tc>
          <w:tcPr>
            <w:tcW w:type="dxa" w:w="4320"/>
            <w:shd w:val="clear" w:color="auto" w:fill="FFF3CD"/>
          </w:tcPr>
          <w:p>
            <w:r>
              <w:t>97,479.997</w:t>
            </w:r>
          </w:p>
        </w:tc>
      </w:tr>
    </w:tbl>
    <w:p/>
    <w:p>
      <w:pPr>
        <w:pBdr>
          <w:bottom w:val="single" w:sz="6" w:space="1" w:color="CCCCCC"/>
        </w:pBdr>
      </w:pPr>
    </w:p>
    <w:p/>
    <w:p>
      <w:pPr>
        <w:jc w:val="center"/>
      </w:pPr>
      <w:r>
        <w:drawing>
          <wp:inline xmlns:a="http://schemas.openxmlformats.org/drawingml/2006/main" xmlns:pic="http://schemas.openxmlformats.org/drawingml/2006/picture">
            <wp:extent cx="2011680" cy="1605963"/>
            <wp:docPr id="1" name="Picture 1"/>
            <wp:cNvGraphicFramePr>
              <a:graphicFrameLocks noChangeAspect="1"/>
            </wp:cNvGraphicFramePr>
            <a:graphic>
              <a:graphicData uri="http://schemas.openxmlformats.org/drawingml/2006/picture">
                <pic:pic>
                  <pic:nvPicPr>
                    <pic:cNvPr id="0" name="tmpztuj3wfs.png"/>
                    <pic:cNvPicPr/>
                  </pic:nvPicPr>
                  <pic:blipFill>
                    <a:blip r:embed="rId9"/>
                    <a:stretch>
                      <a:fillRect/>
                    </a:stretch>
                  </pic:blipFill>
                  <pic:spPr>
                    <a:xfrm>
                      <a:off x="0" y="0"/>
                      <a:ext cx="2011680" cy="1605963"/>
                    </a:xfrm>
                    <a:prstGeom prst="rect"/>
                  </pic:spPr>
                </pic:pic>
              </a:graphicData>
            </a:graphic>
          </wp:inline>
        </w:drawing>
      </w:r>
      <w:r>
        <w:t xml:space="preserve">    </w:t>
      </w:r>
      <w:r>
        <w:drawing>
          <wp:inline xmlns:a="http://schemas.openxmlformats.org/drawingml/2006/main" xmlns:pic="http://schemas.openxmlformats.org/drawingml/2006/picture">
            <wp:extent cx="2743200" cy="2067680"/>
            <wp:docPr id="2" name="Picture 2"/>
            <wp:cNvGraphicFramePr>
              <a:graphicFrameLocks noChangeAspect="1"/>
            </wp:cNvGraphicFramePr>
            <a:graphic>
              <a:graphicData uri="http://schemas.openxmlformats.org/drawingml/2006/picture">
                <pic:pic>
                  <pic:nvPicPr>
                    <pic:cNvPr id="0" name="tmpvps559ha.png"/>
                    <pic:cNvPicPr/>
                  </pic:nvPicPr>
                  <pic:blipFill>
                    <a:blip r:embed="rId10"/>
                    <a:stretch>
                      <a:fillRect/>
                    </a:stretch>
                  </pic:blipFill>
                  <pic:spPr>
                    <a:xfrm>
                      <a:off x="0" y="0"/>
                      <a:ext cx="2743200" cy="2067680"/>
                    </a:xfrm>
                    <a:prstGeom prst="rect"/>
                  </pic:spPr>
                </pic:pic>
              </a:graphicData>
            </a:graphic>
          </wp:inline>
        </w:drawing>
      </w:r>
    </w:p>
    <w:p>
      <w:pPr>
        <w:pBdr>
          <w:bottom w:val="single" w:sz="6" w:space="1" w:color="CCCCCC"/>
        </w:pBdr>
      </w:pPr>
    </w:p>
    <w:p>
      <w:pPr>
        <w:pStyle w:val="Heading2"/>
        <w:jc w:val="left"/>
      </w:pPr>
      <w:r>
        <w:rPr>
          <w:color w:val="1E3C78"/>
        </w:rPr>
        <w:t>Indicateurs Techniques (TradBOT — M1)</w:t>
      </w:r>
    </w:p>
    <w:p>
      <w:pPr>
        <w:jc w:val="center"/>
      </w:pPr>
      <w:r>
        <w:drawing>
          <wp:inline xmlns:a="http://schemas.openxmlformats.org/drawingml/2006/main" xmlns:pic="http://schemas.openxmlformats.org/drawingml/2006/picture">
            <wp:extent cx="4114800" cy="2971048"/>
            <wp:docPr id="3" name="Picture 3"/>
            <wp:cNvGraphicFramePr>
              <a:graphicFrameLocks noChangeAspect="1"/>
            </wp:cNvGraphicFramePr>
            <a:graphic>
              <a:graphicData uri="http://schemas.openxmlformats.org/drawingml/2006/picture">
                <pic:pic>
                  <pic:nvPicPr>
                    <pic:cNvPr id="0" name="tmpiyl55n24.png"/>
                    <pic:cNvPicPr/>
                  </pic:nvPicPr>
                  <pic:blipFill>
                    <a:blip r:embed="rId11"/>
                    <a:stretch>
                      <a:fillRect/>
                    </a:stretch>
                  </pic:blipFill>
                  <pic:spPr>
                    <a:xfrm>
                      <a:off x="0" y="0"/>
                      <a:ext cx="4114800" cy="2971048"/>
                    </a:xfrm>
                    <a:prstGeom prst="rect"/>
                  </pic:spPr>
                </pic:pic>
              </a:graphicData>
            </a:graphic>
          </wp:inline>
        </w:drawing>
      </w:r>
    </w:p>
    <w:p/>
    <w:p>
      <w:pPr>
        <w:pBdr>
          <w:bottom w:val="single" w:sz="6" w:space="1" w:color="CCCCCC"/>
        </w:pBdr>
      </w:pPr>
    </w:p>
    <w:p>
      <w:pPr>
        <w:pStyle w:val="Heading2"/>
        <w:jc w:val="left"/>
      </w:pPr>
      <w:r>
        <w:rPr>
          <w:color w:val="1E3C78"/>
        </w:rPr>
        <w:t>Décision Portfolio Manager</w:t>
      </w:r>
    </w:p>
    <w:p>
      <w:pPr>
        <w:jc w:val="both"/>
      </w:pPr>
      <w:r>
        <w:rPr>
          <w:b/>
          <w:color w:val="1E3C78"/>
        </w:rPr>
        <w:t>Rating: Sell</w:t>
      </w:r>
    </w:p>
    <w:p>
      <w:pPr>
        <w:jc w:val="both"/>
      </w:pPr>
      <w:r>
        <w:rPr>
          <w:b/>
          <w:color w:val="1E3C78"/>
        </w:rPr>
        <w:t>Executive Summary: Initiate SHORT position on CRASH50 at 97,400-97,500 with 1.0-1.5% maximum account risk and stop-loss at 98,200 (750 points). Target 97,000 first (60% position) then 96,500 (40% position) for 2:1+ reward-risk. Consider adding 0.5% risk only on confirmed breakdown below 97,235 with RSI&lt;35 and negative MACD histogram. Time horizon: 2-4 weeks for primary targets.</w:t>
      </w:r>
    </w:p>
    <w:p>
      <w:pPr>
        <w:jc w:val="both"/>
      </w:pPr>
      <w:r>
        <w:rPr>
          <w:b/>
          <w:color w:val="1E3C78"/>
        </w:rPr>
        <w:t>Investment Thesis: The synthesis of analyst perspectives reveals a compelling but mature bearish setup requiring disciplined execution rather than maximum aggression. The Aggressive analyst correctly identifies eight confirmed bearish technical signals: price below all moving averages (10 EMA, 50 SMA, 200 SMA), death cross with 747-point separation, RSI forming lower highs for 60 consecutive days, MACD negative for 50+ days, price walking lower Bollinger Band, and deteriorating support structure at 97,235-97,334. The MACD histogram declining 81% from +67.80 to +12.52 in eight days confirms weakening recovery attempts. With 60% probability assigned to further decline and current price just 238 points above breakdown support, the directional case is sound.</w:t>
      </w:r>
    </w:p>
    <w:p>
      <w:pPr>
        <w:jc w:val="both"/>
      </w:pPr>
      <w:r>
        <w:rPr>
          <w:sz w:val="20"/>
        </w:rPr>
        <w:t>However, the Conservative analyst raises critical validity concerns that cannot be dismissed: (1) Entry timing is late after 2,500-point decline and 60-day trend, making this a mature move rather than early opportunity; (2) CRASH50's synthetic nature with 337-point ATR creates gap risk and execution uncertainty that invalidates clean stop assumptions; (3) Complete absence of sentiment data (zero news, social media, StockTwits) eliminates external validation signals; (4) RSI at 41.10 provides room for technical bounce to 50+ before any reversal thesis activates; (5) MACD histogram still positive at +12.52 despite weakening.</w:t>
      </w:r>
    </w:p>
    <w:p>
      <w:pPr>
        <w:jc w:val="both"/>
      </w:pPr>
      <w:r>
        <w:rPr>
          <w:sz w:val="20"/>
        </w:rPr>
        <w:t>The Neutral analyst's framework synthesizes these competing views optimally: the technical edge exists but doesn't justify maximum risk exposure in a high-volatility synthetic instrument at a mature trend stage. The original proposal's 2-3% account risk with scaling into higher prices (adding at 97,800 and 98,300) compounds losses if thesis deteriorates and represents poor position management. The 98,500 stop is too wide given execution risks in synthetics with programmed volatility spikes.</w:t>
      </w:r>
    </w:p>
    <w:p>
      <w:pPr>
        <w:jc w:val="both"/>
      </w:pPr>
      <w:r>
        <w:rPr>
          <w:sz w:val="20"/>
        </w:rPr>
        <w:t>The balanced approach reduces position size to 1-1.5% account risk—appropriate for a 60% probability setup that carries 40% failure risk—while tightening the stop to 98,200 (above Bollinger upper band at 98,161 but 300 points tighter than original). This preserves 2:1 reward-risk to first target while acknowledging slippage reality. The modified structure eliminates averaging into losing positions, instead reserving additional 0.5% risk capacity for adding on confirmed breakdown with accelerating momentum (breakdown below 97,235, RSI&lt;35, MACD histogram negative). This inverts the scaling logic from adding to losers to adding to winners with confirmation.</w:t>
      </w:r>
    </w:p>
    <w:p>
      <w:pPr>
        <w:jc w:val="both"/>
      </w:pPr>
      <w:r>
        <w:rPr>
          <w:sz w:val="20"/>
        </w:rPr>
        <w:t>Specific evidence supporting execution: (1) Support tests progressively weakening (97,334→97,262→97,235) indicate breakdown probability increasing, not consolidation; (2) Bollinger Band compression during downtrend historically precedes downside expansion; (3) ATR of 337 points provides sufficient movement for 450-950 point targets within normal daily ranges; (4) Death cross and sustained price below 200 SMA (currently at 99,103) establish structural downtrend that typically persists; (5) RSI unable to break above 50 for 60 days confirms momentum regime change, not temporary weakness.</w:t>
      </w:r>
    </w:p>
    <w:p>
      <w:pPr>
        <w:jc w:val="both"/>
      </w:pPr>
      <w:r>
        <w:rPr>
          <w:sz w:val="20"/>
        </w:rPr>
        <w:t>Risk mitigation directly addresses Conservative concerns: reduced size survives worst-case slippage (1.2-1.3% loss maximum vs. 2-3%), tighter stop at 98,200 limits exposure to volatility gaps, single-entry structure prevents compounding into deteriorating thesis, partial profit-taking at 97,000 locks gains and reduces exposure, and strict add-on criteria (breakdown + momentum acceleration) ensures confirmation before increasing exposure.</w:t>
      </w:r>
    </w:p>
    <w:p>
      <w:pPr>
        <w:jc w:val="both"/>
      </w:pPr>
      <w:r>
        <w:rPr>
          <w:sz w:val="20"/>
        </w:rPr>
        <w:t>The TradBOT ML signal showing SELL with 0.826 confidence and 70.8% model precision on independent analysis corroborates the human technical assessment, though the neutral pattern detection (score 0.0) and missing trend alignment data reinforce the need for conservative sizing given limited external validation.</w:t>
      </w:r>
    </w:p>
    <w:p>
      <w:pPr>
        <w:jc w:val="both"/>
      </w:pPr>
      <w:r>
        <w:rPr>
          <w:sz w:val="20"/>
        </w:rPr>
        <w:t>This position exploits legitimate statistical edge (60% probability trend continuation) while respecting instrument-specific risks (synthetic volatility, gap execution, late-stage entry) through appropriate sizing and structure. Expected value calculation: 60% × (+1.7% account gain) + 40% × (-1.3% account loss) = +0.50% positive EV per trade, acceptable for high-conviction technical setups with defined risk management.</w:t>
      </w:r>
    </w:p>
    <w:p>
      <w:pPr>
        <w:jc w:val="both"/>
      </w:pPr>
      <w:r>
        <w:rPr>
          <w:b/>
          <w:color w:val="1E3C78"/>
        </w:rPr>
        <w:t>Price Target: 96500.0</w:t>
      </w:r>
    </w:p>
    <w:p>
      <w:pPr>
        <w:jc w:val="both"/>
      </w:pPr>
      <w:r>
        <w:rPr>
          <w:b/>
          <w:color w:val="1E3C78"/>
        </w:rPr>
        <w:t>Time Horizon: 2-4 weeks</w:t>
      </w:r>
    </w:p>
    <w:p>
      <w:pPr>
        <w:pBdr>
          <w:bottom w:val="single" w:sz="6" w:space="1" w:color="CCCCCC"/>
        </w:pBdr>
      </w:pPr>
    </w:p>
    <w:p>
      <w:pPr>
        <w:pStyle w:val="Heading2"/>
        <w:jc w:val="left"/>
      </w:pPr>
      <w:r>
        <w:rPr>
          <w:color w:val="1E643C"/>
        </w:rPr>
        <w:t>Plan Trader</w:t>
      </w:r>
    </w:p>
    <w:p>
      <w:pPr>
        <w:jc w:val="both"/>
      </w:pPr>
      <w:r>
        <w:rPr>
          <w:b/>
          <w:color w:val="1E643C"/>
        </w:rPr>
        <w:t>Action: Sell</w:t>
      </w:r>
    </w:p>
    <w:p>
      <w:pPr>
        <w:jc w:val="both"/>
      </w:pPr>
      <w:r>
        <w:rPr>
          <w:b/>
          <w:color w:val="1E643C"/>
        </w:rPr>
        <w:t>Reasoning: The technical analysis shows overwhelming bearish evidence with eight confirmed signals: price below all moving averages, a death cross (50 SMA below 200 SMA by 747 points), RSI forming lower highs for 60 consecutive days, and MACD deeply negative for 50+ days. Recent recovery attempts are failing in real-time, with MACD histogram losing 81% of its strength and RSI unable to break above 50. Support at 97,235-97,334 is weakening with each successive test, placing current price only 238 points above breakdown risk. The research plan assigns 60% probability to further decline based on trend continuation patterns in this high-volatility synthetic instrument.</w:t>
      </w:r>
    </w:p>
    <w:p>
      <w:pPr>
        <w:jc w:val="both"/>
      </w:pPr>
      <w:r>
        <w:rPr>
          <w:b/>
          <w:color w:val="1E643C"/>
        </w:rPr>
        <w:t>Entry Price: 97450.0</w:t>
      </w:r>
    </w:p>
    <w:p>
      <w:pPr>
        <w:jc w:val="both"/>
      </w:pPr>
      <w:r>
        <w:rPr>
          <w:b/>
          <w:color w:val="1E643C"/>
        </w:rPr>
        <w:t>Stop Loss: 98500.0</w:t>
      </w:r>
    </w:p>
    <w:p>
      <w:pPr>
        <w:jc w:val="both"/>
      </w:pPr>
      <w:r>
        <w:rPr>
          <w:b/>
          <w:color w:val="1E643C"/>
        </w:rPr>
        <w:t>Position Sizing: Initial 60% of intended short exposure at current levels (97,400-97,500 range), with 20% reserve for potential rally to 97,800 and 20% for unlikely rally to 98,300. Maximum account risk 2-3% of trading capital.</w:t>
      </w:r>
    </w:p>
    <w:p>
      <w:pPr>
        <w:jc w:val="both"/>
      </w:pPr>
      <w:r>
        <w:rPr>
          <w:sz w:val="22"/>
        </w:rPr>
        <w:t>FINAL TRANSACTION PROPOSAL: **SELL**</w:t>
      </w:r>
    </w:p>
    <w:p>
      <w:pPr>
        <w:pBdr>
          <w:bottom w:val="single" w:sz="6" w:space="1" w:color="CCCCCC"/>
        </w:pBdr>
      </w:pPr>
    </w:p>
    <w:p>
      <w:pPr>
        <w:pStyle w:val="Heading2"/>
        <w:jc w:val="left"/>
      </w:pPr>
      <w:r>
        <w:rPr>
          <w:color w:val="502878"/>
        </w:rPr>
        <w:t>Rapport Marché</w:t>
      </w:r>
    </w:p>
    <w:p>
      <w:pPr>
        <w:jc w:val="both"/>
      </w:pPr>
      <w:r>
        <w:rPr>
          <w:sz w:val="22"/>
        </w:rPr>
        <w:t>## CRASH50 Technical Analysis Report</w:t>
        <w:br/>
        <w:t>**Analysis Date: May 20, 2026**</w:t>
      </w:r>
    </w:p>
    <w:p>
      <w:pPr>
        <w:jc w:val="both"/>
      </w:pPr>
      <w:r>
        <w:rPr>
          <w:sz w:val="22"/>
        </w:rPr>
        <w:t>---</w:t>
      </w:r>
    </w:p>
    <w:p>
      <w:pPr>
        <w:jc w:val="both"/>
      </w:pPr>
      <w:r>
        <w:rPr>
          <w:sz w:val="22"/>
        </w:rPr>
        <w:t>### Executive Summary</w:t>
      </w:r>
    </w:p>
    <w:p>
      <w:pPr>
        <w:jc w:val="both"/>
      </w:pPr>
      <w:r>
        <w:rPr>
          <w:sz w:val="20"/>
        </w:rPr>
        <w:t>CRASH50 is currently experiencing a **significant downtrend** with the price at **97,473.69**, trading substantially below all major moving averages. The instrument has lost approximately **2,500 points** (2.5%) from its recent highs in February 2026 and shows persistent bearish momentum. Multiple technical indicators are flashing warning signals, suggesting continued downside pressure in the near term.</w:t>
      </w:r>
    </w:p>
    <w:p>
      <w:pPr>
        <w:jc w:val="both"/>
      </w:pPr>
      <w:r>
        <w:rPr>
          <w:sz w:val="22"/>
        </w:rPr>
        <w:t>---</w:t>
      </w:r>
    </w:p>
    <w:p>
      <w:pPr>
        <w:jc w:val="both"/>
      </w:pPr>
      <w:r>
        <w:rPr>
          <w:sz w:val="22"/>
        </w:rPr>
        <w:t>### Selected Indicators Rationale</w:t>
      </w:r>
    </w:p>
    <w:p>
      <w:pPr>
        <w:jc w:val="both"/>
      </w:pPr>
      <w:r>
        <w:rPr>
          <w:sz w:val="22"/>
        </w:rPr>
        <w:t>For analyzing CRASH50, a synthetic crash index with high volatility and frequent sharp moves, I selected the following 8 complementary indicators:</w:t>
      </w:r>
    </w:p>
    <w:p>
      <w:pPr>
        <w:jc w:val="both"/>
      </w:pPr>
      <w:r>
        <w:rPr>
          <w:sz w:val="20"/>
        </w:rPr>
        <w:t>1. **200 SMA** - Long-term trend confirmation for overall market direction</w:t>
        <w:br/>
        <w:t>2. **50 SMA** - Medium-term trend filter and dynamic support/resistance</w:t>
        <w:br/>
        <w:t>3. **10 EMA** - Short-term momentum and entry/exit timing</w:t>
        <w:br/>
        <w:t>4. **RSI** - Momentum oscillator to identify oversold/overbought conditions</w:t>
        <w:br/>
        <w:t>5. **MACD** - Trend-following momentum indicator for crossover signals</w:t>
        <w:br/>
        <w:t>6. **MACD Histogram** - Visual momentum strength and divergence detection</w:t>
        <w:br/>
        <w:t>7. **ATR** - Volatility measurement for position sizing and stop-loss placement</w:t>
        <w:br/>
        <w:t>8. **Bollinger Bands (Upper &amp; Lower)** - Volatility bands for breakout/reversal identification</w:t>
      </w:r>
    </w:p>
    <w:p>
      <w:pPr>
        <w:jc w:val="both"/>
      </w:pPr>
      <w:r>
        <w:rPr>
          <w:sz w:val="22"/>
        </w:rPr>
        <w:t>These indicators provide comprehensive coverage across trend, momentum, and volatility dimensions without redundancy.</w:t>
      </w:r>
    </w:p>
    <w:p>
      <w:pPr>
        <w:jc w:val="both"/>
      </w:pPr>
      <w:r>
        <w:rPr>
          <w:sz w:val="22"/>
        </w:rPr>
        <w:t>---</w:t>
      </w:r>
    </w:p>
    <w:p>
      <w:pPr>
        <w:jc w:val="both"/>
      </w:pPr>
      <w:r>
        <w:rPr>
          <w:sz w:val="22"/>
        </w:rPr>
        <w:t>### Detailed Technical Analysis</w:t>
      </w:r>
    </w:p>
    <w:p>
      <w:pPr>
        <w:jc w:val="both"/>
      </w:pPr>
      <w:r>
        <w:rPr>
          <w:sz w:val="22"/>
        </w:rPr>
        <w:t>#### **1. Trend Analysis: All Systems Bearish**</w:t>
      </w:r>
    </w:p>
    <w:p>
      <w:pPr>
        <w:jc w:val="both"/>
      </w:pPr>
      <w:r>
        <w:rPr>
          <w:sz w:val="22"/>
        </w:rPr>
        <w:t>The moving average structure reveals a clear and concerning bearish alignment:</w:t>
      </w:r>
    </w:p>
    <w:p>
      <w:pPr>
        <w:jc w:val="both"/>
      </w:pPr>
      <w:r>
        <w:rPr>
          <w:sz w:val="22"/>
        </w:rPr>
        <w:t>- **Current Price**: 97,473.69</w:t>
        <w:br/>
        <w:t>- **10 EMA**: 97,620.91 (price below)</w:t>
        <w:br/>
        <w:t>- **50 SMA**: 98,355.37 (price below by 881 points)</w:t>
        <w:br/>
        <w:t>- **200 SMA**: 99,103.10 (price below by 1,629 points)</w:t>
      </w:r>
    </w:p>
    <w:p>
      <w:pPr>
        <w:jc w:val="both"/>
      </w:pPr>
      <w:r>
        <w:rPr>
          <w:b/>
          <w:color w:val="502878"/>
        </w:rPr>
        <w:t>Key Observations:</w:t>
        <w:br/>
        <w:t>- Price is trading below ALL major moving averages, confirming a strong downtrend</w:t>
        <w:br/>
        <w:t>- The 10 EMA (97,620.91) is declining and acting as immediate resistance</w:t>
        <w:br/>
        <w:t>- The 50 SMA has been in a steep decline, dropping from 99,914.08 on March 21 to 98,355.37 today - a loss of 1,558 points in 60 days</w:t>
        <w:br/>
        <w:t>- The 200 SMA is also trending lower, declining from 99,417.70 (March 21) to 99,103.10 (May 20)</w:t>
        <w:br/>
        <w:t>- Death cross configuration: The 50 SMA (98,355.37) is well below the 200 SMA (99,103.10) by 747 points, a classic bearish signal</w:t>
      </w:r>
    </w:p>
    <w:p>
      <w:pPr>
        <w:jc w:val="both"/>
      </w:pPr>
      <w:r>
        <w:rPr>
          <w:sz w:val="22"/>
        </w:rPr>
        <w:t>The persistent gap between price and the 200 SMA indicates severe weakness, with no signs of mean reversion. The downward trajectory of all moving averages suggests this is not a temporary pullback but a sustained trend change.</w:t>
      </w:r>
    </w:p>
    <w:p>
      <w:pPr>
        <w:jc w:val="both"/>
      </w:pPr>
      <w:r>
        <w:rPr>
          <w:sz w:val="22"/>
        </w:rPr>
        <w:t>#### **2. Momentum Indicators: Deeply Oversold But Still Weak**</w:t>
      </w:r>
    </w:p>
    <w:p>
      <w:pPr>
        <w:jc w:val="both"/>
      </w:pPr>
      <w:r>
        <w:rPr>
          <w:sz w:val="20"/>
        </w:rPr>
        <w:t>**RSI Analysis (Current: 41.10):**</w:t>
        <w:br/>
        <w:t>- The RSI is in neutral-to-bearish territory at 41.10, having recovered slightly from extreme lows</w:t>
        <w:br/>
        <w:t>- Recent low of 30.91 on May 3 indicates the market was deeply oversold</w:t>
        <w:br/>
        <w:t>- Despite the oversold reading, RSI has failed to break above 50 (neutral), showing bulls lack conviction</w:t>
        <w:br/>
        <w:t>- The highest RSI reading in the past 60 days was only 59.04 on April 4, failing to reach overbought levels</w:t>
        <w:br/>
        <w:t>- Current reading below 42 suggests renewed selling pressure is building</w:t>
      </w:r>
    </w:p>
    <w:p>
      <w:pPr>
        <w:jc w:val="both"/>
      </w:pPr>
      <w:r>
        <w:rPr>
          <w:b/>
          <w:color w:val="502878"/>
        </w:rPr>
        <w:t>Critical Pattern: RSI has formed lower highs since April 4 (59.04 → 51.29 → 48.83), indicating weakening momentum even during bounces. This is a bearish divergence pattern suggesting the downtrend will continue.</w:t>
      </w:r>
    </w:p>
    <w:p>
      <w:pPr>
        <w:jc w:val="both"/>
      </w:pPr>
      <w:r>
        <w:rPr>
          <w:b/>
          <w:color w:val="502878"/>
        </w:rPr>
        <w:t>MACD Analysis:</w:t>
        <w:br/>
        <w:t>- MACD Line: -225.59 (deeply negative)</w:t>
        <w:br/>
        <w:t>- MACD Histogram: +12.52 (slightly positive but weakening)</w:t>
      </w:r>
    </w:p>
    <w:p>
      <w:pPr>
        <w:jc w:val="both"/>
      </w:pPr>
      <w:r>
        <w:rPr>
          <w:sz w:val="22"/>
        </w:rPr>
        <w:t>The MACD has been in negative territory continuously since late March, reaching as low as -348.86 on May 4. While the histogram shows a minor positive reading of +12.52, this represents a weakening of the recent recovery attempt (from +67.80 on May 12 to +12.52 today).</w:t>
      </w:r>
    </w:p>
    <w:p>
      <w:pPr>
        <w:jc w:val="both"/>
      </w:pPr>
      <w:r>
        <w:rPr>
          <w:sz w:val="20"/>
        </w:rPr>
        <w:t>**Critical Signals:**</w:t>
        <w:br/>
        <w:t>- MACD has been negative for over 50 consecutive trading days</w:t>
        <w:br/>
        <w:t>- The recent histogram decline from +67.80 to +12.52 in just 8 trading days suggests the attempted recovery is failing</w:t>
        <w:br/>
        <w:t>- No bullish MACD crossover has materialized; the MACD line remains deeply underwater</w:t>
        <w:br/>
        <w:t>- The histogram's decline indicates deteriorating momentum and potential for renewed selling</w:t>
      </w:r>
    </w:p>
    <w:p>
      <w:pPr>
        <w:jc w:val="both"/>
      </w:pPr>
      <w:r>
        <w:rPr>
          <w:sz w:val="22"/>
        </w:rPr>
        <w:t>#### **3. Volatility Analysis: Elevated Risk Environment**</w:t>
      </w:r>
    </w:p>
    <w:p>
      <w:pPr>
        <w:jc w:val="both"/>
      </w:pPr>
      <w:r>
        <w:rPr>
          <w:sz w:val="22"/>
        </w:rPr>
        <w:t>**ATR (Average True Range): 336.94**</w:t>
      </w:r>
    </w:p>
    <w:p>
      <w:pPr>
        <w:jc w:val="both"/>
      </w:pPr>
      <w:r>
        <w:rPr>
          <w:sz w:val="22"/>
        </w:rPr>
        <w:t>The ATR has remained consistently elevated between 310-360 points throughout the analysis period, indicating:</w:t>
        <w:br/>
        <w:t>- High intraday volatility with average daily ranges of ~340 points</w:t>
        <w:br/>
        <w:t>- Increased risk for position holders</w:t>
        <w:br/>
        <w:t>- Potential for sudden sharp moves (characteristic of crash indices)</w:t>
      </w:r>
    </w:p>
    <w:p>
      <w:pPr>
        <w:jc w:val="both"/>
      </w:pPr>
      <w:r>
        <w:rPr>
          <w:sz w:val="22"/>
        </w:rPr>
        <w:t>**Recent Volatility Spikes:**</w:t>
        <w:br/>
        <w:t>- Peak ATR of 359.76 on May 10 coincided with sharp selling</w:t>
        <w:br/>
        <w:t>- Current ATR of 336.94 is moderately elevated but declining from recent peaks</w:t>
        <w:br/>
        <w:t>- Lower ATR readings could signal consolidation before the next move</w:t>
      </w:r>
    </w:p>
    <w:p>
      <w:pPr>
        <w:jc w:val="both"/>
      </w:pPr>
      <w:r>
        <w:rPr>
          <w:b/>
          <w:color w:val="502878"/>
        </w:rPr>
        <w:t>Bollinger Bands Analysis:</w:t>
        <w:br/>
        <w:t>- Upper Band: 98,161.68</w:t>
        <w:br/>
        <w:t>- Lower Band: 97,252.89</w:t>
        <w:br/>
        <w:t>- Band Width: 908.79 points</w:t>
        <w:br/>
        <w:t>- Current Price: 97,473.69 (within bands, closer to lower band)</w:t>
      </w:r>
    </w:p>
    <w:p>
      <w:pPr>
        <w:jc w:val="both"/>
      </w:pPr>
      <w:r>
        <w:rPr>
          <w:sz w:val="20"/>
        </w:rPr>
        <w:t>**Key Observations:**</w:t>
        <w:br/>
        <w:t>- Price is trading in the lower third of the Bollinger Bands, indicating bearish bias</w:t>
        <w:br/>
        <w:t>- The bands have been compressing from April highs (when width exceeded 1,100 points)</w:t>
        <w:br/>
        <w:t>- Price touched the lower band on May 1 at 97,655.95 and has remained near it since</w:t>
        <w:br/>
        <w:t>- Both bands are sloping downward, confirming the downtrend</w:t>
        <w:br/>
        <w:t>- The tightening bands suggest a potential volatility expansion (breakout) is approaching</w:t>
      </w:r>
    </w:p>
    <w:p>
      <w:pPr>
        <w:jc w:val="both"/>
      </w:pPr>
      <w:r>
        <w:rPr>
          <w:b/>
          <w:color w:val="502878"/>
        </w:rPr>
        <w:t>Critical Pattern: Price has been "walking down" the lower Bollinger Band since early May, a classic bearish pattern that typically continues until exhaustion.</w:t>
      </w:r>
    </w:p>
    <w:p>
      <w:pPr>
        <w:jc w:val="both"/>
      </w:pPr>
      <w:r>
        <w:rPr>
          <w:sz w:val="22"/>
        </w:rPr>
        <w:t>#### **4. Price Action Analysis**</w:t>
      </w:r>
    </w:p>
    <w:p>
      <w:pPr>
        <w:jc w:val="both"/>
      </w:pPr>
      <w:r>
        <w:rPr>
          <w:b/>
          <w:color w:val="502878"/>
        </w:rPr>
        <w:t>Recent Performance:</w:t>
        <w:br/>
        <w:t>- Last 5 days: Price declined from 97,717.13 (May 19) to 97,473.69 (May 20) = -243 points</w:t>
        <w:br/>
        <w:t>- Monthly decline: From 98,187.50 (April 30) to 97,473.69 (May 20) = -714 points (-0.73%)</w:t>
        <w:br/>
        <w:t>- From recent high: Peak of 100,532.90 (Feb 18) to current = -3,059 points (-3.05%)</w:t>
      </w:r>
    </w:p>
    <w:p>
      <w:pPr>
        <w:jc w:val="both"/>
      </w:pPr>
      <w:r>
        <w:rPr>
          <w:sz w:val="22"/>
        </w:rPr>
        <w:t>The price action shows:</w:t>
        <w:br/>
        <w:t>- Consistent lower lows and lower highs pattern since late February</w:t>
        <w:br/>
        <w:t>- Failed recovery attempts in early May (reached 98,123.23 on May 11)</w:t>
        <w:br/>
        <w:t>- Each bounce has been met with aggressive selling</w:t>
        <w:br/>
        <w:t>- Volume consistency at 1.0 (normalized for synthetic indices)</w:t>
      </w:r>
    </w:p>
    <w:p>
      <w:pPr>
        <w:jc w:val="both"/>
      </w:pPr>
      <w:r>
        <w:rPr>
          <w:sz w:val="22"/>
        </w:rPr>
        <w:t>#### **5. Support and Resistance Levels**</w:t>
      </w:r>
    </w:p>
    <w:p>
      <w:pPr>
        <w:jc w:val="both"/>
      </w:pPr>
      <w:r>
        <w:rPr>
          <w:sz w:val="20"/>
        </w:rPr>
        <w:t>**Immediate Resistance:**</w:t>
        <w:br/>
        <w:t>1. **97,620.91** (10 EMA) - First overhead resistance</w:t>
        <w:br/>
        <w:t>2. **97,752.26** (May 13 low) - Recent price congestion</w:t>
        <w:br/>
        <w:t>3. **98,028.80** (May 10 high) - Failed breakout level</w:t>
        <w:br/>
        <w:t>4. **98,161.68** (Bollinger Upper Band) - Dynamic resistance</w:t>
        <w:br/>
        <w:t>5. **98,355.37** (50 SMA) - Major resistance zone</w:t>
      </w:r>
    </w:p>
    <w:p>
      <w:pPr>
        <w:jc w:val="both"/>
      </w:pPr>
      <w:r>
        <w:rPr>
          <w:sz w:val="22"/>
        </w:rPr>
        <w:t>**Support Levels:**</w:t>
        <w:br/>
        <w:t>1. **97,473.69** (Current price) - Immediate support</w:t>
        <w:br/>
        <w:t>2. **97,334.53** (May 17 low) - Recent swing low</w:t>
        <w:br/>
        <w:t>3. **97,252.89** (Bollinger Lower Band) - Dynamic support</w:t>
        <w:br/>
        <w:t>4. **97,262.13** (May 15 low) - Critical support zone</w:t>
        <w:br/>
        <w:t>5. **97,235.87** (May 17 low) - Major support</w:t>
      </w:r>
    </w:p>
    <w:p>
      <w:pPr>
        <w:jc w:val="both"/>
      </w:pPr>
      <w:r>
        <w:rPr>
          <w:b/>
          <w:color w:val="502878"/>
        </w:rPr>
        <w:t>Critical Zone: The area between 97,235 - 97,262 represents a critical support cluster. A break below this zone would likely trigger accelerated selling toward 97,000 and potentially 96,500.</w:t>
      </w:r>
    </w:p>
    <w:p>
      <w:pPr>
        <w:jc w:val="both"/>
      </w:pPr>
      <w:r>
        <w:rPr>
          <w:sz w:val="22"/>
        </w:rPr>
        <w:t>---</w:t>
      </w:r>
    </w:p>
    <w:p>
      <w:pPr>
        <w:jc w:val="both"/>
      </w:pPr>
      <w:r>
        <w:rPr>
          <w:sz w:val="22"/>
        </w:rPr>
        <w:t>### Trading Implications and Strategy</w:t>
      </w:r>
    </w:p>
    <w:p>
      <w:pPr>
        <w:jc w:val="both"/>
      </w:pPr>
      <w:r>
        <w:rPr>
          <w:sz w:val="22"/>
        </w:rPr>
        <w:t>#### **Bearish Case (Probability: 70%)**</w:t>
      </w:r>
    </w:p>
    <w:p>
      <w:pPr>
        <w:jc w:val="both"/>
      </w:pPr>
      <w:r>
        <w:rPr>
          <w:sz w:val="20"/>
        </w:rPr>
        <w:t>**Evidence Supporting Further Decline:**</w:t>
        <w:br/>
        <w:t>1. Price below all major moving averages with widening gaps</w:t>
        <w:br/>
        <w:t>2. Death cross configuration (50 SMA &lt; 200 SMA)</w:t>
        <w:br/>
        <w:t>3. MACD histogram declining from positive territory</w:t>
        <w:br/>
        <w:t>4. RSI forming lower highs despite oversold readings</w:t>
        <w:br/>
        <w:t>5. Price walking the lower Bollinger Band</w:t>
        <w:br/>
        <w:t>6. Failed recovery attempts at multiple resistance levels</w:t>
      </w:r>
    </w:p>
    <w:p>
      <w:pPr>
        <w:jc w:val="both"/>
      </w:pPr>
      <w:r>
        <w:rPr>
          <w:b/>
          <w:color w:val="502878"/>
        </w:rPr>
        <w:t>Bearish Targets:</w:t>
        <w:br/>
        <w:t>- Short-term: 97,000 (-485 points / -0.50%)</w:t>
        <w:br/>
        <w:t>- Medium-term: 96,500 (-985 points / -1.01%)</w:t>
        <w:br/>
        <w:t>- Extended: 96,000 (-1,485 points / -1.52%)</w:t>
      </w:r>
    </w:p>
    <w:p>
      <w:pPr>
        <w:jc w:val="both"/>
      </w:pPr>
      <w:r>
        <w:rPr>
          <w:b/>
          <w:color w:val="502878"/>
        </w:rPr>
        <w:t>Bearish Trade Setup:</w:t>
        <w:br/>
        <w:t>- Entry: Current levels or on bounce to 97,600-97,750</w:t>
        <w:br/>
        <w:t>- Stop Loss: 98,200 (above failed resistance)</w:t>
        <w:br/>
        <w:t>- Take Profit 1: 97,000</w:t>
        <w:br/>
        <w:t>- Take Profit 2: 96,500</w:t>
        <w:br/>
        <w:t>- Risk/Reward: Favorable at 2:1 minimum</w:t>
      </w:r>
    </w:p>
    <w:p>
      <w:pPr>
        <w:jc w:val="both"/>
      </w:pPr>
      <w:r>
        <w:rPr>
          <w:sz w:val="22"/>
        </w:rPr>
        <w:t>#### **Neutral/Consolidation Case (Probability: 20%)**</w:t>
      </w:r>
    </w:p>
    <w:p>
      <w:pPr>
        <w:jc w:val="both"/>
      </w:pPr>
      <w:r>
        <w:rPr>
          <w:sz w:val="22"/>
        </w:rPr>
        <w:t>The market could enter a consolidation phase if:</w:t>
        <w:br/>
        <w:t>1. RSI holds above 35 without breaking down</w:t>
        <w:br/>
        <w:t>2. Price stabilizes above 97,250 (lower Bollinger Band)</w:t>
        <w:br/>
        <w:t>3. MACD histogram forms a positive divergence</w:t>
        <w:br/>
        <w:t>4. ATR continues to decline, indicating reduced volatility</w:t>
      </w:r>
    </w:p>
    <w:p>
      <w:pPr>
        <w:jc w:val="both"/>
      </w:pPr>
      <w:r>
        <w:rPr>
          <w:b/>
          <w:color w:val="502878"/>
        </w:rPr>
        <w:t>Range-bound Scenario: 97,250 - 98,150 for 5-10 trading days</w:t>
      </w:r>
    </w:p>
    <w:p>
      <w:pPr>
        <w:jc w:val="both"/>
      </w:pPr>
      <w:r>
        <w:rPr>
          <w:sz w:val="22"/>
        </w:rPr>
        <w:t>#### **Bullish Reversal Case (Probability: 10%)**</w:t>
      </w:r>
    </w:p>
    <w:p>
      <w:pPr>
        <w:jc w:val="both"/>
      </w:pPr>
      <w:r>
        <w:rPr>
          <w:sz w:val="22"/>
        </w:rPr>
        <w:t>A bullish reversal would require:</w:t>
        <w:br/>
        <w:t>1. Strong bounce from current levels with volume confirmation</w:t>
        <w:br/>
        <w:t>2. RSI breaking above 50 with momentum</w:t>
        <w:br/>
        <w:t>3. MACD histogram turning decisively positive with crossover</w:t>
        <w:br/>
        <w:t>4. Price reclaiming 10 EMA and 50 SMA</w:t>
        <w:br/>
        <w:t>5. Daily close above 98,355 (50 SMA)</w:t>
      </w:r>
    </w:p>
    <w:p>
      <w:pPr>
        <w:jc w:val="both"/>
      </w:pPr>
      <w:r>
        <w:rPr>
          <w:b/>
          <w:color w:val="502878"/>
        </w:rPr>
        <w:t>Bullish Targets (if reversal confirmed):</w:t>
        <w:br/>
        <w:t>- Initial: 98,800 (retest of recent resistance)</w:t>
        <w:br/>
        <w:t>- Secondary: 99,100 (200 SMA test)</w:t>
        <w:br/>
        <w:t>- Extended: 99,500-100,000 (recovery to February levels)</w:t>
      </w:r>
    </w:p>
    <w:p>
      <w:pPr>
        <w:jc w:val="both"/>
      </w:pPr>
      <w:r>
        <w:rPr>
          <w:b/>
          <w:color w:val="502878"/>
        </w:rPr>
        <w:t>Important Note: Given current technical setup, any bullish scenario would likely require a fundamental catalyst or significant market shift. The current evidence does not support a sustained reversal at this time.</w:t>
      </w:r>
    </w:p>
    <w:p>
      <w:pPr>
        <w:jc w:val="both"/>
      </w:pPr>
      <w:r>
        <w:rPr>
          <w:sz w:val="22"/>
        </w:rPr>
        <w:t>---</w:t>
      </w:r>
    </w:p>
    <w:p>
      <w:pPr>
        <w:jc w:val="both"/>
      </w:pPr>
      <w:r>
        <w:rPr>
          <w:sz w:val="22"/>
        </w:rPr>
        <w:t>### Risk Management Recommendations</w:t>
      </w:r>
    </w:p>
    <w:p>
      <w:pPr>
        <w:jc w:val="both"/>
      </w:pPr>
      <w:r>
        <w:rPr>
          <w:sz w:val="20"/>
        </w:rPr>
        <w:t>1. **Position Sizing**: Use ATR of 336.94 for position sizing</w:t>
        <w:br/>
        <w:t xml:space="preserve">   - Conservative: 1% account risk per trade = 2.97 lots per standard account</w:t>
        <w:br/>
        <w:t xml:space="preserve">   - Moderate: 2% account risk = 5.94 lots</w:t>
        <w:br/>
        <w:t xml:space="preserve">   </w:t>
        <w:br/>
        <w:t>2. **Stop Loss Placement**:</w:t>
        <w:br/>
        <w:t xml:space="preserve">   - **Tight**: 1 ATR = ~337 points above entry</w:t>
        <w:br/>
        <w:t xml:space="preserve">   - **Standard**: 1.5 ATR = ~505 points above entry</w:t>
        <w:br/>
        <w:t xml:space="preserve">   - **Wide**: 2 ATR = ~674 points above entry</w:t>
      </w:r>
    </w:p>
    <w:p>
      <w:pPr>
        <w:jc w:val="both"/>
      </w:pPr>
      <w:r>
        <w:rPr>
          <w:sz w:val="22"/>
        </w:rPr>
        <w:t>3. **Volatility Considerations**:</w:t>
        <w:br/>
        <w:t xml:space="preserve">   - Expect daily ranges of 300-400 points</w:t>
        <w:br/>
        <w:t xml:space="preserve">   - Avoid overleveraging given the high volatility</w:t>
        <w:br/>
        <w:t xml:space="preserve">   - Use trailing stops to protect profits in any counter-trend moves</w:t>
      </w:r>
    </w:p>
    <w:p>
      <w:pPr>
        <w:jc w:val="both"/>
      </w:pPr>
      <w:r>
        <w:rPr>
          <w:sz w:val="22"/>
        </w:rPr>
        <w:t>4. **Time-Based Stops**:</w:t>
        <w:br/>
        <w:t xml:space="preserve">   - Review positions daily given the fast-moving nature of crash indices</w:t>
        <w:br/>
        <w:t xml:space="preserve">   - Consider closing positions before major news events</w:t>
      </w:r>
    </w:p>
    <w:p>
      <w:pPr>
        <w:jc w:val="both"/>
      </w:pPr>
      <w:r>
        <w:rPr>
          <w:sz w:val="22"/>
        </w:rPr>
        <w:t>---</w:t>
      </w:r>
    </w:p>
    <w:p>
      <w:pPr>
        <w:jc w:val="both"/>
      </w:pPr>
      <w:r>
        <w:rPr>
          <w:sz w:val="22"/>
        </w:rPr>
        <w:t>### Key Catalysts to Watch</w:t>
      </w:r>
    </w:p>
    <w:p>
      <w:pPr>
        <w:jc w:val="both"/>
      </w:pPr>
      <w:r>
        <w:rPr>
          <w:sz w:val="20"/>
        </w:rPr>
        <w:t>1. **Technical Levels**: Break below 97,235 or reclaim of 98,355</w:t>
        <w:br/>
        <w:t>2. **RSI Levels**: Drop below 30 (extreme oversold) or break above 50 (momentum shift)</w:t>
        <w:br/>
        <w:t>3. **MACD Crossover**: Bullish crossover above signal line would be first reversal sign</w:t>
        <w:br/>
        <w:t>4. **Bollinger Band Behavior**: Band expansion or contraction</w:t>
        <w:br/>
        <w:t>5. **Moving Average Convergence**: 50 SMA approaching 200 SMA (currently 747 points apart)</w:t>
      </w:r>
    </w:p>
    <w:p>
      <w:pPr>
        <w:jc w:val="both"/>
      </w:pPr>
      <w:r>
        <w:rPr>
          <w:sz w:val="22"/>
        </w:rPr>
        <w:t>---</w:t>
      </w:r>
    </w:p>
    <w:p>
      <w:pPr>
        <w:jc w:val="both"/>
      </w:pPr>
      <w:r>
        <w:rPr>
          <w:sz w:val="22"/>
        </w:rPr>
        <w:t>### Conclusion</w:t>
      </w:r>
    </w:p>
    <w:p>
      <w:pPr>
        <w:jc w:val="both"/>
      </w:pPr>
      <w:r>
        <w:rPr>
          <w:sz w:val="20"/>
        </w:rPr>
        <w:t>CRASH50 presents a **clear bearish technical picture** with multiple confirming indicators. The instrument is in a well-established downtrend with price trading significantly below all major moving averages, negative MACD readings for 50+ days, and persistent failure to generate sustainable upward momentum. The RSI's inability to reach overbought territory even during bounces, combined with the price walking the lower Bollinger Band, suggests sellers remain in firm control.</w:t>
      </w:r>
    </w:p>
    <w:p>
      <w:pPr>
        <w:jc w:val="both"/>
      </w:pPr>
      <w:r>
        <w:rPr>
          <w:sz w:val="22"/>
        </w:rPr>
        <w:t>**FINAL TRANSACTION PROPOSAL: SELL**</w:t>
      </w:r>
    </w:p>
    <w:p>
      <w:pPr>
        <w:jc w:val="both"/>
      </w:pPr>
      <w:r>
        <w:rPr>
          <w:b/>
          <w:color w:val="502878"/>
        </w:rPr>
        <w:t>Recommendation: SELL or maintain short positions with targets at 97,000 and 96,500. For traders on the sidelines, wait for either:</w:t>
        <w:br/>
        <w:t>- Bearish confirmation: Break below 97,235 for additional short entry</w:t>
        <w:br/>
        <w:t>- Reversal signal: Close above 98,355 with RSI &gt; 50 before considering longs</w:t>
      </w:r>
    </w:p>
    <w:p>
      <w:pPr>
        <w:jc w:val="both"/>
      </w:pPr>
      <w:r>
        <w:rPr>
          <w:sz w:val="22"/>
        </w:rPr>
        <w:t>The risk/reward favors bearish positioning with tight stops above recent resistance levels. The technical evidence overwhelmingly supports continuation of the downtrend until significant technical damage is repaired.</w:t>
      </w:r>
    </w:p>
    <w:p>
      <w:pPr>
        <w:jc w:val="both"/>
      </w:pPr>
      <w:r>
        <w:rPr>
          <w:sz w:val="22"/>
        </w:rPr>
        <w:t>---</w:t>
      </w:r>
    </w:p>
    <w:p>
      <w:pPr>
        <w:jc w:val="both"/>
      </w:pPr>
      <w:r>
        <w:rPr>
          <w:sz w:val="22"/>
        </w:rPr>
        <w:t>### Technical Summary Table</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**Indicator**</w:t>
            </w:r>
          </w:p>
        </w:tc>
        <w:tc>
          <w:tcPr>
            <w:tcW w:type="dxa" w:w="1728"/>
          </w:tcPr>
          <w:p>
            <w:r>
              <w:rPr>
                <w:b/>
              </w:rPr>
              <w:t>**Current Value**</w:t>
            </w:r>
          </w:p>
        </w:tc>
        <w:tc>
          <w:tcPr>
            <w:tcW w:type="dxa" w:w="1728"/>
          </w:tcPr>
          <w:p>
            <w:r>
              <w:rPr>
                <w:b/>
              </w:rPr>
              <w:t>**Signal**</w:t>
            </w:r>
          </w:p>
        </w:tc>
        <w:tc>
          <w:tcPr>
            <w:tcW w:type="dxa" w:w="1728"/>
          </w:tcPr>
          <w:p>
            <w:r>
              <w:rPr>
                <w:b/>
              </w:rPr>
              <w:t>**Strength**</w:t>
            </w:r>
          </w:p>
        </w:tc>
        <w:tc>
          <w:tcPr>
            <w:tcW w:type="dxa" w:w="1728"/>
          </w:tcPr>
          <w:p>
            <w:r>
              <w:rPr>
                <w:b/>
              </w:rPr>
              <w:t>**Interpretation**</w:t>
            </w:r>
          </w:p>
        </w:tc>
      </w:tr>
      <w:tr>
        <w:tc>
          <w:tcPr>
            <w:tcW w:type="dxa" w:w="1728"/>
          </w:tcPr>
          <w:p>
            <w:r>
              <w:t>**Price**</w:t>
            </w:r>
          </w:p>
        </w:tc>
        <w:tc>
          <w:tcPr>
            <w:tcW w:type="dxa" w:w="1728"/>
          </w:tcPr>
          <w:p>
            <w:r>
              <w:t>97,473.69</w:t>
            </w:r>
          </w:p>
        </w:tc>
        <w:tc>
          <w:tcPr>
            <w:tcW w:type="dxa" w:w="1728"/>
          </w:tcPr>
          <w:p>
            <w:r>
              <w:t>Bearish</w:t>
            </w:r>
          </w:p>
        </w:tc>
        <w:tc>
          <w:tcPr>
            <w:tcW w:type="dxa" w:w="1728"/>
          </w:tcPr>
          <w:p>
            <w:r>
              <w:t>Strong</w:t>
            </w:r>
          </w:p>
        </w:tc>
        <w:tc>
          <w:tcPr>
            <w:tcW w:type="dxa" w:w="1728"/>
          </w:tcPr>
          <w:p>
            <w:r>
              <w:t>Below all MAs</w:t>
            </w:r>
          </w:p>
        </w:tc>
      </w:tr>
      <w:tr>
        <w:tc>
          <w:tcPr>
            <w:tcW w:type="dxa" w:w="1728"/>
          </w:tcPr>
          <w:p>
            <w:r>
              <w:t>**10 EMA**</w:t>
            </w:r>
          </w:p>
        </w:tc>
        <w:tc>
          <w:tcPr>
            <w:tcW w:type="dxa" w:w="1728"/>
          </w:tcPr>
          <w:p>
            <w:r>
              <w:t>97,620.91</w:t>
            </w:r>
          </w:p>
        </w:tc>
        <w:tc>
          <w:tcPr>
            <w:tcW w:type="dxa" w:w="1728"/>
          </w:tcPr>
          <w:p>
            <w:r>
              <w:t>Bearish</w:t>
            </w:r>
          </w:p>
        </w:tc>
        <w:tc>
          <w:tcPr>
            <w:tcW w:type="dxa" w:w="1728"/>
          </w:tcPr>
          <w:p>
            <w:r>
              <w:t>Strong</w:t>
            </w:r>
          </w:p>
        </w:tc>
        <w:tc>
          <w:tcPr>
            <w:tcW w:type="dxa" w:w="1728"/>
          </w:tcPr>
          <w:p>
            <w:r>
              <w:t>Price below, declining</w:t>
            </w:r>
          </w:p>
        </w:tc>
      </w:tr>
      <w:tr>
        <w:tc>
          <w:tcPr>
            <w:tcW w:type="dxa" w:w="1728"/>
          </w:tcPr>
          <w:p>
            <w:r>
              <w:t>**50 SMA**</w:t>
            </w:r>
          </w:p>
        </w:tc>
        <w:tc>
          <w:tcPr>
            <w:tcW w:type="dxa" w:w="1728"/>
          </w:tcPr>
          <w:p>
            <w:r>
              <w:t>98,355.37</w:t>
            </w:r>
          </w:p>
        </w:tc>
        <w:tc>
          <w:tcPr>
            <w:tcW w:type="dxa" w:w="1728"/>
          </w:tcPr>
          <w:p>
            <w:r>
              <w:t>Bearish</w:t>
            </w:r>
          </w:p>
        </w:tc>
        <w:tc>
          <w:tcPr>
            <w:tcW w:type="dxa" w:w="1728"/>
          </w:tcPr>
          <w:p>
            <w:r>
              <w:t>Strong</w:t>
            </w:r>
          </w:p>
        </w:tc>
        <w:tc>
          <w:tcPr>
            <w:tcW w:type="dxa" w:w="1728"/>
          </w:tcPr>
          <w:p>
            <w:r>
              <w:t>Price 881 pts below</w:t>
            </w:r>
          </w:p>
        </w:tc>
      </w:tr>
      <w:tr>
        <w:tc>
          <w:tcPr>
            <w:tcW w:type="dxa" w:w="1728"/>
          </w:tcPr>
          <w:p>
            <w:r>
              <w:t>**200 SMA**</w:t>
            </w:r>
          </w:p>
        </w:tc>
        <w:tc>
          <w:tcPr>
            <w:tcW w:type="dxa" w:w="1728"/>
          </w:tcPr>
          <w:p>
            <w:r>
              <w:t>99,103.10</w:t>
            </w:r>
          </w:p>
        </w:tc>
        <w:tc>
          <w:tcPr>
            <w:tcW w:type="dxa" w:w="1728"/>
          </w:tcPr>
          <w:p>
            <w:r>
              <w:t>Bearish</w:t>
            </w:r>
          </w:p>
        </w:tc>
        <w:tc>
          <w:tcPr>
            <w:tcW w:type="dxa" w:w="1728"/>
          </w:tcPr>
          <w:p>
            <w:r>
              <w:t>Strong</w:t>
            </w:r>
          </w:p>
        </w:tc>
        <w:tc>
          <w:tcPr>
            <w:tcW w:type="dxa" w:w="1728"/>
          </w:tcPr>
          <w:p>
            <w:r>
              <w:t>Price 1,629 pts below</w:t>
            </w:r>
          </w:p>
        </w:tc>
      </w:tr>
      <w:tr>
        <w:tc>
          <w:tcPr>
            <w:tcW w:type="dxa" w:w="1728"/>
          </w:tcPr>
          <w:p>
            <w:r>
              <w:t>**RSI**</w:t>
            </w:r>
          </w:p>
        </w:tc>
        <w:tc>
          <w:tcPr>
            <w:tcW w:type="dxa" w:w="1728"/>
          </w:tcPr>
          <w:p>
            <w:r>
              <w:t>41.10</w:t>
            </w:r>
          </w:p>
        </w:tc>
        <w:tc>
          <w:tcPr>
            <w:tcW w:type="dxa" w:w="1728"/>
          </w:tcPr>
          <w:p>
            <w:r>
              <w:t>Neutral-Bearish</w:t>
            </w:r>
          </w:p>
        </w:tc>
        <w:tc>
          <w:tcPr>
            <w:tcW w:type="dxa" w:w="1728"/>
          </w:tcPr>
          <w:p>
            <w:r>
              <w:t>Moderate</w:t>
            </w:r>
          </w:p>
        </w:tc>
        <w:tc>
          <w:tcPr>
            <w:tcW w:type="dxa" w:w="1728"/>
          </w:tcPr>
          <w:p>
            <w:r>
              <w:t>Below 50, forming lower highs</w:t>
            </w:r>
          </w:p>
        </w:tc>
      </w:tr>
      <w:tr>
        <w:tc>
          <w:tcPr>
            <w:tcW w:type="dxa" w:w="1728"/>
          </w:tcPr>
          <w:p>
            <w:r>
              <w:t>**MACD**</w:t>
            </w:r>
          </w:p>
        </w:tc>
        <w:tc>
          <w:tcPr>
            <w:tcW w:type="dxa" w:w="1728"/>
          </w:tcPr>
          <w:p>
            <w:r>
              <w:t>-225.59</w:t>
            </w:r>
          </w:p>
        </w:tc>
        <w:tc>
          <w:tcPr>
            <w:tcW w:type="dxa" w:w="1728"/>
          </w:tcPr>
          <w:p>
            <w:r>
              <w:t>Bearish</w:t>
            </w:r>
          </w:p>
        </w:tc>
        <w:tc>
          <w:tcPr>
            <w:tcW w:type="dxa" w:w="1728"/>
          </w:tcPr>
          <w:p>
            <w:r>
              <w:t>Strong</w:t>
            </w:r>
          </w:p>
        </w:tc>
        <w:tc>
          <w:tcPr>
            <w:tcW w:type="dxa" w:w="1728"/>
          </w:tcPr>
          <w:p>
            <w:r>
              <w:t>Deep negative territory</w:t>
            </w:r>
          </w:p>
        </w:tc>
      </w:tr>
      <w:tr>
        <w:tc>
          <w:tcPr>
            <w:tcW w:type="dxa" w:w="1728"/>
          </w:tcPr>
          <w:p>
            <w:r>
              <w:t>**MACD Histogram**</w:t>
            </w:r>
          </w:p>
        </w:tc>
        <w:tc>
          <w:tcPr>
            <w:tcW w:type="dxa" w:w="1728"/>
          </w:tcPr>
          <w:p>
            <w:r>
              <w:t>+12.52</w:t>
            </w:r>
          </w:p>
        </w:tc>
        <w:tc>
          <w:tcPr>
            <w:tcW w:type="dxa" w:w="1728"/>
          </w:tcPr>
          <w:p>
            <w:r>
              <w:t>Weak Bullish</w:t>
            </w:r>
          </w:p>
        </w:tc>
        <w:tc>
          <w:tcPr>
            <w:tcW w:type="dxa" w:w="1728"/>
          </w:tcPr>
          <w:p>
            <w:r>
              <w:t>Weak</w:t>
            </w:r>
          </w:p>
        </w:tc>
        <w:tc>
          <w:tcPr>
            <w:tcW w:type="dxa" w:w="1728"/>
          </w:tcPr>
          <w:p>
            <w:r>
              <w:t>Declining from +67.80, losing momentum</w:t>
            </w:r>
          </w:p>
        </w:tc>
      </w:tr>
      <w:tr>
        <w:tc>
          <w:tcPr>
            <w:tcW w:type="dxa" w:w="1728"/>
          </w:tcPr>
          <w:p>
            <w:r>
              <w:t>**ATR**</w:t>
            </w:r>
          </w:p>
        </w:tc>
        <w:tc>
          <w:tcPr>
            <w:tcW w:type="dxa" w:w="1728"/>
          </w:tcPr>
          <w:p>
            <w:r>
              <w:t>336.94</w:t>
            </w:r>
          </w:p>
        </w:tc>
        <w:tc>
          <w:tcPr>
            <w:tcW w:type="dxa" w:w="1728"/>
          </w:tcPr>
          <w:p>
            <w:r>
              <w:t>High Volatility</w:t>
            </w:r>
          </w:p>
        </w:tc>
        <w:tc>
          <w:tcPr>
            <w:tcW w:type="dxa" w:w="1728"/>
          </w:tcPr>
          <w:p>
            <w:r>
              <w:t>N/A</w:t>
            </w:r>
          </w:p>
        </w:tc>
        <w:tc>
          <w:tcPr>
            <w:tcW w:type="dxa" w:w="1728"/>
          </w:tcPr>
          <w:p>
            <w:r>
              <w:t>Elevated risk, use for position sizing</w:t>
            </w:r>
          </w:p>
        </w:tc>
      </w:tr>
      <w:tr>
        <w:tc>
          <w:tcPr>
            <w:tcW w:type="dxa" w:w="1728"/>
          </w:tcPr>
          <w:p>
            <w:r>
              <w:t>**Bollinger Upper**</w:t>
            </w:r>
          </w:p>
        </w:tc>
        <w:tc>
          <w:tcPr>
            <w:tcW w:type="dxa" w:w="1728"/>
          </w:tcPr>
          <w:p>
            <w:r>
              <w:t>98,161.68</w:t>
            </w:r>
          </w:p>
        </w:tc>
        <w:tc>
          <w:tcPr>
            <w:tcW w:type="dxa" w:w="1728"/>
          </w:tcPr>
          <w:p>
            <w:r>
              <w:t>Resistance</w:t>
            </w:r>
          </w:p>
        </w:tc>
        <w:tc>
          <w:tcPr>
            <w:tcW w:type="dxa" w:w="1728"/>
          </w:tcPr>
          <w:p>
            <w:r>
              <w:t>Strong</w:t>
            </w:r>
          </w:p>
        </w:tc>
        <w:tc>
          <w:tcPr>
            <w:tcW w:type="dxa" w:w="1728"/>
          </w:tcPr>
          <w:p>
            <w:r>
              <w:t>Price 688 pts below</w:t>
            </w:r>
          </w:p>
        </w:tc>
      </w:tr>
      <w:tr>
        <w:tc>
          <w:tcPr>
            <w:tcW w:type="dxa" w:w="1728"/>
          </w:tcPr>
          <w:p>
            <w:r>
              <w:t>**Bollinger Lower**</w:t>
            </w:r>
          </w:p>
        </w:tc>
        <w:tc>
          <w:tcPr>
            <w:tcW w:type="dxa" w:w="1728"/>
          </w:tcPr>
          <w:p>
            <w:r>
              <w:t>97,252.89</w:t>
            </w:r>
          </w:p>
        </w:tc>
        <w:tc>
          <w:tcPr>
            <w:tcW w:type="dxa" w:w="1728"/>
          </w:tcPr>
          <w:p>
            <w:r>
              <w:t>Support</w:t>
            </w:r>
          </w:p>
        </w:tc>
        <w:tc>
          <w:tcPr>
            <w:tcW w:type="dxa" w:w="1728"/>
          </w:tcPr>
          <w:p>
            <w:r>
              <w:t>Moderate</w:t>
            </w:r>
          </w:p>
        </w:tc>
        <w:tc>
          <w:tcPr>
            <w:tcW w:type="dxa" w:w="1728"/>
          </w:tcPr>
          <w:p>
            <w:r>
              <w:t>Price 221 pts above, walking band</w:t>
            </w:r>
          </w:p>
        </w:tc>
      </w:tr>
      <w:tr>
        <w:tc>
          <w:tcPr>
            <w:tcW w:type="dxa" w:w="1728"/>
          </w:tcPr>
          <w:p>
            <w:r>
              <w:t>**Trend Structure**</w:t>
            </w:r>
          </w:p>
        </w:tc>
        <w:tc>
          <w:tcPr>
            <w:tcW w:type="dxa" w:w="1728"/>
          </w:tcPr>
          <w:p>
            <w:r>
              <w:t>Downtrend</w:t>
            </w:r>
          </w:p>
        </w:tc>
        <w:tc>
          <w:tcPr>
            <w:tcW w:type="dxa" w:w="1728"/>
          </w:tcPr>
          <w:p>
            <w:r>
              <w:t>Bearish</w:t>
            </w:r>
          </w:p>
        </w:tc>
        <w:tc>
          <w:tcPr>
            <w:tcW w:type="dxa" w:w="1728"/>
          </w:tcPr>
          <w:p>
            <w:r>
              <w:t>Very Strong</w:t>
            </w:r>
          </w:p>
        </w:tc>
        <w:tc>
          <w:tcPr>
            <w:tcW w:type="dxa" w:w="1728"/>
          </w:tcPr>
          <w:p>
            <w:r>
              <w:t>Death cross, lower lows/highs</w:t>
            </w:r>
          </w:p>
        </w:tc>
      </w:tr>
      <w:tr>
        <w:tc>
          <w:tcPr>
            <w:tcW w:type="dxa" w:w="1728"/>
          </w:tcPr>
          <w:p>
            <w:r>
              <w:t>**Overall Signal**</w:t>
            </w:r>
          </w:p>
        </w:tc>
        <w:tc>
          <w:tcPr>
            <w:tcW w:type="dxa" w:w="1728"/>
          </w:tcPr>
          <w:p>
            <w:r>
              <w:t>**SELL**</w:t>
            </w:r>
          </w:p>
        </w:tc>
        <w:tc>
          <w:tcPr>
            <w:tcW w:type="dxa" w:w="1728"/>
          </w:tcPr>
          <w:p>
            <w:r>
              <w:t>**Bearish**</w:t>
            </w:r>
          </w:p>
        </w:tc>
        <w:tc>
          <w:tcPr>
            <w:tcW w:type="dxa" w:w="1728"/>
          </w:tcPr>
          <w:p>
            <w:r>
              <w:t>**Strong**</w:t>
            </w:r>
          </w:p>
        </w:tc>
        <w:tc>
          <w:tcPr>
            <w:tcW w:type="dxa" w:w="1728"/>
          </w:tcPr>
          <w:p>
            <w:r>
              <w:t>Multiple confirming indicators</w:t>
            </w:r>
          </w:p>
        </w:tc>
      </w:tr>
    </w:tbl>
    <w:p/>
    <w:p>
      <w:pPr>
        <w:jc w:val="both"/>
      </w:pPr>
      <w:r>
        <w:rPr>
          <w:sz w:val="22"/>
        </w:rPr>
        <w:t>---</w:t>
      </w:r>
    </w:p>
    <w:p>
      <w:pPr>
        <w:jc w:val="both"/>
      </w:pPr>
      <w:r>
        <w:rPr>
          <w:sz w:val="22"/>
        </w:rPr>
        <w:t>### Key Price Levels Summary</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**Level Type**</w:t>
            </w:r>
          </w:p>
        </w:tc>
        <w:tc>
          <w:tcPr>
            <w:tcW w:type="dxa" w:w="2160"/>
          </w:tcPr>
          <w:p>
            <w:r>
              <w:rPr>
                <w:b/>
              </w:rPr>
              <w:t>**Price**</w:t>
            </w:r>
          </w:p>
        </w:tc>
        <w:tc>
          <w:tcPr>
            <w:tcW w:type="dxa" w:w="2160"/>
          </w:tcPr>
          <w:p>
            <w:r>
              <w:rPr>
                <w:b/>
              </w:rPr>
              <w:t>**Distance from Current**</w:t>
            </w:r>
          </w:p>
        </w:tc>
        <w:tc>
          <w:tcPr>
            <w:tcW w:type="dxa" w:w="2160"/>
          </w:tcPr>
          <w:p>
            <w:r>
              <w:rPr>
                <w:b/>
              </w:rPr>
              <w:t>**Significance**</w:t>
            </w:r>
          </w:p>
        </w:tc>
      </w:tr>
      <w:tr>
        <w:tc>
          <w:tcPr>
            <w:tcW w:type="dxa" w:w="2160"/>
          </w:tcPr>
          <w:p>
            <w:r>
              <w:t>**Current Price**</w:t>
            </w:r>
          </w:p>
        </w:tc>
        <w:tc>
          <w:tcPr>
            <w:tcW w:type="dxa" w:w="2160"/>
          </w:tcPr>
          <w:p>
            <w:r>
              <w:t>97,473.69</w:t>
            </w:r>
          </w:p>
        </w:tc>
        <w:tc>
          <w:tcPr>
            <w:tcW w:type="dxa" w:w="2160"/>
          </w:tcPr>
          <w:p>
            <w:r>
              <w:t>-</w:t>
            </w:r>
          </w:p>
        </w:tc>
        <w:tc>
          <w:tcPr>
            <w:tcW w:type="dxa" w:w="2160"/>
          </w:tcPr>
          <w:p>
            <w:r>
              <w:t>Present market level</w:t>
            </w:r>
          </w:p>
        </w:tc>
      </w:tr>
      <w:tr>
        <w:tc>
          <w:tcPr>
            <w:tcW w:type="dxa" w:w="2160"/>
          </w:tcPr>
          <w:p>
            <w:r>
              <w:t>**Immediate Resistance 1**</w:t>
            </w:r>
          </w:p>
        </w:tc>
        <w:tc>
          <w:tcPr>
            <w:tcW w:type="dxa" w:w="2160"/>
          </w:tcPr>
          <w:p>
            <w:r>
              <w:t>97,620.91</w:t>
            </w:r>
          </w:p>
        </w:tc>
        <w:tc>
          <w:tcPr>
            <w:tcW w:type="dxa" w:w="2160"/>
          </w:tcPr>
          <w:p>
            <w:r>
              <w:t>+147 pts (+0.15%)</w:t>
            </w:r>
          </w:p>
        </w:tc>
        <w:tc>
          <w:tcPr>
            <w:tcW w:type="dxa" w:w="2160"/>
          </w:tcPr>
          <w:p>
            <w:r>
              <w:t>10 EMA</w:t>
            </w:r>
          </w:p>
        </w:tc>
      </w:tr>
      <w:tr>
        <w:tc>
          <w:tcPr>
            <w:tcW w:type="dxa" w:w="2160"/>
          </w:tcPr>
          <w:p>
            <w:r>
              <w:t>**Immediate Resistance 2**</w:t>
            </w:r>
          </w:p>
        </w:tc>
        <w:tc>
          <w:tcPr>
            <w:tcW w:type="dxa" w:w="2160"/>
          </w:tcPr>
          <w:p>
            <w:r>
              <w:t>98,161.68</w:t>
            </w:r>
          </w:p>
        </w:tc>
        <w:tc>
          <w:tcPr>
            <w:tcW w:type="dxa" w:w="2160"/>
          </w:tcPr>
          <w:p>
            <w:r>
              <w:t>+688 pts (+0.71%)</w:t>
            </w:r>
          </w:p>
        </w:tc>
        <w:tc>
          <w:tcPr>
            <w:tcW w:type="dxa" w:w="2160"/>
          </w:tcPr>
          <w:p>
            <w:r>
              <w:t>Bollinger Upper Band</w:t>
            </w:r>
          </w:p>
        </w:tc>
      </w:tr>
      <w:tr>
        <w:tc>
          <w:tcPr>
            <w:tcW w:type="dxa" w:w="2160"/>
          </w:tcPr>
          <w:p>
            <w:r>
              <w:t>**Major Resistance**</w:t>
            </w:r>
          </w:p>
        </w:tc>
        <w:tc>
          <w:tcPr>
            <w:tcW w:type="dxa" w:w="2160"/>
          </w:tcPr>
          <w:p>
            <w:r>
              <w:t>98,355.37</w:t>
            </w:r>
          </w:p>
        </w:tc>
        <w:tc>
          <w:tcPr>
            <w:tcW w:type="dxa" w:w="2160"/>
          </w:tcPr>
          <w:p>
            <w:r>
              <w:t>+882 pts (+0.90%)</w:t>
            </w:r>
          </w:p>
        </w:tc>
        <w:tc>
          <w:tcPr>
            <w:tcW w:type="dxa" w:w="2160"/>
          </w:tcPr>
          <w:p>
            <w:r>
              <w:t>50 SMA</w:t>
            </w:r>
          </w:p>
        </w:tc>
      </w:tr>
      <w:tr>
        <w:tc>
          <w:tcPr>
            <w:tcW w:type="dxa" w:w="2160"/>
          </w:tcPr>
          <w:p>
            <w:r>
              <w:t>**Critical Resistance**</w:t>
            </w:r>
          </w:p>
        </w:tc>
        <w:tc>
          <w:tcPr>
            <w:tcW w:type="dxa" w:w="2160"/>
          </w:tcPr>
          <w:p>
            <w:r>
              <w:t>99,103.10</w:t>
            </w:r>
          </w:p>
        </w:tc>
        <w:tc>
          <w:tcPr>
            <w:tcW w:type="dxa" w:w="2160"/>
          </w:tcPr>
          <w:p>
            <w:r>
              <w:t>+1,629 pts (+1.67%)</w:t>
            </w:r>
          </w:p>
        </w:tc>
        <w:tc>
          <w:tcPr>
            <w:tcW w:type="dxa" w:w="2160"/>
          </w:tcPr>
          <w:p>
            <w:r>
              <w:t>200 SMA</w:t>
            </w:r>
          </w:p>
        </w:tc>
      </w:tr>
      <w:tr>
        <w:tc>
          <w:tcPr>
            <w:tcW w:type="dxa" w:w="2160"/>
          </w:tcPr>
          <w:p>
            <w:r>
              <w:t>**Immediate Support**</w:t>
            </w:r>
          </w:p>
        </w:tc>
        <w:tc>
          <w:tcPr>
            <w:tcW w:type="dxa" w:w="2160"/>
          </w:tcPr>
          <w:p>
            <w:r>
              <w:t>97,334.53</w:t>
            </w:r>
          </w:p>
        </w:tc>
        <w:tc>
          <w:tcPr>
            <w:tcW w:type="dxa" w:w="2160"/>
          </w:tcPr>
          <w:p>
            <w:r>
              <w:t>-139 pts (-0.14%)</w:t>
            </w:r>
          </w:p>
        </w:tc>
        <w:tc>
          <w:tcPr>
            <w:tcW w:type="dxa" w:w="2160"/>
          </w:tcPr>
          <w:p>
            <w:r>
              <w:t>May 17 low</w:t>
            </w:r>
          </w:p>
        </w:tc>
      </w:tr>
      <w:tr>
        <w:tc>
          <w:tcPr>
            <w:tcW w:type="dxa" w:w="2160"/>
          </w:tcPr>
          <w:p>
            <w:r>
              <w:t>**Critical Support**</w:t>
            </w:r>
          </w:p>
        </w:tc>
        <w:tc>
          <w:tcPr>
            <w:tcW w:type="dxa" w:w="2160"/>
          </w:tcPr>
          <w:p>
            <w:r>
              <w:t>97,252.89</w:t>
            </w:r>
          </w:p>
        </w:tc>
        <w:tc>
          <w:tcPr>
            <w:tcW w:type="dxa" w:w="2160"/>
          </w:tcPr>
          <w:p>
            <w:r>
              <w:t>-221 pts (-0.23%)</w:t>
            </w:r>
          </w:p>
        </w:tc>
        <w:tc>
          <w:tcPr>
            <w:tcW w:type="dxa" w:w="2160"/>
          </w:tcPr>
          <w:p>
            <w:r>
              <w:t>Bollinger Lower Band</w:t>
            </w:r>
          </w:p>
        </w:tc>
      </w:tr>
      <w:tr>
        <w:tc>
          <w:tcPr>
            <w:tcW w:type="dxa" w:w="2160"/>
          </w:tcPr>
          <w:p>
            <w:r>
              <w:t>**Bearish Target 1**</w:t>
            </w:r>
          </w:p>
        </w:tc>
        <w:tc>
          <w:tcPr>
            <w:tcW w:type="dxa" w:w="2160"/>
          </w:tcPr>
          <w:p>
            <w:r>
              <w:t>97,000.00</w:t>
            </w:r>
          </w:p>
        </w:tc>
        <w:tc>
          <w:tcPr>
            <w:tcW w:type="dxa" w:w="2160"/>
          </w:tcPr>
          <w:p>
            <w:r>
              <w:t>-474 pts (-0.49%)</w:t>
            </w:r>
          </w:p>
        </w:tc>
        <w:tc>
          <w:tcPr>
            <w:tcW w:type="dxa" w:w="2160"/>
          </w:tcPr>
          <w:p>
            <w:r>
              <w:t>Psychological level</w:t>
            </w:r>
          </w:p>
        </w:tc>
      </w:tr>
      <w:tr>
        <w:tc>
          <w:tcPr>
            <w:tcW w:type="dxa" w:w="2160"/>
          </w:tcPr>
          <w:p>
            <w:r>
              <w:t>**Bearish Target 2**</w:t>
            </w:r>
          </w:p>
        </w:tc>
        <w:tc>
          <w:tcPr>
            <w:tcW w:type="dxa" w:w="2160"/>
          </w:tcPr>
          <w:p>
            <w:r>
              <w:t>96,500.00</w:t>
            </w:r>
          </w:p>
        </w:tc>
        <w:tc>
          <w:tcPr>
            <w:tcW w:type="dxa" w:w="2160"/>
          </w:tcPr>
          <w:p>
            <w:r>
              <w:t>-974 pts (-1.00%)</w:t>
            </w:r>
          </w:p>
        </w:tc>
        <w:tc>
          <w:tcPr>
            <w:tcW w:type="dxa" w:w="2160"/>
          </w:tcPr>
          <w:p>
            <w:r>
              <w:t>Extended target</w:t>
            </w:r>
          </w:p>
        </w:tc>
      </w:tr>
    </w:tbl>
    <w:p/>
    <w:p>
      <w:pPr>
        <w:jc w:val="both"/>
      </w:pPr>
      <w:r>
        <w:rPr>
          <w:sz w:val="22"/>
        </w:rPr>
        <w:t>---</w:t>
      </w:r>
    </w:p>
    <w:p>
      <w:pPr>
        <w:jc w:val="both"/>
      </w:pPr>
      <w:r>
        <w:rPr>
          <w:b/>
          <w:color w:val="502878"/>
        </w:rPr>
        <w:t>Disclaimer: This analysis is based solely on technical indicators and historical price data. Synthetic indices like CRASH50 have unique characteristics with programmed volatility. Always use appropriate risk management and never risk more than you can afford to lose. Market conditions can change rapidly.</w:t>
      </w:r>
    </w:p>
    <w:p>
      <w:pPr>
        <w:pBdr>
          <w:bottom w:val="single" w:sz="6" w:space="1" w:color="CCCCCC"/>
        </w:pBdr>
      </w:pPr>
    </w:p>
    <w:p>
      <w:pPr>
        <w:pStyle w:val="Heading2"/>
        <w:jc w:val="left"/>
      </w:pPr>
      <w:r>
        <w:rPr>
          <w:color w:val="783C00"/>
        </w:rPr>
        <w:t>Rapport Sentiment / Social</w:t>
      </w:r>
    </w:p>
    <w:p>
      <w:pPr>
        <w:jc w:val="both"/>
      </w:pPr>
      <w:r>
        <w:rPr>
          <w:sz w:val="22"/>
        </w:rPr>
        <w:t># Sentiment Report: CRASH50</w:t>
        <w:br/>
        <w:t xml:space="preserve">**Period:** 2026-05-13 to 2026-05-20  </w:t>
        <w:br/>
        <w:t>**Report Date:** 2026-05-20</w:t>
      </w:r>
    </w:p>
    <w:p>
      <w:pPr>
        <w:jc w:val="both"/>
      </w:pPr>
      <w:r>
        <w:rPr>
          <w:sz w:val="22"/>
        </w:rPr>
        <w:t>---</w:t>
      </w:r>
    </w:p>
    <w:p>
      <w:pPr>
        <w:jc w:val="both"/>
      </w:pPr>
      <w:r>
        <w:rPr>
          <w:sz w:val="22"/>
        </w:rPr>
        <w:t>## 1. Overall Sentiment Direction</w:t>
      </w:r>
    </w:p>
    <w:p>
      <w:pPr>
        <w:jc w:val="both"/>
      </w:pPr>
      <w:r>
        <w:rPr>
          <w:sz w:val="22"/>
        </w:rPr>
        <w:t>**NEUTRAL (with HIGH UNCERTAINTY)**</w:t>
      </w:r>
    </w:p>
    <w:p>
      <w:pPr>
        <w:jc w:val="both"/>
      </w:pPr>
      <w:r>
        <w:rPr>
          <w:sz w:val="22"/>
        </w:rPr>
        <w:t>**Confidence Level:** Very Low</w:t>
      </w:r>
    </w:p>
    <w:p>
      <w:pPr>
        <w:jc w:val="both"/>
      </w:pPr>
      <w:r>
        <w:rPr>
          <w:sz w:val="22"/>
        </w:rPr>
        <w:t xml:space="preserve">**Rationale:**  </w:t>
        <w:br/>
        <w:t>All three primary sentiment data sources returned either no data or unavailable signals for CRASH50 during the analysis period:</w:t>
        <w:br/>
        <w:t>- **News:** No articles found</w:t>
        <w:br/>
        <w:t>- **StockTwits:** Platform unavailable (HTTPError)</w:t>
        <w:br/>
        <w:t>- **Reddit:** No posts mentioning CRASH50 across target subreddits</w:t>
      </w:r>
    </w:p>
    <w:p>
      <w:pPr>
        <w:jc w:val="both"/>
      </w:pPr>
      <w:r>
        <w:rPr>
          <w:sz w:val="20"/>
        </w:rPr>
        <w:t>This absence of sentiment data prevents a directional call. The instrument may be thinly traded, recently listed, or simply not generating discussion in retail/institutional channels monitored. Without community chatter, news flow, or social engagement, we cannot assess bullish/bearish retail positioning or institutional narrative framing.</w:t>
      </w:r>
    </w:p>
    <w:p>
      <w:pPr>
        <w:jc w:val="both"/>
      </w:pPr>
      <w:r>
        <w:rPr>
          <w:sz w:val="22"/>
        </w:rPr>
        <w:t>---</w:t>
      </w:r>
    </w:p>
    <w:p>
      <w:pPr>
        <w:jc w:val="both"/>
      </w:pPr>
      <w:r>
        <w:rPr>
          <w:sz w:val="22"/>
        </w:rPr>
        <w:t>## 2. Source-by-Source Breakdown</w:t>
      </w:r>
    </w:p>
    <w:p>
      <w:pPr>
        <w:jc w:val="both"/>
      </w:pPr>
      <w:r>
        <w:rPr>
          <w:sz w:val="20"/>
        </w:rPr>
        <w:t>### News Headlines (Yahoo Finance, past 7 days)</w:t>
        <w:br/>
        <w:t xml:space="preserve">**Finding:** Zero articles  </w:t>
        <w:br/>
        <w:t>**Interpretation:** No institutional media coverage for CRASH50 in the past week. This suggests:</w:t>
        <w:br/>
        <w:t>- The instrument is not generating newsworthy events (earnings, M&amp;A, regulatory actions)</w:t>
        <w:br/>
        <w:t>- It may be a synthetic/derivative instrument outside traditional equity news flow</w:t>
        <w:br/>
        <w:t>- Low institutional attention or profile</w:t>
      </w:r>
    </w:p>
    <w:p>
      <w:pPr>
        <w:jc w:val="both"/>
      </w:pPr>
      <w:r>
        <w:rPr>
          <w:sz w:val="22"/>
        </w:rPr>
        <w:t>**Signal Quality:** No data = no signal</w:t>
      </w:r>
    </w:p>
    <w:p>
      <w:pPr>
        <w:jc w:val="both"/>
      </w:pPr>
      <w:r>
        <w:rPr>
          <w:sz w:val="22"/>
        </w:rPr>
        <w:t>---</w:t>
      </w:r>
    </w:p>
    <w:p>
      <w:pPr>
        <w:jc w:val="both"/>
      </w:pPr>
      <w:r>
        <w:rPr>
          <w:sz w:val="20"/>
        </w:rPr>
        <w:t>### StockTwits (Retail Social Sentiment)</w:t>
        <w:br/>
        <w:t xml:space="preserve">**Finding:** Platform unavailable (HTTPError)  </w:t>
        <w:br/>
        <w:t>**Interpretation:** Unable to retrieve retail sentiment tags (Bullish/Bearish ratio) or message volume. This is a technical limitation, not a market signal. We cannot assess:</w:t>
        <w:br/>
        <w:t>- Real-time retail positioning</w:t>
        <w:br/>
        <w:t>- Message velocity (hype vs. silence)</w:t>
        <w:br/>
        <w:t>- Bullish/Bearish sentiment ratio</w:t>
      </w:r>
    </w:p>
    <w:p>
      <w:pPr>
        <w:jc w:val="both"/>
      </w:pPr>
      <w:r>
        <w:rPr>
          <w:sz w:val="22"/>
        </w:rPr>
        <w:t>**Signal Quality:** No data = no signal</w:t>
      </w:r>
    </w:p>
    <w:p>
      <w:pPr>
        <w:jc w:val="both"/>
      </w:pPr>
      <w:r>
        <w:rPr>
          <w:sz w:val="22"/>
        </w:rPr>
        <w:t>---</w:t>
      </w:r>
    </w:p>
    <w:p>
      <w:pPr>
        <w:jc w:val="both"/>
      </w:pPr>
      <w:r>
        <w:rPr>
          <w:sz w:val="20"/>
        </w:rPr>
        <w:t>### Reddit (r/wallstreetbets, r/stocks, r/investing)</w:t>
        <w:br/>
        <w:t xml:space="preserve">**Finding:** Zero posts mentioning CRASH50  </w:t>
        <w:br/>
        <w:t>**Interpretation:** No community discussion across the three major retail trading subreddits. This implies:</w:t>
        <w:br/>
        <w:t>- Retail traders are not actively discussing or trading this instrument</w:t>
        <w:br/>
        <w:t>- It may not be accessible via popular retail brokerages</w:t>
        <w:br/>
        <w:t>- The ticker may not align with retail trading preferences (equity/option focus)</w:t>
      </w:r>
    </w:p>
    <w:p>
      <w:pPr>
        <w:jc w:val="both"/>
      </w:pPr>
      <w:r>
        <w:rPr>
          <w:sz w:val="22"/>
        </w:rPr>
        <w:t>**Signal Quality:** No data = no signal</w:t>
      </w:r>
    </w:p>
    <w:p>
      <w:pPr>
        <w:jc w:val="both"/>
      </w:pPr>
      <w:r>
        <w:rPr>
          <w:sz w:val="22"/>
        </w:rPr>
        <w:t>---</w:t>
      </w:r>
    </w:p>
    <w:p>
      <w:pPr>
        <w:jc w:val="both"/>
      </w:pPr>
      <w:r>
        <w:rPr>
          <w:sz w:val="22"/>
        </w:rPr>
        <w:t>## 3. Divergences, Alignments, and Key Narratives</w:t>
      </w:r>
    </w:p>
    <w:p>
      <w:pPr>
        <w:jc w:val="both"/>
      </w:pPr>
      <w:r>
        <w:rPr>
          <w:sz w:val="22"/>
        </w:rPr>
        <w:t>**No divergences or alignments can be identified** due to complete absence of data across all three sources.</w:t>
      </w:r>
    </w:p>
    <w:p>
      <w:pPr>
        <w:jc w:val="both"/>
      </w:pPr>
      <w:r>
        <w:rPr>
          <w:sz w:val="22"/>
        </w:rPr>
        <w:t>**Key Observation:** The uniform silence across institutional news, retail social platforms, and community forums is itself a signal — **CRASH50 is operating below the radar of both retail and institutional sentiment channels.**</w:t>
      </w:r>
    </w:p>
    <w:p>
      <w:pPr>
        <w:jc w:val="both"/>
      </w:pPr>
      <w:r>
        <w:rPr>
          <w:sz w:val="20"/>
        </w:rPr>
        <w:t>**Possible Explanations:**</w:t>
        <w:br/>
        <w:t>1. **Synthetic or derivative instrument:** CRASH50 may be a Deriv synthetic index (e.g., Crash 500 Index, Crash 1000 Index) designed for CFD/spread betting. These instruments typically do not generate traditional equity news or retail community discussion.</w:t>
        <w:br/>
        <w:t>2. **Niche market:** Limited to specific platforms or geographies, not widely accessible to U.S./global retail traders who dominate StockTwits and Reddit.</w:t>
        <w:br/>
        <w:t>3. **Low liquidity/interest:** Insufficient trading volume or public interest to generate social chatter or media coverage.</w:t>
      </w:r>
    </w:p>
    <w:p>
      <w:pPr>
        <w:jc w:val="both"/>
      </w:pPr>
      <w:r>
        <w:rPr>
          <w:sz w:val="22"/>
        </w:rPr>
        <w:t>---</w:t>
      </w:r>
    </w:p>
    <w:p>
      <w:pPr>
        <w:jc w:val="both"/>
      </w:pPr>
      <w:r>
        <w:rPr>
          <w:sz w:val="22"/>
        </w:rPr>
        <w:t>## 4. Catalysts and Risks</w:t>
      </w:r>
    </w:p>
    <w:p>
      <w:pPr>
        <w:jc w:val="both"/>
      </w:pPr>
      <w:r>
        <w:rPr>
          <w:sz w:val="22"/>
        </w:rPr>
        <w:t>### Catalysts Identified:</w:t>
        <w:br/>
        <w:t>**None.** No upcoming earnings, product launches, regulatory events, or macro catalysts surfaced in available data.</w:t>
      </w:r>
    </w:p>
    <w:p>
      <w:pPr>
        <w:jc w:val="both"/>
      </w:pPr>
      <w:r>
        <w:rPr>
          <w:sz w:val="22"/>
        </w:rPr>
        <w:t>### Risks Identified:</w:t>
        <w:br/>
        <w:t>**Data opacity risk:** The complete absence of sentiment data means traders lack a retail positioning signal. This increases reliance on price action and technical indicators alone.</w:t>
      </w:r>
    </w:p>
    <w:p>
      <w:pPr>
        <w:jc w:val="both"/>
      </w:pPr>
      <w:r>
        <w:rPr>
          <w:sz w:val="22"/>
        </w:rPr>
        <w:t>**Liquidity risk (inferred):** Instruments that generate zero social/news chatter often exhibit:</w:t>
        <w:br/>
        <w:t>- Wide bid-ask spreads</w:t>
        <w:br/>
        <w:t>- Low volume</w:t>
        <w:br/>
        <w:t>- Higher slippage risk on entry/exit</w:t>
      </w:r>
    </w:p>
    <w:p>
      <w:pPr>
        <w:jc w:val="both"/>
      </w:pPr>
      <w:r>
        <w:rPr>
          <w:sz w:val="22"/>
        </w:rPr>
        <w:t>---</w:t>
      </w:r>
    </w:p>
    <w:p>
      <w:pPr>
        <w:jc w:val="both"/>
      </w:pPr>
      <w:r>
        <w:rPr>
          <w:sz w:val="22"/>
        </w:rPr>
        <w:t>## 5. Summary Table: Sentiment Signals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**Direction**</w:t>
            </w:r>
          </w:p>
        </w:tc>
        <w:tc>
          <w:tcPr>
            <w:tcW w:type="dxa" w:w="2160"/>
          </w:tcPr>
          <w:p>
            <w:r>
              <w:rPr>
                <w:b/>
              </w:rPr>
              <w:t>**Strength**</w:t>
            </w:r>
          </w:p>
        </w:tc>
        <w:tc>
          <w:tcPr>
            <w:tcW w:type="dxa" w:w="2160"/>
          </w:tcPr>
          <w:p>
            <w:r>
              <w:rPr>
                <w:b/>
              </w:rPr>
              <w:t>**Supporting Evidence**</w:t>
            </w:r>
          </w:p>
        </w:tc>
      </w:tr>
      <w:tr>
        <w:tc>
          <w:tcPr>
            <w:tcW w:type="dxa" w:w="2160"/>
          </w:tcPr>
          <w:p>
            <w:r>
              <w:t>Yahoo Finance News</w:t>
            </w:r>
          </w:p>
        </w:tc>
        <w:tc>
          <w:tcPr>
            <w:tcW w:type="dxa" w:w="2160"/>
          </w:tcPr>
          <w:p>
            <w:r>
              <w:t>N/A</w:t>
            </w:r>
          </w:p>
        </w:tc>
        <w:tc>
          <w:tcPr>
            <w:tcW w:type="dxa" w:w="2160"/>
          </w:tcPr>
          <w:p>
            <w:r>
              <w:t>No data</w:t>
            </w:r>
          </w:p>
        </w:tc>
        <w:tc>
          <w:tcPr>
            <w:tcW w:type="dxa" w:w="2160"/>
          </w:tcPr>
          <w:p>
            <w:r>
              <w:t>Zero articles found for CRASH50 in past 7 days</w:t>
            </w:r>
          </w:p>
        </w:tc>
      </w:tr>
      <w:tr>
        <w:tc>
          <w:tcPr>
            <w:tcW w:type="dxa" w:w="2160"/>
          </w:tcPr>
          <w:p>
            <w:r>
              <w:t>StockTwits</w:t>
            </w:r>
          </w:p>
        </w:tc>
        <w:tc>
          <w:tcPr>
            <w:tcW w:type="dxa" w:w="2160"/>
          </w:tcPr>
          <w:p>
            <w:r>
              <w:t>N/A</w:t>
            </w:r>
          </w:p>
        </w:tc>
        <w:tc>
          <w:tcPr>
            <w:tcW w:type="dxa" w:w="2160"/>
          </w:tcPr>
          <w:p>
            <w:r>
              <w:t>No data</w:t>
            </w:r>
          </w:p>
        </w:tc>
        <w:tc>
          <w:tcPr>
            <w:tcW w:type="dxa" w:w="2160"/>
          </w:tcPr>
          <w:p>
            <w:r>
              <w:t>Platform unavailable (HTTPError); unable to retrieve message volume or sentiment ratio</w:t>
            </w:r>
          </w:p>
        </w:tc>
      </w:tr>
      <w:tr>
        <w:tc>
          <w:tcPr>
            <w:tcW w:type="dxa" w:w="2160"/>
          </w:tcPr>
          <w:p>
            <w:r>
              <w:t>Reddit (WSB)</w:t>
            </w:r>
          </w:p>
        </w:tc>
        <w:tc>
          <w:tcPr>
            <w:tcW w:type="dxa" w:w="2160"/>
          </w:tcPr>
          <w:p>
            <w:r>
              <w:t>N/A</w:t>
            </w:r>
          </w:p>
        </w:tc>
        <w:tc>
          <w:tcPr>
            <w:tcW w:type="dxa" w:w="2160"/>
          </w:tcPr>
          <w:p>
            <w:r>
              <w:t>No data</w:t>
            </w:r>
          </w:p>
        </w:tc>
        <w:tc>
          <w:tcPr>
            <w:tcW w:type="dxa" w:w="2160"/>
          </w:tcPr>
          <w:p>
            <w:r>
              <w:t>Zero posts mentioning CRASH50 in r/wallstreetbets</w:t>
            </w:r>
          </w:p>
        </w:tc>
      </w:tr>
      <w:tr>
        <w:tc>
          <w:tcPr>
            <w:tcW w:type="dxa" w:w="2160"/>
          </w:tcPr>
          <w:p>
            <w:r>
              <w:t>Reddit (Stocks)</w:t>
            </w:r>
          </w:p>
        </w:tc>
        <w:tc>
          <w:tcPr>
            <w:tcW w:type="dxa" w:w="2160"/>
          </w:tcPr>
          <w:p>
            <w:r>
              <w:t>N/A</w:t>
            </w:r>
          </w:p>
        </w:tc>
        <w:tc>
          <w:tcPr>
            <w:tcW w:type="dxa" w:w="2160"/>
          </w:tcPr>
          <w:p>
            <w:r>
              <w:t>No data</w:t>
            </w:r>
          </w:p>
        </w:tc>
        <w:tc>
          <w:tcPr>
            <w:tcW w:type="dxa" w:w="2160"/>
          </w:tcPr>
          <w:p>
            <w:r>
              <w:t>Zero posts mentioning CRASH50 in r/stocks</w:t>
            </w:r>
          </w:p>
        </w:tc>
      </w:tr>
      <w:tr>
        <w:tc>
          <w:tcPr>
            <w:tcW w:type="dxa" w:w="2160"/>
          </w:tcPr>
          <w:p>
            <w:r>
              <w:t>Reddit (Investing)</w:t>
            </w:r>
          </w:p>
        </w:tc>
        <w:tc>
          <w:tcPr>
            <w:tcW w:type="dxa" w:w="2160"/>
          </w:tcPr>
          <w:p>
            <w:r>
              <w:t>N/A</w:t>
            </w:r>
          </w:p>
        </w:tc>
        <w:tc>
          <w:tcPr>
            <w:tcW w:type="dxa" w:w="2160"/>
          </w:tcPr>
          <w:p>
            <w:r>
              <w:t>No data</w:t>
            </w:r>
          </w:p>
        </w:tc>
        <w:tc>
          <w:tcPr>
            <w:tcW w:type="dxa" w:w="2160"/>
          </w:tcPr>
          <w:p>
            <w:r>
              <w:t>Zero posts mentioning CRASH50 in r/investing</w:t>
            </w:r>
          </w:p>
        </w:tc>
      </w:tr>
      <w:tr>
        <w:tc>
          <w:tcPr>
            <w:tcW w:type="dxa" w:w="2160"/>
          </w:tcPr>
          <w:p>
            <w:r>
              <w:t>**Overall**</w:t>
            </w:r>
          </w:p>
        </w:tc>
        <w:tc>
          <w:tcPr>
            <w:tcW w:type="dxa" w:w="2160"/>
          </w:tcPr>
          <w:p>
            <w:r>
              <w:t>**Neutral**</w:t>
            </w:r>
          </w:p>
        </w:tc>
        <w:tc>
          <w:tcPr>
            <w:tcW w:type="dxa" w:w="2160"/>
          </w:tcPr>
          <w:p>
            <w:r>
              <w:t>**Very Low**</w:t>
            </w:r>
          </w:p>
        </w:tc>
        <w:tc>
          <w:tcPr>
            <w:tcW w:type="dxa" w:w="2160"/>
          </w:tcPr>
          <w:p>
            <w:r>
              <w:t>Uniform absence of sentiment data across all monitored channels</w:t>
            </w:r>
          </w:p>
        </w:tc>
      </w:tr>
    </w:tbl>
    <w:p/>
    <w:p>
      <w:pPr>
        <w:jc w:val="both"/>
      </w:pPr>
      <w:r>
        <w:rPr>
          <w:sz w:val="22"/>
        </w:rPr>
        <w:t>---</w:t>
      </w:r>
    </w:p>
    <w:p>
      <w:pPr>
        <w:jc w:val="both"/>
      </w:pPr>
      <w:r>
        <w:rPr>
          <w:sz w:val="22"/>
        </w:rPr>
        <w:t>## Conclusion and Recommendations</w:t>
      </w:r>
    </w:p>
    <w:p>
      <w:pPr>
        <w:jc w:val="both"/>
      </w:pPr>
      <w:r>
        <w:rPr>
          <w:sz w:val="22"/>
        </w:rPr>
        <w:t xml:space="preserve">**For the trader:**  </w:t>
        <w:br/>
        <w:t>This sentiment analysis cannot provide directional bias due to complete data absence. However, this finding is itself actionable:</w:t>
      </w:r>
    </w:p>
    <w:p>
      <w:pPr>
        <w:jc w:val="both"/>
      </w:pPr>
      <w:r>
        <w:rPr>
          <w:sz w:val="20"/>
        </w:rPr>
        <w:t>- **Do not assume sentiment is neutral simply because no one is talking.** Silence may indicate lack of liquidity, accessibility, or interest rather than balanced positioning.</w:t>
        <w:br/>
        <w:t>- **Prioritize technical analysis and price action** for CRASH50, as sentiment-based signals are unavailable.</w:t>
        <w:br/>
        <w:t>- **Verify instrument characteristics:** Confirm whether CRASH50 is a synthetic index, CFD, or equity. If synthetic, retail sentiment may not apply in the traditional sense.</w:t>
        <w:br/>
        <w:t>- **Exercise caution with position sizing** given inferred liquidity risks.</w:t>
      </w:r>
    </w:p>
    <w:p>
      <w:pPr>
        <w:jc w:val="both"/>
      </w:pPr>
      <w:r>
        <w:rPr>
          <w:sz w:val="22"/>
        </w:rPr>
        <w:t xml:space="preserve">**Next steps:**  </w:t>
        <w:br/>
        <w:t>Request technical analysis (price history, indicators) and fundamental/instrument specification data to build a more complete view in the absence of sentiment signals.</w:t>
      </w:r>
    </w:p>
    <w:p>
      <w:pPr>
        <w:jc w:val="both"/>
      </w:pPr>
      <w:r>
        <w:rPr>
          <w:sz w:val="22"/>
        </w:rPr>
        <w:t>---</w:t>
      </w:r>
    </w:p>
    <w:p>
      <w:pPr>
        <w:jc w:val="both"/>
      </w:pPr>
      <w:r>
        <w:rPr>
          <w:sz w:val="22"/>
        </w:rPr>
        <w:t xml:space="preserve">**Report prepared by:** Market Sentiment Analyst  </w:t>
        <w:br/>
        <w:t xml:space="preserve">**Timestamp:** 2026-05-20  </w:t>
        <w:br/>
        <w:t>**Instrument:** CRASH50</w:t>
      </w:r>
    </w:p>
    <w:p>
      <w:pPr>
        <w:pBdr>
          <w:bottom w:val="single" w:sz="6" w:space="1" w:color="CCCCCC"/>
        </w:pBdr>
      </w:pPr>
    </w:p>
    <w:p/>
    <w:p>
      <w:pPr>
        <w:jc w:val="center"/>
      </w:pPr>
      <w:r>
        <w:rPr>
          <w:color w:val="969696"/>
          <w:sz w:val="16"/>
        </w:rPr>
        <w:t>TradBOT — Rapport généré automatiquement par le bridge TradingAgents | 2026-05-20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