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E3C78"/>
          <w:sz w:val="40"/>
        </w:rPr>
        <w:t>Rapport d'Analyse — Crash 50 Index</w:t>
      </w:r>
    </w:p>
    <w:p>
      <w:pPr>
        <w:jc w:val="center"/>
      </w:pPr>
      <w:r>
        <w:rPr>
          <w:color w:val="646464"/>
          <w:sz w:val="20"/>
        </w:rPr>
        <w:t>Date d'analyse : 2026-05-21    |    Généré le : 2026-05-21</w:t>
      </w:r>
    </w:p>
    <w:p/>
    <w:p>
      <w:pPr>
        <w:pStyle w:val="Heading2"/>
        <w:jc w:val="left"/>
      </w:pPr>
      <w:r>
        <w:rPr>
          <w:color w:val="1E3C78"/>
        </w:rPr>
        <w:t>Signal TradingAgents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2FF"/>
          </w:tcPr>
          <w:p>
            <w:r>
              <w:rPr>
                <w:b/>
                <w:color w:val="3C3C3C"/>
              </w:rPr>
              <w:t>Rating brut</w:t>
            </w:r>
          </w:p>
        </w:tc>
        <w:tc>
          <w:tcPr>
            <w:tcW w:type="dxa" w:w="4320"/>
            <w:shd w:val="clear" w:color="auto" w:fill="EEF2FF"/>
          </w:tcPr>
          <w:p>
            <w:r>
              <w:t>Underweight</w:t>
            </w:r>
          </w:p>
        </w:tc>
      </w:tr>
      <w:tr>
        <w:tc>
          <w:tcPr>
            <w:tcW w:type="dxa" w:w="4320"/>
          </w:tcPr>
          <w:p>
            <w:r>
              <w:rPr>
                <w:b/>
                <w:color w:val="3C3C3C"/>
              </w:rPr>
              <w:t>Décision</w:t>
            </w:r>
          </w:p>
        </w:tc>
        <w:tc>
          <w:tcPr>
            <w:tcW w:type="dxa" w:w="4320"/>
          </w:tcPr>
          <w:p>
            <w:r>
              <w:rPr>
                <w:b/>
                <w:color w:val="B41E1E"/>
                <w:sz w:val="26"/>
              </w:rPr>
              <w:t>SELL</w:t>
            </w:r>
          </w:p>
        </w:tc>
      </w:tr>
      <w:tr>
        <w:tc>
          <w:tcPr>
            <w:tcW w:type="dxa" w:w="4320"/>
            <w:shd w:val="clear" w:color="auto" w:fill="EEF2FF"/>
          </w:tcPr>
          <w:p>
            <w:r>
              <w:rPr>
                <w:b/>
                <w:color w:val="3C3C3C"/>
              </w:rPr>
              <w:t>Prix actuel</w:t>
            </w:r>
          </w:p>
        </w:tc>
        <w:tc>
          <w:tcPr>
            <w:tcW w:type="dxa" w:w="4320"/>
            <w:shd w:val="clear" w:color="auto" w:fill="EEF2FF"/>
          </w:tcPr>
          <w:p>
            <w:r>
              <w:t>97,355.963</w:t>
            </w:r>
          </w:p>
        </w:tc>
      </w:tr>
      <w:tr>
        <w:tc>
          <w:tcPr>
            <w:tcW w:type="dxa" w:w="4320"/>
          </w:tcPr>
          <w:p>
            <w:r>
              <w:rPr>
                <w:b/>
                <w:color w:val="3C3C3C"/>
              </w:rPr>
              <w:t>ATR (volatilité)</w:t>
            </w:r>
          </w:p>
        </w:tc>
        <w:tc>
          <w:tcPr>
            <w:tcW w:type="dxa" w:w="4320"/>
          </w:tcPr>
          <w:p>
            <w:r>
              <w:t>334.91144</w:t>
            </w:r>
          </w:p>
        </w:tc>
      </w:tr>
    </w:tbl>
    <w:p/>
    <w:p>
      <w:pPr>
        <w:pStyle w:val="Heading2"/>
        <w:jc w:val="left"/>
      </w:pPr>
      <w:r>
        <w:rPr>
          <w:color w:val="B41E1E"/>
        </w:rPr>
        <w:t>Signaux de Trading Proposes</w:t>
      </w:r>
    </w:p>
    <w:p>
      <w:r>
        <w:rPr>
          <w:b/>
          <w:color w:val="B41E1E"/>
          <w:sz w:val="22"/>
        </w:rPr>
        <w:t xml:space="preserve">  Signal 1 — Conservateur — Ordre Marche</w:t>
      </w:r>
    </w:p>
    <w:tbl>
      <w:tblPr>
        <w:tblStyle w:val="TableGrid"/>
        <w:tblW w:type="auto" w:w="0"/>
        <w:tblLook w:firstColumn="1" w:firstRow="1" w:lastColumn="0" w:lastRow="0" w:noHBand="0" w:noVBand="1" w:val="04A0"/>
      </w:tblPr>
      <w:tblGrid>
        <w:gridCol w:w="4320"/>
        <w:gridCol w:w="4320"/>
      </w:tblGrid>
      <w:tr>
        <w:tc>
          <w:tcPr>
            <w:tcW w:type="dxa" w:w="4320"/>
            <w:shd w:val="clear" w:color="auto" w:fill="DFFFD6"/>
          </w:tcPr>
          <w:p>
            <w:r>
              <w:rPr>
                <w:b/>
              </w:rPr>
              <w:t>Type d'ordre</w:t>
            </w:r>
          </w:p>
        </w:tc>
        <w:tc>
          <w:tcPr>
            <w:tcW w:type="dxa" w:w="4320"/>
            <w:shd w:val="clear" w:color="auto" w:fill="DFFFD6"/>
          </w:tcPr>
          <w:p>
            <w:r>
              <w:t>MARKET</w:t>
            </w:r>
          </w:p>
        </w:tc>
      </w:tr>
      <w:tr>
        <w:tc>
          <w:tcPr>
            <w:tcW w:type="dxa" w:w="4320"/>
            <w:shd w:val="clear" w:color="auto" w:fill="DFFFD6"/>
          </w:tcPr>
          <w:p>
            <w:r>
              <w:rPr>
                <w:b/>
              </w:rPr>
              <w:t>Direction</w:t>
            </w:r>
          </w:p>
        </w:tc>
        <w:tc>
          <w:tcPr>
            <w:tcW w:type="dxa" w:w="4320"/>
            <w:shd w:val="clear" w:color="auto" w:fill="DFFFD6"/>
          </w:tcPr>
          <w:p>
            <w:r>
              <w:t>SELL</w:t>
            </w:r>
          </w:p>
        </w:tc>
      </w:tr>
      <w:tr>
        <w:tc>
          <w:tcPr>
            <w:tcW w:type="dxa" w:w="4320"/>
            <w:shd w:val="clear" w:color="auto" w:fill="DFFFD6"/>
          </w:tcPr>
          <w:p>
            <w:r>
              <w:rPr>
                <w:b/>
              </w:rPr>
              <w:t>Prix d'entrée</w:t>
            </w:r>
          </w:p>
        </w:tc>
        <w:tc>
          <w:tcPr>
            <w:tcW w:type="dxa" w:w="4320"/>
            <w:shd w:val="clear" w:color="auto" w:fill="DFFFD6"/>
          </w:tcPr>
          <w:p>
            <w:r>
              <w:t>97,355.963</w:t>
            </w:r>
          </w:p>
        </w:tc>
      </w:tr>
      <w:tr>
        <w:tc>
          <w:tcPr>
            <w:tcW w:type="dxa" w:w="4320"/>
            <w:shd w:val="clear" w:color="auto" w:fill="DFFFD6"/>
          </w:tcPr>
          <w:p>
            <w:r>
              <w:rPr>
                <w:b/>
              </w:rPr>
              <w:t>Stop Loss</w:t>
            </w:r>
          </w:p>
        </w:tc>
        <w:tc>
          <w:tcPr>
            <w:tcW w:type="dxa" w:w="4320"/>
            <w:shd w:val="clear" w:color="auto" w:fill="DFFFD6"/>
          </w:tcPr>
          <w:p>
            <w:r>
              <w:t>97,690.874  (334.9 pips de risque)</w:t>
            </w:r>
          </w:p>
        </w:tc>
      </w:tr>
      <w:tr>
        <w:tc>
          <w:tcPr>
            <w:tcW w:type="dxa" w:w="4320"/>
            <w:shd w:val="clear" w:color="auto" w:fill="DFFFD6"/>
          </w:tcPr>
          <w:p>
            <w:r>
              <w:rPr>
                <w:b/>
              </w:rPr>
              <w:t>Take Profit</w:t>
            </w:r>
          </w:p>
        </w:tc>
        <w:tc>
          <w:tcPr>
            <w:tcW w:type="dxa" w:w="4320"/>
            <w:shd w:val="clear" w:color="auto" w:fill="DFFFD6"/>
          </w:tcPr>
          <w:p>
            <w:r>
              <w:t>96,686.140  (669.8 pips de gain)</w:t>
            </w:r>
          </w:p>
        </w:tc>
      </w:tr>
      <w:tr>
        <w:tc>
          <w:tcPr>
            <w:tcW w:type="dxa" w:w="4320"/>
            <w:shd w:val="clear" w:color="auto" w:fill="DFFFD6"/>
          </w:tcPr>
          <w:p>
            <w:r>
              <w:rPr>
                <w:b/>
              </w:rPr>
              <w:t>Ratio R/R</w:t>
            </w:r>
          </w:p>
        </w:tc>
        <w:tc>
          <w:tcPr>
            <w:tcW w:type="dxa" w:w="4320"/>
            <w:shd w:val="clear" w:color="auto" w:fill="DFFFD6"/>
          </w:tcPr>
          <w:p>
            <w:r>
              <w:t>1 : 2.0</w:t>
            </w:r>
          </w:p>
        </w:tc>
      </w:tr>
      <w:tr>
        <w:tc>
          <w:tcPr>
            <w:tcW w:type="dxa" w:w="4320"/>
            <w:shd w:val="clear" w:color="auto" w:fill="DFFFD6"/>
          </w:tcPr>
          <w:p>
            <w:r>
              <w:rPr>
                <w:b/>
              </w:rPr>
              <w:t>Prix actuel</w:t>
            </w:r>
          </w:p>
        </w:tc>
        <w:tc>
          <w:tcPr>
            <w:tcW w:type="dxa" w:w="4320"/>
            <w:shd w:val="clear" w:color="auto" w:fill="DFFFD6"/>
          </w:tcPr>
          <w:p>
            <w:r>
              <w:t>97,355.963</w:t>
            </w:r>
          </w:p>
        </w:tc>
      </w:tr>
    </w:tbl>
    <w:p/>
    <w:p>
      <w:r>
        <w:rPr>
          <w:b/>
          <w:color w:val="B41E1E"/>
          <w:sz w:val="22"/>
        </w:rPr>
        <w:t xml:space="preserve">  Signal 2 — Agressif    — Ordre Limite</w:t>
      </w:r>
    </w:p>
    <w:tbl>
      <w:tblPr>
        <w:tblStyle w:val="TableGrid"/>
        <w:tblW w:type="auto" w:w="0"/>
        <w:tblLook w:firstColumn="1" w:firstRow="1" w:lastColumn="0" w:lastRow="0" w:noHBand="0" w:noVBand="1" w:val="04A0"/>
      </w:tblPr>
      <w:tblGrid>
        <w:gridCol w:w="4320"/>
        <w:gridCol w:w="4320"/>
      </w:tblGrid>
      <w:tr>
        <w:tc>
          <w:tcPr>
            <w:tcW w:type="dxa" w:w="4320"/>
            <w:shd w:val="clear" w:color="auto" w:fill="FFF3CD"/>
          </w:tcPr>
          <w:p>
            <w:r>
              <w:rPr>
                <w:b/>
              </w:rPr>
              <w:t>Type d'ordre</w:t>
            </w:r>
          </w:p>
        </w:tc>
        <w:tc>
          <w:tcPr>
            <w:tcW w:type="dxa" w:w="4320"/>
            <w:shd w:val="clear" w:color="auto" w:fill="FFF3CD"/>
          </w:tcPr>
          <w:p>
            <w:r>
              <w:t>LIMIT</w:t>
            </w:r>
          </w:p>
        </w:tc>
      </w:tr>
      <w:tr>
        <w:tc>
          <w:tcPr>
            <w:tcW w:type="dxa" w:w="4320"/>
            <w:shd w:val="clear" w:color="auto" w:fill="FFF3CD"/>
          </w:tcPr>
          <w:p>
            <w:r>
              <w:rPr>
                <w:b/>
              </w:rPr>
              <w:t>Direction</w:t>
            </w:r>
          </w:p>
        </w:tc>
        <w:tc>
          <w:tcPr>
            <w:tcW w:type="dxa" w:w="4320"/>
            <w:shd w:val="clear" w:color="auto" w:fill="FFF3CD"/>
          </w:tcPr>
          <w:p>
            <w:r>
              <w:t>SELL</w:t>
            </w:r>
          </w:p>
        </w:tc>
      </w:tr>
      <w:tr>
        <w:tc>
          <w:tcPr>
            <w:tcW w:type="dxa" w:w="4320"/>
            <w:shd w:val="clear" w:color="auto" w:fill="FFF3CD"/>
          </w:tcPr>
          <w:p>
            <w:r>
              <w:rPr>
                <w:b/>
              </w:rPr>
              <w:t>Prix d'entrée</w:t>
            </w:r>
          </w:p>
        </w:tc>
        <w:tc>
          <w:tcPr>
            <w:tcW w:type="dxa" w:w="4320"/>
            <w:shd w:val="clear" w:color="auto" w:fill="FFF3CD"/>
          </w:tcPr>
          <w:p>
            <w:r>
              <w:t>97,523.419</w:t>
            </w:r>
          </w:p>
        </w:tc>
      </w:tr>
      <w:tr>
        <w:tc>
          <w:tcPr>
            <w:tcW w:type="dxa" w:w="4320"/>
            <w:shd w:val="clear" w:color="auto" w:fill="FFF3CD"/>
          </w:tcPr>
          <w:p>
            <w:r>
              <w:rPr>
                <w:b/>
              </w:rPr>
              <w:t>Stop Loss</w:t>
            </w:r>
          </w:p>
        </w:tc>
        <w:tc>
          <w:tcPr>
            <w:tcW w:type="dxa" w:w="4320"/>
            <w:shd w:val="clear" w:color="auto" w:fill="FFF3CD"/>
          </w:tcPr>
          <w:p>
            <w:r>
              <w:t>97,791.348  (267.9 pips de risque)</w:t>
            </w:r>
          </w:p>
        </w:tc>
      </w:tr>
      <w:tr>
        <w:tc>
          <w:tcPr>
            <w:tcW w:type="dxa" w:w="4320"/>
            <w:shd w:val="clear" w:color="auto" w:fill="FFF3CD"/>
          </w:tcPr>
          <w:p>
            <w:r>
              <w:rPr>
                <w:b/>
              </w:rPr>
              <w:t>Take Profit</w:t>
            </w:r>
          </w:p>
        </w:tc>
        <w:tc>
          <w:tcPr>
            <w:tcW w:type="dxa" w:w="4320"/>
            <w:shd w:val="clear" w:color="auto" w:fill="FFF3CD"/>
          </w:tcPr>
          <w:p>
            <w:r>
              <w:t>96,686.140  (837.3 pips de gain)</w:t>
            </w:r>
          </w:p>
        </w:tc>
      </w:tr>
      <w:tr>
        <w:tc>
          <w:tcPr>
            <w:tcW w:type="dxa" w:w="4320"/>
            <w:shd w:val="clear" w:color="auto" w:fill="FFF3CD"/>
          </w:tcPr>
          <w:p>
            <w:r>
              <w:rPr>
                <w:b/>
              </w:rPr>
              <w:t>Ratio R/R</w:t>
            </w:r>
          </w:p>
        </w:tc>
        <w:tc>
          <w:tcPr>
            <w:tcW w:type="dxa" w:w="4320"/>
            <w:shd w:val="clear" w:color="auto" w:fill="FFF3CD"/>
          </w:tcPr>
          <w:p>
            <w:r>
              <w:t>1 : 3.13</w:t>
            </w:r>
          </w:p>
        </w:tc>
      </w:tr>
      <w:tr>
        <w:tc>
          <w:tcPr>
            <w:tcW w:type="dxa" w:w="4320"/>
            <w:shd w:val="clear" w:color="auto" w:fill="FFF3CD"/>
          </w:tcPr>
          <w:p>
            <w:r>
              <w:rPr>
                <w:b/>
              </w:rPr>
              <w:t>Prix actuel</w:t>
            </w:r>
          </w:p>
        </w:tc>
        <w:tc>
          <w:tcPr>
            <w:tcW w:type="dxa" w:w="4320"/>
            <w:shd w:val="clear" w:color="auto" w:fill="FFF3CD"/>
          </w:tcPr>
          <w:p>
            <w:r>
              <w:t>97,355.963</w:t>
            </w:r>
          </w:p>
        </w:tc>
      </w:tr>
    </w:tbl>
    <w:p/>
    <w:p>
      <w:pPr>
        <w:pBdr>
          <w:bottom w:val="single" w:sz="6" w:space="1" w:color="CCCCCC"/>
        </w:pBdr>
      </w:pPr>
    </w:p>
    <w:p/>
    <w:p>
      <w:pPr>
        <w:jc w:val="center"/>
      </w:pPr>
      <w:r>
        <w:drawing>
          <wp:inline xmlns:a="http://schemas.openxmlformats.org/drawingml/2006/main" xmlns:pic="http://schemas.openxmlformats.org/drawingml/2006/picture">
            <wp:extent cx="2011680" cy="1605963"/>
            <wp:docPr id="1" name="Picture 1"/>
            <wp:cNvGraphicFramePr>
              <a:graphicFrameLocks noChangeAspect="1"/>
            </wp:cNvGraphicFramePr>
            <a:graphic>
              <a:graphicData uri="http://schemas.openxmlformats.org/drawingml/2006/picture">
                <pic:pic>
                  <pic:nvPicPr>
                    <pic:cNvPr id="0" name="tmpm4igcxke.png"/>
                    <pic:cNvPicPr/>
                  </pic:nvPicPr>
                  <pic:blipFill>
                    <a:blip r:embed="rId9"/>
                    <a:stretch>
                      <a:fillRect/>
                    </a:stretch>
                  </pic:blipFill>
                  <pic:spPr>
                    <a:xfrm>
                      <a:off x="0" y="0"/>
                      <a:ext cx="2011680" cy="1605963"/>
                    </a:xfrm>
                    <a:prstGeom prst="rect"/>
                  </pic:spPr>
                </pic:pic>
              </a:graphicData>
            </a:graphic>
          </wp:inline>
        </w:drawing>
      </w:r>
      <w:r>
        <w:t xml:space="preserve">    </w:t>
      </w:r>
      <w:r>
        <w:drawing>
          <wp:inline xmlns:a="http://schemas.openxmlformats.org/drawingml/2006/main" xmlns:pic="http://schemas.openxmlformats.org/drawingml/2006/picture">
            <wp:extent cx="2743200" cy="2044183"/>
            <wp:docPr id="2" name="Picture 2"/>
            <wp:cNvGraphicFramePr>
              <a:graphicFrameLocks noChangeAspect="1"/>
            </wp:cNvGraphicFramePr>
            <a:graphic>
              <a:graphicData uri="http://schemas.openxmlformats.org/drawingml/2006/picture">
                <pic:pic>
                  <pic:nvPicPr>
                    <pic:cNvPr id="0" name="tmpxs4zyf0y.png"/>
                    <pic:cNvPicPr/>
                  </pic:nvPicPr>
                  <pic:blipFill>
                    <a:blip r:embed="rId10"/>
                    <a:stretch>
                      <a:fillRect/>
                    </a:stretch>
                  </pic:blipFill>
                  <pic:spPr>
                    <a:xfrm>
                      <a:off x="0" y="0"/>
                      <a:ext cx="2743200" cy="2044183"/>
                    </a:xfrm>
                    <a:prstGeom prst="rect"/>
                  </pic:spPr>
                </pic:pic>
              </a:graphicData>
            </a:graphic>
          </wp:inline>
        </w:drawing>
      </w:r>
    </w:p>
    <w:p>
      <w:pPr>
        <w:pBdr>
          <w:bottom w:val="single" w:sz="6" w:space="1" w:color="CCCCCC"/>
        </w:pBdr>
      </w:pPr>
    </w:p>
    <w:p>
      <w:pPr>
        <w:pStyle w:val="Heading2"/>
        <w:jc w:val="left"/>
      </w:pPr>
      <w:r>
        <w:rPr>
          <w:color w:val="1E3C78"/>
        </w:rPr>
        <w:t>Indicateurs Techniques (TradBOT — M1)</w:t>
      </w:r>
    </w:p>
    <w:p>
      <w:pPr>
        <w:jc w:val="center"/>
      </w:pPr>
      <w:r>
        <w:drawing>
          <wp:inline xmlns:a="http://schemas.openxmlformats.org/drawingml/2006/main" xmlns:pic="http://schemas.openxmlformats.org/drawingml/2006/picture">
            <wp:extent cx="4114800" cy="2971048"/>
            <wp:docPr id="3" name="Picture 3"/>
            <wp:cNvGraphicFramePr>
              <a:graphicFrameLocks noChangeAspect="1"/>
            </wp:cNvGraphicFramePr>
            <a:graphic>
              <a:graphicData uri="http://schemas.openxmlformats.org/drawingml/2006/picture">
                <pic:pic>
                  <pic:nvPicPr>
                    <pic:cNvPr id="0" name="tmpw9f7vh47.png"/>
                    <pic:cNvPicPr/>
                  </pic:nvPicPr>
                  <pic:blipFill>
                    <a:blip r:embed="rId11"/>
                    <a:stretch>
                      <a:fillRect/>
                    </a:stretch>
                  </pic:blipFill>
                  <pic:spPr>
                    <a:xfrm>
                      <a:off x="0" y="0"/>
                      <a:ext cx="4114800" cy="2971048"/>
                    </a:xfrm>
                    <a:prstGeom prst="rect"/>
                  </pic:spPr>
                </pic:pic>
              </a:graphicData>
            </a:graphic>
          </wp:inline>
        </w:drawing>
      </w:r>
    </w:p>
    <w:p/>
    <w:p>
      <w:pPr>
        <w:pBdr>
          <w:bottom w:val="single" w:sz="6" w:space="1" w:color="CCCCCC"/>
        </w:pBdr>
      </w:pPr>
    </w:p>
    <w:p>
      <w:pPr>
        <w:pStyle w:val="Heading2"/>
        <w:jc w:val="left"/>
      </w:pPr>
      <w:r>
        <w:rPr>
          <w:color w:val="1E3C78"/>
        </w:rPr>
        <w:t>Décision Portfolio Manager</w:t>
      </w:r>
    </w:p>
    <w:p>
      <w:pPr>
        <w:jc w:val="both"/>
      </w:pPr>
      <w:r>
        <w:rPr>
          <w:b/>
          <w:sz w:val="22"/>
        </w:rPr>
        <w:t>Rating</w:t>
      </w:r>
      <w:r>
        <w:rPr>
          <w:sz w:val="22"/>
        </w:rPr>
        <w:t>: Underweight</w:t>
      </w:r>
    </w:p>
    <w:p>
      <w:pPr>
        <w:jc w:val="both"/>
      </w:pPr>
      <w:r>
        <w:rPr>
          <w:b/>
          <w:sz w:val="20"/>
        </w:rPr>
        <w:t>Executive Summary</w:t>
      </w:r>
      <w:r>
        <w:rPr>
          <w:sz w:val="20"/>
        </w:rPr>
        <w:t>: Execute a scaled short entry on CRASH50 starting with 0.3% account risk at 97,400, using an initial stop at 98,200 (800 points, 2.4x ATR) to accommodate the instrument's gap-prone volatility. Take 50% profits at 97,000 (400-point target), reducing exposure while maintaining upside participation if the 65% bearish scenario continues to 96,500-96,000. This measured approach balances the compelling downtrend structure against oversold technicals (RSI 39), illiquidity risks, and the 35% probability of consolidation/reversal.</w:t>
      </w:r>
    </w:p>
    <w:p>
      <w:pPr>
        <w:jc w:val="both"/>
      </w:pPr>
      <w:r>
        <w:rPr>
          <w:b/>
          <w:sz w:val="20"/>
        </w:rPr>
        <w:t>Investment Thesis</w:t>
      </w:r>
      <w:r>
        <w:rPr>
          <w:sz w:val="20"/>
        </w:rPr>
        <w:t>: The technical evidence supports a bearish bias but demands measured execution rather than aggressive conviction. All three moving averages are declining (200-day SMA down 178 points over 20 days, 50-day down 952 points over 30 days, 10-day EMA down 1,082 points), MACD has remained negative for the entire 30-day observation period (currently -225), and price has established a clear pattern of lower highs and lower lows after declining 3,175 points from the February high of 100,533.</w:t>
      </w:r>
    </w:p>
    <w:p>
      <w:pPr>
        <w:jc w:val="both"/>
      </w:pPr>
      <w:r>
        <w:rPr>
          <w:sz w:val="20"/>
        </w:rPr>
        <w:t>However, the neutral analyst correctly identifies critical flaws in both the aggressive sell recommendation and conservative avoidance stance. The proposed 600-point stop at 98,000 represents only 1.8x the 335-point ATR-dangerously inadequate for an instrument explicitly designed to produce volatility spikes every 50 ticks on average. The ATR spiked to 359.76 on May 10th, demonstrating that gap risk could easily blow through the aggressive stop placement and convert a planned 0.5-1.0% risk into 1.5-2.0% actual loss.</w:t>
      </w:r>
    </w:p>
    <w:p>
      <w:pPr>
        <w:jc w:val="both"/>
      </w:pPr>
      <w:r>
        <w:rPr>
          <w:sz w:val="20"/>
        </w:rPr>
        <w:t>Equally problematic is current positioning: price at 97,357 sits just 132 points above the lower Bollinger Band (97,225) with RSI at 39.03-approaching but not yet at extreme oversold. Historical data shows RSI bounced from 30.52 to 48.83 between April 21st and May 11th, precisely the kind of sharp reversal that would trigger a tight stop before targets are reached. The 41% Bollinger Band contraction (from 1,607 to 944 points) signals an impending explosive move, but the neutral analyst correctly notes this can break either direction despite the downtrend context.</w:t>
      </w:r>
    </w:p>
    <w:p>
      <w:pPr>
        <w:jc w:val="both"/>
      </w:pPr>
      <w:r>
        <w:rPr>
          <w:sz w:val="20"/>
        </w:rPr>
        <w:t>The complete absence of social media activity (zero StockTwits, Reddit mentions, or news coverage) presents a dual-edged reality: less retail resistance on the downside, but zero liquidity verification for profit-taking at 97,000 or 96,500 targets. On a synthetic index with consistent volume data of 1.0, execution at precise target levels is optimistic without market depth confirmation.</w:t>
      </w:r>
    </w:p>
    <w:p>
      <w:pPr>
        <w:jc w:val="both"/>
      </w:pPr>
      <w:r>
        <w:rPr>
          <w:sz w:val="20"/>
        </w:rPr>
        <w:t>The moderate scaling approach optimizes probability-weighted expected value. With 65% bearish probability, 25% consolidation risk, and 10% reversal risk, a 0.3% initial position at 97,400 captures participation while avoiding catastrophic exposure to the 35% adverse scenarios. Widening the stop to 98,200 (800 points, 2.4x ATR) accounts for CRASH50's documented "sudden volatility spikes without warning" while maintaining discipline. Taking 50% profits at 97,000 locks in 400 points on half the position-reasonable relative to 335-point ATR-and mitigates liquidity execution risk on the full position.</w:t>
      </w:r>
    </w:p>
    <w:p>
      <w:pPr>
        <w:jc w:val="both"/>
      </w:pPr>
      <w:r>
        <w:rPr>
          <w:sz w:val="20"/>
        </w:rPr>
        <w:t>If price rallies to 97,600-97,700 (the technical report's recommended short entry zone) with RSI remaining below 50, adding 0.3% creates a better average entry aligned with resistance retests rather than selling at support. If price breaks below 97,225 with expanding volatility, a final 0.2% addition with stop at 97,600 capitalizes on confirmed breakdown while limiting maximum aggregate risk to approximately 0.8%.</w:t>
      </w:r>
    </w:p>
    <w:p>
      <w:pPr>
        <w:jc w:val="both"/>
      </w:pPr>
      <w:r>
        <w:rPr>
          <w:sz w:val="20"/>
        </w:rPr>
        <w:t>The Research Manager's outright "Sell" recommendation and 0.5-1.0% sizing at current levels with a 98,000 stop ignores instrument-specific gap risk and oversold technicals. The conservative case for complete avoidance ignores that 65% bearish probability with proper structure is absolutely tradeable. The Underweight rating reflects strong directional conviction tempered by tactical flexibility: reduce exposure gradually through a scaled approach rather than committing full risk at stretched levels with inadequate stops.</w:t>
      </w:r>
    </w:p>
    <w:p>
      <w:pPr>
        <w:jc w:val="both"/>
      </w:pPr>
      <w:r>
        <w:rPr>
          <w:b/>
          <w:sz w:val="22"/>
        </w:rPr>
        <w:t>Price Target</w:t>
      </w:r>
      <w:r>
        <w:rPr>
          <w:sz w:val="22"/>
        </w:rPr>
        <w:t>: 97000.0</w:t>
      </w:r>
    </w:p>
    <w:p>
      <w:pPr>
        <w:jc w:val="both"/>
      </w:pPr>
      <w:r>
        <w:rPr>
          <w:b/>
          <w:sz w:val="22"/>
        </w:rPr>
        <w:t>Time Horizon</w:t>
      </w:r>
      <w:r>
        <w:rPr>
          <w:sz w:val="22"/>
        </w:rPr>
        <w:t>: 2-4 weeks for initial target; trail remainder</w:t>
      </w:r>
    </w:p>
    <w:p>
      <w:pPr>
        <w:pBdr>
          <w:bottom w:val="single" w:sz="6" w:space="1" w:color="CCCCCC"/>
        </w:pBdr>
      </w:pPr>
    </w:p>
    <w:p>
      <w:pPr>
        <w:pStyle w:val="Heading2"/>
        <w:jc w:val="left"/>
      </w:pPr>
      <w:r>
        <w:rPr>
          <w:color w:val="1E643C"/>
        </w:rPr>
        <w:t>Plan Trader</w:t>
      </w:r>
    </w:p>
    <w:p>
      <w:pPr>
        <w:jc w:val="both"/>
      </w:pPr>
      <w:r>
        <w:rPr>
          <w:b/>
          <w:sz w:val="22"/>
        </w:rPr>
        <w:t>Action</w:t>
      </w:r>
      <w:r>
        <w:rPr>
          <w:sz w:val="22"/>
        </w:rPr>
        <w:t>: Sell</w:t>
      </w:r>
    </w:p>
    <w:p>
      <w:pPr>
        <w:jc w:val="both"/>
      </w:pPr>
      <w:r>
        <w:rPr>
          <w:b/>
          <w:sz w:val="20"/>
        </w:rPr>
        <w:t>Reasoning</w:t>
      </w:r>
      <w:r>
        <w:rPr>
          <w:sz w:val="20"/>
        </w:rPr>
        <w:t>: The comprehensive analysis reveals a strong bearish technical structure: all three moving averages are declining with price below them, MACD has been negative for 20+ days (historically continuing 71% of the time), and we're in a confirmed pattern of lower highs and lower lows. The bull case relies on insufficient oversold readings (RSI 39, near lower Bollinger Band) that don't justify reversal in this downtrend context, with a proposed stop at only 0.6x ATR that's unrealistic for CRASH50's 335-point average true range and gap-prone nature. The 65% bearish probability, combined with absent liquidity and catalysts, strongly favors selling existing longs or initiating shorts on current weakness or relief bounces toward resistance.</w:t>
      </w:r>
    </w:p>
    <w:p>
      <w:pPr>
        <w:jc w:val="both"/>
      </w:pPr>
      <w:r>
        <w:rPr>
          <w:b/>
          <w:sz w:val="22"/>
        </w:rPr>
        <w:t>Entry Price</w:t>
      </w:r>
      <w:r>
        <w:rPr>
          <w:sz w:val="22"/>
        </w:rPr>
        <w:t>: 97400.0</w:t>
      </w:r>
    </w:p>
    <w:p>
      <w:pPr>
        <w:jc w:val="both"/>
      </w:pPr>
      <w:r>
        <w:rPr>
          <w:b/>
          <w:sz w:val="22"/>
        </w:rPr>
        <w:t>Stop Loss</w:t>
      </w:r>
      <w:r>
        <w:rPr>
          <w:sz w:val="22"/>
        </w:rPr>
        <w:t>: 98000.0</w:t>
      </w:r>
    </w:p>
    <w:p>
      <w:pPr>
        <w:jc w:val="both"/>
      </w:pPr>
      <w:r>
        <w:rPr>
          <w:b/>
          <w:sz w:val="22"/>
        </w:rPr>
        <w:t>Position Sizing</w:t>
      </w:r>
      <w:r>
        <w:rPr>
          <w:sz w:val="22"/>
        </w:rPr>
        <w:t>: 0.5-1.0% account risk</w:t>
      </w:r>
    </w:p>
    <w:p>
      <w:pPr>
        <w:jc w:val="both"/>
      </w:pPr>
      <w:r>
        <w:rPr>
          <w:sz w:val="22"/>
        </w:rPr>
        <w:t xml:space="preserve">FINAL TRANSACTION PROPOSAL: </w:t>
      </w:r>
      <w:r>
        <w:rPr>
          <w:b/>
          <w:sz w:val="22"/>
        </w:rPr>
        <w:t>SELL</w:t>
      </w:r>
    </w:p>
    <w:p>
      <w:pPr>
        <w:pBdr>
          <w:bottom w:val="single" w:sz="6" w:space="1" w:color="CCCCCC"/>
        </w:pBdr>
      </w:pPr>
    </w:p>
    <w:p>
      <w:pPr>
        <w:pStyle w:val="Heading2"/>
        <w:jc w:val="left"/>
      </w:pPr>
      <w:r>
        <w:rPr>
          <w:color w:val="502878"/>
        </w:rPr>
        <w:t>Rapport Marché</w:t>
      </w:r>
    </w:p>
    <w:p>
      <w:pPr>
        <w:jc w:val="both"/>
      </w:pPr>
      <w:r>
        <w:rPr>
          <w:sz w:val="22"/>
        </w:rPr>
        <w:t>Excellent! Now I have all the data needed for a comprehensive analysis. Let me prepare a detailed technical report.</w:t>
      </w:r>
    </w:p>
    <w:p>
      <w:pPr>
        <w:pBdr>
          <w:bottom w:val="single" w:sz="6" w:space="1" w:color="CCCCCC"/>
        </w:pBdr>
      </w:pPr>
    </w:p>
    <w:p>
      <w:pPr>
        <w:pStyle w:val="Heading2"/>
        <w:jc w:val="left"/>
      </w:pPr>
      <w:r>
        <w:rPr>
          <w:color w:val="502878"/>
          <w:sz w:val="28"/>
        </w:rPr>
        <w:t>**CRASH50 Technical Analysis Report**</w:t>
      </w:r>
    </w:p>
    <w:p>
      <w:pPr>
        <w:pBdr>
          <w:bottom w:val="single" w:sz="6" w:space="1" w:color="CCCCCC"/>
        </w:pBdr>
      </w:pPr>
    </w:p>
    <w:p>
      <w:pPr>
        <w:pStyle w:val="Heading3"/>
        <w:jc w:val="left"/>
      </w:pPr>
      <w:r>
        <w:rPr>
          <w:color w:val="502878"/>
          <w:sz w:val="24"/>
        </w:rPr>
        <w:t>**EXECUTIVE SUMMARY**</w:t>
      </w:r>
    </w:p>
    <w:p>
      <w:pPr>
        <w:jc w:val="both"/>
      </w:pPr>
      <w:r>
        <w:rPr>
          <w:sz w:val="20"/>
        </w:rPr>
        <w:t xml:space="preserve">CRASH50 is currently exhibiting </w:t>
      </w:r>
      <w:r>
        <w:rPr>
          <w:b/>
          <w:sz w:val="20"/>
        </w:rPr>
        <w:t>significant bearish momentum</w:t>
      </w:r>
      <w:r>
        <w:rPr>
          <w:sz w:val="20"/>
        </w:rPr>
        <w:t xml:space="preserve"> with price trading substantially below all major moving averages. The synthetic crash index has experienced a sustained downtrend over the past month, declining approximately </w:t>
      </w:r>
      <w:r>
        <w:rPr>
          <w:b/>
          <w:sz w:val="20"/>
        </w:rPr>
        <w:t>-2,000 points (-2.0%)</w:t>
      </w:r>
      <w:r>
        <w:rPr>
          <w:sz w:val="20"/>
        </w:rPr>
        <w:t xml:space="preserve"> since late April. Multiple technical indicators confirm bearish pressure with no immediate signs of reversal.</w:t>
      </w:r>
    </w:p>
    <w:p>
      <w:r>
        <w:rPr>
          <w:b/>
          <w:sz w:val="20"/>
        </w:rPr>
        <w:t>Key Findings:</w:t>
      </w:r>
    </w:p>
    <w:p>
      <w:pPr>
        <w:jc w:val="both"/>
      </w:pPr>
      <w:r>
        <w:rPr>
          <w:sz w:val="20"/>
        </w:rPr>
        <w:t xml:space="preserve">- Price is </w:t>
      </w:r>
      <w:r>
        <w:rPr>
          <w:b/>
          <w:sz w:val="20"/>
        </w:rPr>
        <w:t>-1,736 points (-1.75%)</w:t>
      </w:r>
      <w:r>
        <w:rPr>
          <w:sz w:val="20"/>
        </w:rPr>
        <w:t xml:space="preserve"> below the 200-day SMA</w:t>
      </w:r>
    </w:p>
    <w:p>
      <w:pPr>
        <w:jc w:val="both"/>
      </w:pPr>
      <w:r>
        <w:rPr>
          <w:sz w:val="20"/>
        </w:rPr>
        <w:t xml:space="preserve">- Price is </w:t>
      </w:r>
      <w:r>
        <w:rPr>
          <w:b/>
          <w:sz w:val="20"/>
        </w:rPr>
        <w:t>-958 points (-0.97%)</w:t>
      </w:r>
      <w:r>
        <w:rPr>
          <w:sz w:val="20"/>
        </w:rPr>
        <w:t xml:space="preserve"> below the 50-day SMA</w:t>
      </w:r>
    </w:p>
    <w:p>
      <w:pPr>
        <w:jc w:val="both"/>
      </w:pPr>
      <w:r>
        <w:rPr>
          <w:sz w:val="20"/>
        </w:rPr>
        <w:t xml:space="preserve">- Price is </w:t>
      </w:r>
      <w:r>
        <w:rPr>
          <w:b/>
          <w:sz w:val="20"/>
        </w:rPr>
        <w:t>-232 points (-0.24%)</w:t>
      </w:r>
      <w:r>
        <w:rPr>
          <w:sz w:val="20"/>
        </w:rPr>
        <w:t xml:space="preserve"> below the 10-day EMA</w:t>
      </w:r>
    </w:p>
    <w:p>
      <w:pPr>
        <w:jc w:val="both"/>
      </w:pPr>
      <w:r>
        <w:rPr>
          <w:sz w:val="20"/>
        </w:rPr>
        <w:t>- RSI at 39.03 (approaching oversold but not yet extreme)</w:t>
      </w:r>
    </w:p>
    <w:p>
      <w:pPr>
        <w:jc w:val="both"/>
      </w:pPr>
      <w:r>
        <w:rPr>
          <w:sz w:val="20"/>
        </w:rPr>
        <w:t>- MACD deeply negative at -225.37, indicating persistent bearish momentum</w:t>
      </w:r>
    </w:p>
    <w:p>
      <w:pPr>
        <w:jc w:val="both"/>
      </w:pPr>
      <w:r>
        <w:rPr>
          <w:sz w:val="20"/>
        </w:rPr>
        <w:t>- Price trading near the lower Bollinger Band, suggesting potential oversold conditions</w:t>
      </w:r>
    </w:p>
    <w:p>
      <w:pPr>
        <w:pBdr>
          <w:bottom w:val="single" w:sz="6" w:space="1" w:color="CCCCCC"/>
        </w:pBdr>
      </w:pPr>
    </w:p>
    <w:p>
      <w:pPr>
        <w:pStyle w:val="Heading3"/>
        <w:jc w:val="left"/>
      </w:pPr>
      <w:r>
        <w:rPr>
          <w:color w:val="502878"/>
          <w:sz w:val="24"/>
        </w:rPr>
        <w:t>**DETAILED TECHNICAL ANALYSIS**</w:t>
      </w:r>
    </w:p>
    <w:p>
      <w:pPr>
        <w:pStyle w:val="Heading4"/>
        <w:jc w:val="left"/>
      </w:pPr>
      <w:r>
        <w:rPr>
          <w:color w:val="502878"/>
          <w:sz w:val="22"/>
        </w:rPr>
        <w:t>**1. TREND ANALYSIS: Confirmed Downtrend Across All Timeframes**</w:t>
      </w:r>
    </w:p>
    <w:p>
      <w:pPr>
        <w:pStyle w:val="Heading4"/>
        <w:jc w:val="left"/>
      </w:pPr>
      <w:r>
        <w:rPr>
          <w:color w:val="502878"/>
          <w:sz w:val="22"/>
        </w:rPr>
        <w:t>**Long-Term Trend (200-Day SMA): Bearish**</w:t>
      </w:r>
    </w:p>
    <w:p>
      <w:pPr>
        <w:pStyle w:val="ListBullet"/>
      </w:pPr>
      <w:r>
        <w:rPr>
          <w:b/>
          <w:sz w:val="20"/>
        </w:rPr>
        <w:t>May 1</w:t>
      </w:r>
      <w:r>
        <w:rPr>
          <w:sz w:val="20"/>
        </w:rPr>
        <w:t>: 99,271.70</w:t>
      </w:r>
    </w:p>
    <w:p>
      <w:pPr>
        <w:pStyle w:val="ListBullet"/>
      </w:pPr>
      <w:r>
        <w:rPr>
          <w:b/>
          <w:sz w:val="20"/>
        </w:rPr>
        <w:t>May 21</w:t>
      </w:r>
      <w:r>
        <w:rPr>
          <w:sz w:val="20"/>
        </w:rPr>
        <w:t>: 99,093.86</w:t>
      </w:r>
    </w:p>
    <w:p>
      <w:pPr>
        <w:pStyle w:val="ListBullet"/>
      </w:pPr>
      <w:r>
        <w:rPr>
          <w:b/>
          <w:sz w:val="20"/>
        </w:rPr>
        <w:t>Decline</w:t>
      </w:r>
      <w:r>
        <w:rPr>
          <w:sz w:val="20"/>
        </w:rPr>
        <w:t>: -177.84 points over 20 days</w:t>
      </w:r>
    </w:p>
    <w:p>
      <w:pPr>
        <w:jc w:val="both"/>
      </w:pPr>
      <w:r>
        <w:rPr>
          <w:sz w:val="22"/>
        </w:rPr>
        <w:t>The steady downward slope of this long-term average confirms that the overall market structure remains bearish. Price has been trading below the 200 SMA continuously since late April, establishing a clear "death cross" formation when combined with shorter moving averages.</w:t>
      </w:r>
    </w:p>
    <w:p>
      <w:pPr>
        <w:jc w:val="both"/>
      </w:pPr>
      <w:r>
        <w:rPr>
          <w:b/>
          <w:sz w:val="22"/>
        </w:rPr>
        <w:t>Implication:</w:t>
      </w:r>
      <w:r>
        <w:rPr>
          <w:sz w:val="22"/>
        </w:rPr>
        <w:t xml:space="preserve"> The long-term trend is definitively bearish. Any rallies should be viewed as potential selling opportunities unless price can reclaim this critical level.</w:t>
      </w:r>
    </w:p>
    <w:p>
      <w:pPr>
        <w:pStyle w:val="Heading4"/>
        <w:jc w:val="left"/>
      </w:pPr>
      <w:r>
        <w:rPr>
          <w:color w:val="502878"/>
          <w:sz w:val="22"/>
        </w:rPr>
        <w:t>**Medium-Term Trend (50-Day SMA): Accelerating Decline**</w:t>
      </w:r>
    </w:p>
    <w:p>
      <w:pPr>
        <w:pStyle w:val="ListBullet"/>
      </w:pPr>
      <w:r>
        <w:rPr>
          <w:b/>
          <w:sz w:val="20"/>
        </w:rPr>
        <w:t>April 21</w:t>
      </w:r>
      <w:r>
        <w:rPr>
          <w:sz w:val="20"/>
        </w:rPr>
        <w:t>: 99,267.22</w:t>
      </w:r>
    </w:p>
    <w:p>
      <w:pPr>
        <w:pStyle w:val="ListBullet"/>
      </w:pPr>
      <w:r>
        <w:rPr>
          <w:b/>
          <w:sz w:val="20"/>
        </w:rPr>
        <w:t>May 21</w:t>
      </w:r>
      <w:r>
        <w:rPr>
          <w:sz w:val="20"/>
        </w:rPr>
        <w:t>: 98,315.61</w:t>
      </w:r>
    </w:p>
    <w:p>
      <w:pPr>
        <w:pStyle w:val="ListBullet"/>
      </w:pPr>
      <w:r>
        <w:rPr>
          <w:b/>
          <w:sz w:val="20"/>
        </w:rPr>
        <w:t>Decline</w:t>
      </w:r>
      <w:r>
        <w:rPr>
          <w:sz w:val="20"/>
        </w:rPr>
        <w:t>: -951.61 points in 30 days (-0.96%)</w:t>
      </w:r>
    </w:p>
    <w:p>
      <w:pPr>
        <w:jc w:val="both"/>
      </w:pPr>
      <w:r>
        <w:rPr>
          <w:sz w:val="22"/>
        </w:rPr>
        <w:t xml:space="preserve">This accelerating decline in the medium-term average indicates that selling pressure has intensified. The gap between the 50 SMA and 200 SMA has </w:t>
      </w:r>
      <w:r>
        <w:rPr>
          <w:b/>
          <w:sz w:val="22"/>
        </w:rPr>
        <w:t>narrowed significantly</w:t>
      </w:r>
      <w:r>
        <w:rPr>
          <w:sz w:val="22"/>
        </w:rPr>
        <w:t xml:space="preserve"> (currently 778 points), suggesting potential for a bearish cross if the downtrend continues.</w:t>
      </w:r>
    </w:p>
    <w:p>
      <w:pPr>
        <w:jc w:val="both"/>
      </w:pPr>
      <w:r>
        <w:rPr>
          <w:b/>
          <w:sz w:val="22"/>
        </w:rPr>
        <w:t>Key Observation:</w:t>
      </w:r>
      <w:r>
        <w:rPr>
          <w:sz w:val="22"/>
        </w:rPr>
        <w:t xml:space="preserve"> The 50 SMA is declining at nearly </w:t>
      </w:r>
      <w:r>
        <w:rPr>
          <w:b/>
          <w:sz w:val="22"/>
        </w:rPr>
        <w:t>5.5 times the rate</w:t>
      </w:r>
      <w:r>
        <w:rPr>
          <w:sz w:val="22"/>
        </w:rPr>
        <w:t xml:space="preserve"> of the 200 SMA, demonstrating concentrated selling pressure in recent weeks.</w:t>
      </w:r>
    </w:p>
    <w:p>
      <w:pPr>
        <w:pStyle w:val="Heading4"/>
        <w:jc w:val="left"/>
      </w:pPr>
      <w:r>
        <w:rPr>
          <w:color w:val="502878"/>
          <w:sz w:val="22"/>
        </w:rPr>
        <w:t>**Short-Term Trend (10-Day EMA): Immediate Weakness**</w:t>
      </w:r>
    </w:p>
    <w:p>
      <w:pPr>
        <w:pStyle w:val="ListBullet"/>
      </w:pPr>
      <w:r>
        <w:rPr>
          <w:b/>
          <w:sz w:val="20"/>
        </w:rPr>
        <w:t>April 21</w:t>
      </w:r>
      <w:r>
        <w:rPr>
          <w:sz w:val="20"/>
        </w:rPr>
        <w:t>: 98,671.42</w:t>
      </w:r>
    </w:p>
    <w:p>
      <w:pPr>
        <w:pStyle w:val="ListBullet"/>
      </w:pPr>
      <w:r>
        <w:rPr>
          <w:b/>
          <w:sz w:val="20"/>
        </w:rPr>
        <w:t>May 21</w:t>
      </w:r>
      <w:r>
        <w:rPr>
          <w:sz w:val="20"/>
        </w:rPr>
        <w:t>: 97,589.47</w:t>
      </w:r>
    </w:p>
    <w:p>
      <w:pPr>
        <w:pStyle w:val="ListBullet"/>
      </w:pPr>
      <w:r>
        <w:rPr>
          <w:b/>
          <w:sz w:val="20"/>
        </w:rPr>
        <w:t>Decline</w:t>
      </w:r>
      <w:r>
        <w:rPr>
          <w:sz w:val="20"/>
        </w:rPr>
        <w:t>: -1,081.95 points in 30 days (-1.10%)</w:t>
      </w:r>
    </w:p>
    <w:p>
      <w:pPr>
        <w:jc w:val="both"/>
      </w:pPr>
      <w:r>
        <w:rPr>
          <w:sz w:val="22"/>
        </w:rPr>
        <w:t>The 10 EMA's steep decline illustrates acute short-term weakness. Price has consistently failed to reclaim this level throughout May, with each bounce being swiftly rejected.</w:t>
      </w:r>
    </w:p>
    <w:p>
      <w:pPr>
        <w:jc w:val="both"/>
      </w:pPr>
      <w:r>
        <w:rPr>
          <w:b/>
          <w:sz w:val="22"/>
        </w:rPr>
        <w:t>Trading Implication:</w:t>
      </w:r>
      <w:r>
        <w:rPr>
          <w:sz w:val="22"/>
        </w:rPr>
        <w:t xml:space="preserve"> The 10 EMA serves as an immediate resistance zone. Short-term rallies that approach this level (97,589) present high-probability short entry opportunities.</w:t>
      </w:r>
    </w:p>
    <w:p>
      <w:pPr>
        <w:pBdr>
          <w:bottom w:val="single" w:sz="6" w:space="1" w:color="CCCCCC"/>
        </w:pBdr>
      </w:pPr>
    </w:p>
    <w:p>
      <w:pPr>
        <w:pStyle w:val="Heading4"/>
        <w:jc w:val="left"/>
      </w:pPr>
      <w:r>
        <w:rPr>
          <w:color w:val="502878"/>
          <w:sz w:val="22"/>
        </w:rPr>
        <w:t>**2. MOMENTUM ANALYSIS: Persistent Bearish Pressure**</w:t>
      </w:r>
    </w:p>
    <w:p>
      <w:pPr>
        <w:pStyle w:val="Heading4"/>
        <w:jc w:val="left"/>
      </w:pPr>
      <w:r>
        <w:rPr>
          <w:color w:val="502878"/>
          <w:sz w:val="22"/>
        </w:rPr>
        <w:t>**MACD: Deep Bearish Territory with Deteriorating Momentum**</w:t>
      </w:r>
    </w:p>
    <w:p>
      <w:r>
        <w:rPr>
          <w:b/>
          <w:sz w:val="20"/>
        </w:rPr>
        <w:t>Key MACD Levels:</w:t>
      </w:r>
    </w:p>
    <w:p>
      <w:pPr>
        <w:jc w:val="both"/>
      </w:pPr>
      <w:r>
        <w:rPr>
          <w:sz w:val="20"/>
        </w:rPr>
        <w:t xml:space="preserve">- </w:t>
      </w:r>
      <w:r>
        <w:rPr>
          <w:b/>
          <w:sz w:val="20"/>
        </w:rPr>
        <w:t>Lowest Point (May 5):</w:t>
      </w:r>
      <w:r>
        <w:rPr>
          <w:sz w:val="20"/>
        </w:rPr>
        <w:t xml:space="preserve"> -340.05</w:t>
      </w:r>
    </w:p>
    <w:p>
      <w:pPr>
        <w:jc w:val="both"/>
      </w:pPr>
      <w:r>
        <w:rPr>
          <w:sz w:val="20"/>
        </w:rPr>
        <w:t xml:space="preserve">- </w:t>
      </w:r>
      <w:r>
        <w:rPr>
          <w:b/>
          <w:sz w:val="20"/>
        </w:rPr>
        <w:t>Current (May 21):</w:t>
      </w:r>
      <w:r>
        <w:rPr>
          <w:sz w:val="20"/>
        </w:rPr>
        <w:t xml:space="preserve"> -225.37</w:t>
      </w:r>
    </w:p>
    <w:p>
      <w:pPr>
        <w:jc w:val="both"/>
      </w:pPr>
      <w:r>
        <w:rPr>
          <w:sz w:val="20"/>
        </w:rPr>
        <w:t xml:space="preserve">- </w:t>
      </w:r>
      <w:r>
        <w:rPr>
          <w:b/>
          <w:sz w:val="20"/>
        </w:rPr>
        <w:t>Trend:</w:t>
      </w:r>
      <w:r>
        <w:rPr>
          <w:sz w:val="20"/>
        </w:rPr>
        <w:t xml:space="preserve"> Improving from extreme lows but still deeply negative</w:t>
      </w:r>
    </w:p>
    <w:p>
      <w:pPr>
        <w:jc w:val="both"/>
      </w:pPr>
      <w:r>
        <w:rPr>
          <w:sz w:val="22"/>
        </w:rPr>
        <w:t xml:space="preserve">The MACD has shown </w:t>
      </w:r>
      <w:r>
        <w:rPr>
          <w:b/>
          <w:sz w:val="22"/>
        </w:rPr>
        <w:t>marginal improvement</w:t>
      </w:r>
      <w:r>
        <w:rPr>
          <w:sz w:val="22"/>
        </w:rPr>
        <w:t xml:space="preserve"> from its May 5 low, rising approximately </w:t>
      </w:r>
      <w:r>
        <w:rPr>
          <w:b/>
          <w:sz w:val="22"/>
        </w:rPr>
        <w:t>115 points</w:t>
      </w:r>
      <w:r>
        <w:rPr>
          <w:sz w:val="22"/>
        </w:rPr>
        <w:t xml:space="preserve">. However, this represents only a </w:t>
      </w:r>
      <w:r>
        <w:rPr>
          <w:b/>
          <w:sz w:val="22"/>
        </w:rPr>
        <w:t>34% recovery</w:t>
      </w:r>
      <w:r>
        <w:rPr>
          <w:sz w:val="22"/>
        </w:rPr>
        <w:t xml:space="preserve"> from the extreme, and the indicator remains in deeply negative territory.</w:t>
      </w:r>
    </w:p>
    <w:p>
      <w:pPr>
        <w:jc w:val="both"/>
      </w:pPr>
      <w:r>
        <w:rPr>
          <w:b/>
          <w:sz w:val="22"/>
        </w:rPr>
        <w:t>Critical Observation:</w:t>
      </w:r>
      <w:r>
        <w:rPr>
          <w:sz w:val="22"/>
        </w:rPr>
        <w:t xml:space="preserve"> The MACD has been negative for the </w:t>
      </w:r>
      <w:r>
        <w:rPr>
          <w:b/>
          <w:sz w:val="22"/>
        </w:rPr>
        <w:t>entire 30-day observation period</w:t>
      </w:r>
      <w:r>
        <w:rPr>
          <w:sz w:val="22"/>
        </w:rPr>
        <w:t>, with no crossovers into positive territory. This indicates sustained selling pressure without meaningful bullish momentum.</w:t>
      </w:r>
    </w:p>
    <w:p>
      <w:pPr>
        <w:jc w:val="both"/>
      </w:pPr>
      <w:r>
        <w:rPr>
          <w:sz w:val="22"/>
        </w:rPr>
        <w:t>The histogram (differential between MACD and signal line) would need to be monitored for signs of convergence, but the deeply negative values suggest sellers remain firmly in control.</w:t>
      </w:r>
    </w:p>
    <w:p>
      <w:pPr>
        <w:jc w:val="both"/>
      </w:pPr>
      <w:r>
        <w:rPr>
          <w:b/>
          <w:sz w:val="22"/>
        </w:rPr>
        <w:t>Momentum Verdict:</w:t>
      </w:r>
      <w:r>
        <w:rPr>
          <w:sz w:val="22"/>
        </w:rPr>
        <w:t xml:space="preserve"> No bullish divergence evident. The slight improvement from extreme levels represents consolidation within a downtrend rather than reversal potential.</w:t>
      </w:r>
    </w:p>
    <w:p>
      <w:pPr>
        <w:pStyle w:val="Heading4"/>
        <w:jc w:val="left"/>
      </w:pPr>
      <w:r>
        <w:rPr>
          <w:color w:val="502878"/>
          <w:sz w:val="22"/>
        </w:rPr>
        <w:t>**RSI: Approaching Oversold but Not Extreme**</w:t>
      </w:r>
    </w:p>
    <w:p>
      <w:pPr>
        <w:jc w:val="both"/>
      </w:pPr>
      <w:r>
        <w:rPr>
          <w:sz w:val="22"/>
        </w:rPr>
        <w:t>The RSI provides nuanced insights into momentum conditions:</w:t>
      </w:r>
    </w:p>
    <w:p>
      <w:r>
        <w:rPr>
          <w:b/>
          <w:sz w:val="20"/>
        </w:rPr>
        <w:t>30-Day RSI Range:</w:t>
      </w:r>
    </w:p>
    <w:p>
      <w:pPr>
        <w:jc w:val="both"/>
      </w:pPr>
      <w:r>
        <w:rPr>
          <w:sz w:val="20"/>
        </w:rPr>
        <w:t xml:space="preserve">- </w:t>
      </w:r>
      <w:r>
        <w:rPr>
          <w:b/>
          <w:sz w:val="20"/>
        </w:rPr>
        <w:t>Lowest:</w:t>
      </w:r>
      <w:r>
        <w:rPr>
          <w:sz w:val="20"/>
        </w:rPr>
        <w:t xml:space="preserve"> 30.52 (April 21)</w:t>
      </w:r>
    </w:p>
    <w:p>
      <w:pPr>
        <w:jc w:val="both"/>
      </w:pPr>
      <w:r>
        <w:rPr>
          <w:sz w:val="20"/>
        </w:rPr>
        <w:t xml:space="preserve">- </w:t>
      </w:r>
      <w:r>
        <w:rPr>
          <w:b/>
          <w:sz w:val="20"/>
        </w:rPr>
        <w:t>Highest:</w:t>
      </w:r>
      <w:r>
        <w:rPr>
          <w:sz w:val="20"/>
        </w:rPr>
        <w:t xml:space="preserve"> 48.83 (May 11)</w:t>
      </w:r>
    </w:p>
    <w:p>
      <w:pPr>
        <w:jc w:val="both"/>
      </w:pPr>
      <w:r>
        <w:rPr>
          <w:sz w:val="20"/>
        </w:rPr>
        <w:t xml:space="preserve">- </w:t>
      </w:r>
      <w:r>
        <w:rPr>
          <w:b/>
          <w:sz w:val="20"/>
        </w:rPr>
        <w:t>Current:</w:t>
      </w:r>
      <w:r>
        <w:rPr>
          <w:sz w:val="20"/>
        </w:rPr>
        <w:t xml:space="preserve"> 39.03</w:t>
      </w:r>
    </w:p>
    <w:p>
      <w:r>
        <w:rPr>
          <w:b/>
          <w:sz w:val="20"/>
        </w:rPr>
        <w:t>Analysis:</w:t>
      </w:r>
    </w:p>
    <w:p>
      <w:pPr>
        <w:jc w:val="both"/>
      </w:pPr>
      <w:r>
        <w:rPr>
          <w:sz w:val="20"/>
        </w:rPr>
        <w:t xml:space="preserve">The RSI has remained largely confined to the </w:t>
      </w:r>
      <w:r>
        <w:rPr>
          <w:b/>
          <w:sz w:val="20"/>
        </w:rPr>
        <w:t>30-50 range</w:t>
      </w:r>
      <w:r>
        <w:rPr>
          <w:sz w:val="20"/>
        </w:rPr>
        <w:t xml:space="preserve"> throughout the observation period, never reaching overbought territory (&gt;70) and only briefly touching oversold (&lt;30) levels. This pattern is characteristic of a </w:t>
      </w:r>
      <w:r>
        <w:rPr>
          <w:b/>
          <w:sz w:val="20"/>
        </w:rPr>
        <w:t>controlled downtrend</w:t>
      </w:r>
      <w:r>
        <w:rPr>
          <w:sz w:val="20"/>
        </w:rPr>
        <w:t xml:space="preserve"> rather than panic selling.</w:t>
      </w:r>
    </w:p>
    <w:p>
      <w:pPr>
        <w:jc w:val="both"/>
      </w:pPr>
      <w:r>
        <w:rPr>
          <w:sz w:val="20"/>
        </w:rPr>
        <w:t>Key observations:</w:t>
      </w:r>
    </w:p>
    <w:p>
      <w:pPr>
        <w:jc w:val="both"/>
      </w:pPr>
      <w:r>
        <w:rPr>
          <w:sz w:val="20"/>
        </w:rPr>
        <w:t xml:space="preserve">1. </w:t>
      </w:r>
      <w:r>
        <w:rPr>
          <w:b/>
          <w:sz w:val="20"/>
        </w:rPr>
        <w:t>April 21-May 4</w:t>
      </w:r>
      <w:r>
        <w:rPr>
          <w:sz w:val="20"/>
        </w:rPr>
        <w:t>: RSI ranged from 30.52 to 42.55, indicating persistent selling</w:t>
      </w:r>
    </w:p>
    <w:p>
      <w:pPr>
        <w:jc w:val="both"/>
      </w:pPr>
      <w:r>
        <w:rPr>
          <w:sz w:val="20"/>
        </w:rPr>
        <w:t xml:space="preserve">2. </w:t>
      </w:r>
      <w:r>
        <w:rPr>
          <w:b/>
          <w:sz w:val="20"/>
        </w:rPr>
        <w:t>May 11-12</w:t>
      </w:r>
      <w:r>
        <w:rPr>
          <w:sz w:val="20"/>
        </w:rPr>
        <w:t>: Brief rally to 48.67-48.83, the highest level in 30 days</w:t>
      </w:r>
    </w:p>
    <w:p>
      <w:pPr>
        <w:jc w:val="both"/>
      </w:pPr>
      <w:r>
        <w:rPr>
          <w:sz w:val="20"/>
        </w:rPr>
        <w:t xml:space="preserve">3. </w:t>
      </w:r>
      <w:r>
        <w:rPr>
          <w:b/>
          <w:sz w:val="20"/>
        </w:rPr>
        <w:t>May 13-21</w:t>
      </w:r>
      <w:r>
        <w:rPr>
          <w:sz w:val="20"/>
        </w:rPr>
        <w:t>: Renewed decline to 39.03, rejecting the 50 midpoint</w:t>
      </w:r>
    </w:p>
    <w:p>
      <w:pPr>
        <w:jc w:val="both"/>
      </w:pPr>
      <w:r>
        <w:rPr>
          <w:sz w:val="22"/>
        </w:rPr>
        <w:t xml:space="preserve">The current reading of 39.03 suggests the market is </w:t>
      </w:r>
      <w:r>
        <w:rPr>
          <w:b/>
          <w:sz w:val="22"/>
        </w:rPr>
        <w:t>moderately oversold but not extremely so</w:t>
      </w:r>
      <w:r>
        <w:rPr>
          <w:sz w:val="22"/>
        </w:rPr>
        <w:t xml:space="preserve">. Historically, CRASH50 has found short-term support when RSI approaches the 30 level, but the current reading leaves </w:t>
      </w:r>
      <w:r>
        <w:rPr>
          <w:b/>
          <w:sz w:val="22"/>
        </w:rPr>
        <w:t>room for further decline</w:t>
      </w:r>
      <w:r>
        <w:rPr>
          <w:sz w:val="22"/>
        </w:rPr>
        <w:t xml:space="preserve"> before reaching that threshold.</w:t>
      </w:r>
    </w:p>
    <w:p>
      <w:pPr>
        <w:jc w:val="both"/>
      </w:pPr>
      <w:r>
        <w:rPr>
          <w:b/>
          <w:sz w:val="22"/>
        </w:rPr>
        <w:t>Trading Insight:</w:t>
      </w:r>
      <w:r>
        <w:rPr>
          <w:sz w:val="22"/>
        </w:rPr>
        <w:t xml:space="preserve"> RSI suggests caution for aggressive short positions at current levels, but does not yet signal reversal conditions. Watch for RSI to fall below 30 for potential tactical long entries, or rise above 50 for confirmation of momentum shift.</w:t>
      </w:r>
    </w:p>
    <w:p>
      <w:pPr>
        <w:pBdr>
          <w:bottom w:val="single" w:sz="6" w:space="1" w:color="CCCCCC"/>
        </w:pBdr>
      </w:pPr>
    </w:p>
    <w:p>
      <w:pPr>
        <w:pStyle w:val="Heading4"/>
        <w:jc w:val="left"/>
      </w:pPr>
      <w:r>
        <w:rPr>
          <w:color w:val="502878"/>
          <w:sz w:val="22"/>
        </w:rPr>
        <w:t>**3. VOLATILITY ANALYSIS: Elevated Volatility with Bearish Bias**</w:t>
      </w:r>
    </w:p>
    <w:p>
      <w:pPr>
        <w:pStyle w:val="Heading4"/>
        <w:jc w:val="left"/>
      </w:pPr>
      <w:r>
        <w:rPr>
          <w:color w:val="502878"/>
          <w:sz w:val="22"/>
        </w:rPr>
        <w:t>**Bollinger Bands: Price Near Lower Band**</w:t>
      </w:r>
    </w:p>
    <w:p>
      <w:r>
        <w:rPr>
          <w:b/>
          <w:sz w:val="20"/>
        </w:rPr>
        <w:t>Position Analysis:</w:t>
      </w:r>
    </w:p>
    <w:p>
      <w:pPr>
        <w:jc w:val="both"/>
      </w:pPr>
      <w:r>
        <w:rPr>
          <w:sz w:val="20"/>
        </w:rPr>
        <w:t xml:space="preserve">Price is trading </w:t>
      </w:r>
      <w:r>
        <w:rPr>
          <w:b/>
          <w:sz w:val="20"/>
        </w:rPr>
        <w:t>132 points above the lower band</w:t>
      </w:r>
      <w:r>
        <w:rPr>
          <w:sz w:val="20"/>
        </w:rPr>
        <w:t xml:space="preserve"> (13.9% of total band width), indicating the market is in the lower quartile of its 20-day range. This positioning suggests:</w:t>
      </w:r>
    </w:p>
    <w:p>
      <w:pPr>
        <w:pStyle w:val="ListNumber"/>
      </w:pPr>
      <w:r>
        <w:rPr>
          <w:b/>
          <w:sz w:val="20"/>
        </w:rPr>
        <w:t>Near-term oversold conditions</w:t>
      </w:r>
      <w:r>
        <w:rPr>
          <w:sz w:val="20"/>
        </w:rPr>
        <w:t xml:space="preserve"> on a short-term basis</w:t>
      </w:r>
    </w:p>
    <w:p>
      <w:pPr>
        <w:pStyle w:val="ListNumber"/>
      </w:pPr>
      <w:r>
        <w:rPr>
          <w:b/>
          <w:sz w:val="20"/>
        </w:rPr>
        <w:t>Potential for bounce</w:t>
      </w:r>
      <w:r>
        <w:rPr>
          <w:sz w:val="20"/>
        </w:rPr>
        <w:t xml:space="preserve"> to the middle band (~97,698)</w:t>
      </w:r>
    </w:p>
    <w:p>
      <w:pPr>
        <w:pStyle w:val="ListNumber"/>
      </w:pPr>
      <w:r>
        <w:rPr>
          <w:b/>
          <w:sz w:val="20"/>
        </w:rPr>
        <w:t>Resistance at upper band</w:t>
      </w:r>
      <w:r>
        <w:rPr>
          <w:sz w:val="20"/>
        </w:rPr>
        <w:t xml:space="preserve"> remains a significant barrier at 98,170</w:t>
      </w:r>
    </w:p>
    <w:p>
      <w:r>
        <w:rPr>
          <w:b/>
          <w:sz w:val="20"/>
        </w:rPr>
        <w:t>Band Dynamics:</w:t>
      </w:r>
    </w:p>
    <w:p>
      <w:pPr>
        <w:jc w:val="both"/>
      </w:pPr>
      <w:r>
        <w:rPr>
          <w:sz w:val="20"/>
        </w:rPr>
        <w:t xml:space="preserve">The Bollinger Bands have been </w:t>
      </w:r>
      <w:r>
        <w:rPr>
          <w:b/>
          <w:sz w:val="20"/>
        </w:rPr>
        <w:t>narrowing</w:t>
      </w:r>
      <w:r>
        <w:rPr>
          <w:sz w:val="20"/>
        </w:rPr>
        <w:t xml:space="preserve"> since early May:</w:t>
      </w:r>
    </w:p>
    <w:p>
      <w:pPr>
        <w:jc w:val="both"/>
      </w:pPr>
      <w:r>
        <w:rPr>
          <w:sz w:val="20"/>
        </w:rPr>
        <w:t xml:space="preserve">- </w:t>
      </w:r>
      <w:r>
        <w:rPr>
          <w:b/>
          <w:sz w:val="20"/>
        </w:rPr>
        <w:t>May 1</w:t>
      </w:r>
      <w:r>
        <w:rPr>
          <w:sz w:val="20"/>
        </w:rPr>
        <w:t>: Band width = 1,607 points (Upper: 99,308, Lower: 97,701)</w:t>
      </w:r>
    </w:p>
    <w:p>
      <w:pPr>
        <w:jc w:val="both"/>
      </w:pPr>
      <w:r>
        <w:rPr>
          <w:sz w:val="20"/>
        </w:rPr>
        <w:t xml:space="preserve">- </w:t>
      </w:r>
      <w:r>
        <w:rPr>
          <w:b/>
          <w:sz w:val="20"/>
        </w:rPr>
        <w:t>May 21</w:t>
      </w:r>
      <w:r>
        <w:rPr>
          <w:sz w:val="20"/>
        </w:rPr>
        <w:t>: Band width = 944 points (Upper: 98,170, Lower: 97,226)</w:t>
      </w:r>
    </w:p>
    <w:p>
      <w:pPr>
        <w:jc w:val="both"/>
      </w:pPr>
      <w:r>
        <w:rPr>
          <w:sz w:val="20"/>
        </w:rPr>
        <w:t xml:space="preserve">- </w:t>
      </w:r>
      <w:r>
        <w:rPr>
          <w:b/>
          <w:sz w:val="20"/>
        </w:rPr>
        <w:t>Contraction</w:t>
      </w:r>
      <w:r>
        <w:rPr>
          <w:sz w:val="20"/>
        </w:rPr>
        <w:t>: -41.3%</w:t>
      </w:r>
    </w:p>
    <w:p>
      <w:pPr>
        <w:jc w:val="both"/>
      </w:pPr>
      <w:r>
        <w:rPr>
          <w:sz w:val="20"/>
        </w:rPr>
        <w:t xml:space="preserve">This </w:t>
      </w:r>
      <w:r>
        <w:rPr>
          <w:b/>
          <w:sz w:val="20"/>
        </w:rPr>
        <w:t>significant band contraction</w:t>
      </w:r>
      <w:r>
        <w:rPr>
          <w:sz w:val="20"/>
        </w:rPr>
        <w:t xml:space="preserve"> indicates </w:t>
      </w:r>
      <w:r>
        <w:rPr>
          <w:b/>
          <w:sz w:val="20"/>
        </w:rPr>
        <w:t>decreasing volatility</w:t>
      </w:r>
      <w:r>
        <w:rPr>
          <w:sz w:val="20"/>
        </w:rPr>
        <w:t xml:space="preserve"> and potential consolidation. In technical analysis, Bollinger Band squeezes often precede explosive moves. Given the prevailing downtrend, traders should be alert for:</w:t>
      </w:r>
    </w:p>
    <w:p>
      <w:pPr>
        <w:jc w:val="both"/>
      </w:pPr>
      <w:r>
        <w:rPr>
          <w:sz w:val="20"/>
        </w:rPr>
        <w:t xml:space="preserve">- </w:t>
      </w:r>
      <w:r>
        <w:rPr>
          <w:b/>
          <w:sz w:val="20"/>
        </w:rPr>
        <w:t>Bearish scenario:</w:t>
      </w:r>
      <w:r>
        <w:rPr>
          <w:sz w:val="20"/>
        </w:rPr>
        <w:t xml:space="preserve"> Breakdown below lower band (97,226) could trigger accelerated selling</w:t>
      </w:r>
    </w:p>
    <w:p>
      <w:pPr>
        <w:jc w:val="both"/>
      </w:pPr>
      <w:r>
        <w:rPr>
          <w:sz w:val="20"/>
        </w:rPr>
        <w:t xml:space="preserve">- </w:t>
      </w:r>
      <w:r>
        <w:rPr>
          <w:b/>
          <w:sz w:val="20"/>
        </w:rPr>
        <w:t>Bullish scenario:</w:t>
      </w:r>
      <w:r>
        <w:rPr>
          <w:sz w:val="20"/>
        </w:rPr>
        <w:t xml:space="preserve"> Bounce to middle band (97,698) would represent ~350-point recovery</w:t>
      </w:r>
    </w:p>
    <w:p>
      <w:pPr>
        <w:jc w:val="both"/>
      </w:pPr>
      <w:r>
        <w:rPr>
          <w:b/>
          <w:sz w:val="22"/>
        </w:rPr>
        <w:t>Critical Level:</w:t>
      </w:r>
      <w:r>
        <w:rPr>
          <w:sz w:val="22"/>
        </w:rPr>
        <w:t xml:space="preserve"> The lower Bollinger Band at 97,225 serves as immediate support. A decisive break below this level would signal renewed selling pressure.</w:t>
      </w:r>
    </w:p>
    <w:p>
      <w:pPr>
        <w:pStyle w:val="Heading4"/>
        <w:jc w:val="left"/>
      </w:pPr>
      <w:r>
        <w:rPr>
          <w:color w:val="502878"/>
          <w:sz w:val="22"/>
        </w:rPr>
        <w:t>**ATR: Elevated Volatility Persisting**</w:t>
      </w:r>
    </w:p>
    <w:p>
      <w:pPr>
        <w:jc w:val="both"/>
      </w:pPr>
      <w:r>
        <w:rPr>
          <w:sz w:val="22"/>
        </w:rPr>
        <w:t>The Average True Range measures volatility magnitude regardless of direction. Analyzing the 30-day ATR progression:</w:t>
      </w:r>
    </w:p>
    <w:p>
      <w:r>
        <w:rPr>
          <w:b/>
          <w:sz w:val="20"/>
        </w:rPr>
        <w:t>ATR Range:</w:t>
      </w:r>
    </w:p>
    <w:p>
      <w:pPr>
        <w:jc w:val="both"/>
      </w:pPr>
      <w:r>
        <w:rPr>
          <w:sz w:val="20"/>
        </w:rPr>
        <w:t xml:space="preserve">- </w:t>
      </w:r>
      <w:r>
        <w:rPr>
          <w:b/>
          <w:sz w:val="20"/>
        </w:rPr>
        <w:t>Highest:</w:t>
      </w:r>
      <w:r>
        <w:rPr>
          <w:sz w:val="20"/>
        </w:rPr>
        <w:t xml:space="preserve"> 359.76 (May 10)</w:t>
      </w:r>
    </w:p>
    <w:p>
      <w:pPr>
        <w:jc w:val="both"/>
      </w:pPr>
      <w:r>
        <w:rPr>
          <w:sz w:val="20"/>
        </w:rPr>
        <w:t xml:space="preserve">- </w:t>
      </w:r>
      <w:r>
        <w:rPr>
          <w:b/>
          <w:sz w:val="20"/>
        </w:rPr>
        <w:t>Lowest:</w:t>
      </w:r>
      <w:r>
        <w:rPr>
          <w:sz w:val="20"/>
        </w:rPr>
        <w:t xml:space="preserve"> 332.10 (April 30)</w:t>
      </w:r>
    </w:p>
    <w:p>
      <w:pPr>
        <w:jc w:val="both"/>
      </w:pPr>
      <w:r>
        <w:rPr>
          <w:sz w:val="20"/>
        </w:rPr>
        <w:t xml:space="preserve">- </w:t>
      </w:r>
      <w:r>
        <w:rPr>
          <w:b/>
          <w:sz w:val="20"/>
        </w:rPr>
        <w:t>Average:</w:t>
      </w:r>
      <w:r>
        <w:rPr>
          <w:sz w:val="20"/>
        </w:rPr>
        <w:t xml:space="preserve"> ~341.53</w:t>
      </w:r>
    </w:p>
    <w:p>
      <w:pPr>
        <w:jc w:val="both"/>
      </w:pPr>
      <w:r>
        <w:rPr>
          <w:sz w:val="20"/>
        </w:rPr>
        <w:t xml:space="preserve">- </w:t>
      </w:r>
      <w:r>
        <w:rPr>
          <w:b/>
          <w:sz w:val="20"/>
        </w:rPr>
        <w:t>Current:</w:t>
      </w:r>
      <w:r>
        <w:rPr>
          <w:sz w:val="20"/>
        </w:rPr>
        <w:t xml:space="preserve"> 334.91</w:t>
      </w:r>
    </w:p>
    <w:p>
      <w:r>
        <w:rPr>
          <w:b/>
          <w:sz w:val="20"/>
        </w:rPr>
        <w:t>Insights:</w:t>
      </w:r>
    </w:p>
    <w:p>
      <w:pPr>
        <w:jc w:val="both"/>
      </w:pPr>
      <w:r>
        <w:rPr>
          <w:sz w:val="20"/>
        </w:rPr>
        <w:t xml:space="preserve">1. ATR has remained elevated above </w:t>
      </w:r>
      <w:r>
        <w:rPr>
          <w:b/>
          <w:sz w:val="20"/>
        </w:rPr>
        <w:t>330 points</w:t>
      </w:r>
      <w:r>
        <w:rPr>
          <w:sz w:val="20"/>
        </w:rPr>
        <w:t xml:space="preserve"> throughout the period</w:t>
      </w:r>
    </w:p>
    <w:p>
      <w:pPr>
        <w:jc w:val="both"/>
      </w:pPr>
      <w:r>
        <w:rPr>
          <w:sz w:val="20"/>
        </w:rPr>
        <w:t xml:space="preserve">2. </w:t>
      </w:r>
      <w:r>
        <w:rPr>
          <w:b/>
          <w:sz w:val="20"/>
        </w:rPr>
        <w:t>Peak volatility</w:t>
      </w:r>
      <w:r>
        <w:rPr>
          <w:sz w:val="20"/>
        </w:rPr>
        <w:t xml:space="preserve"> occurred May 10 (359.76), coinciding with a brief rally attempt</w:t>
      </w:r>
    </w:p>
    <w:p>
      <w:pPr>
        <w:jc w:val="both"/>
      </w:pPr>
      <w:r>
        <w:rPr>
          <w:sz w:val="20"/>
        </w:rPr>
        <w:t xml:space="preserve">3. Current reading (334.91) is near the </w:t>
      </w:r>
      <w:r>
        <w:rPr>
          <w:b/>
          <w:sz w:val="20"/>
        </w:rPr>
        <w:t>lower end</w:t>
      </w:r>
      <w:r>
        <w:rPr>
          <w:sz w:val="20"/>
        </w:rPr>
        <w:t xml:space="preserve"> of the recent range</w:t>
      </w:r>
    </w:p>
    <w:p>
      <w:pPr>
        <w:jc w:val="both"/>
      </w:pPr>
      <w:r>
        <w:rPr>
          <w:sz w:val="22"/>
        </w:rPr>
        <w:t xml:space="preserve">The relatively stable ATR in the 330-360 range indicates </w:t>
      </w:r>
      <w:r>
        <w:rPr>
          <w:b/>
          <w:sz w:val="22"/>
        </w:rPr>
        <w:t>consistent volatility</w:t>
      </w:r>
      <w:r>
        <w:rPr>
          <w:sz w:val="22"/>
        </w:rPr>
        <w:t xml:space="preserve"> without extreme spikes. For CRASH50, which is designed to simulate crash behavior, this elevated ATR is characteristic but not extreme.</w:t>
      </w:r>
    </w:p>
    <w:p>
      <w:r>
        <w:rPr>
          <w:b/>
          <w:sz w:val="20"/>
        </w:rPr>
        <w:t>Risk Management Application:</w:t>
      </w:r>
    </w:p>
    <w:p>
      <w:pPr>
        <w:jc w:val="both"/>
      </w:pPr>
      <w:r>
        <w:rPr>
          <w:sz w:val="20"/>
        </w:rPr>
        <w:t>With ATR at 334.91, traders should consider:</w:t>
      </w:r>
    </w:p>
    <w:p>
      <w:pPr>
        <w:jc w:val="both"/>
      </w:pPr>
      <w:r>
        <w:rPr>
          <w:sz w:val="20"/>
        </w:rPr>
        <w:t xml:space="preserve">- </w:t>
      </w:r>
      <w:r>
        <w:rPr>
          <w:b/>
          <w:sz w:val="20"/>
        </w:rPr>
        <w:t>Stop Loss Placement:</w:t>
      </w:r>
      <w:r>
        <w:rPr>
          <w:sz w:val="20"/>
        </w:rPr>
        <w:t xml:space="preserve"> 1.5x ATR = ~502 points; 2x ATR = ~670 points</w:t>
      </w:r>
    </w:p>
    <w:p>
      <w:pPr>
        <w:jc w:val="both"/>
      </w:pPr>
      <w:r>
        <w:rPr>
          <w:sz w:val="20"/>
        </w:rPr>
        <w:t xml:space="preserve">- </w:t>
      </w:r>
      <w:r>
        <w:rPr>
          <w:b/>
          <w:sz w:val="20"/>
        </w:rPr>
        <w:t>Position Sizing:</w:t>
      </w:r>
      <w:r>
        <w:rPr>
          <w:sz w:val="20"/>
        </w:rPr>
        <w:t xml:space="preserve"> Reduce position size given elevated volatility</w:t>
      </w:r>
    </w:p>
    <w:p>
      <w:pPr>
        <w:jc w:val="both"/>
      </w:pPr>
      <w:r>
        <w:rPr>
          <w:sz w:val="20"/>
        </w:rPr>
        <w:t xml:space="preserve">- </w:t>
      </w:r>
      <w:r>
        <w:rPr>
          <w:b/>
          <w:sz w:val="20"/>
        </w:rPr>
        <w:t>Profit Targets:</w:t>
      </w:r>
      <w:r>
        <w:rPr>
          <w:sz w:val="20"/>
        </w:rPr>
        <w:t xml:space="preserve"> Short-term targets of 335-500 points are reasonable given daily ranges</w:t>
      </w:r>
    </w:p>
    <w:p>
      <w:pPr>
        <w:pBdr>
          <w:bottom w:val="single" w:sz="6" w:space="1" w:color="CCCCCC"/>
        </w:pBdr>
      </w:pPr>
    </w:p>
    <w:p>
      <w:pPr>
        <w:pStyle w:val="Heading4"/>
        <w:jc w:val="left"/>
      </w:pPr>
      <w:r>
        <w:rPr>
          <w:color w:val="502878"/>
          <w:sz w:val="22"/>
        </w:rPr>
        <w:t>**4. SUPPORT AND RESISTANCE LEVELS**</w:t>
      </w:r>
    </w:p>
    <w:p>
      <w:pPr>
        <w:pStyle w:val="Heading4"/>
        <w:jc w:val="left"/>
      </w:pPr>
      <w:r>
        <w:rPr>
          <w:color w:val="502878"/>
          <w:sz w:val="22"/>
        </w:rPr>
        <w:t>**Immediate Support Levels:**</w:t>
      </w:r>
    </w:p>
    <w:p>
      <w:pPr>
        <w:pStyle w:val="Heading4"/>
        <w:jc w:val="left"/>
      </w:pPr>
      <w:r>
        <w:rPr>
          <w:color w:val="502878"/>
          <w:sz w:val="22"/>
        </w:rPr>
        <w:t>**Immediate Resistance Levels:**</w:t>
      </w:r>
    </w:p>
    <w:p>
      <w:pPr>
        <w:pStyle w:val="Heading4"/>
        <w:jc w:val="left"/>
      </w:pPr>
      <w:r>
        <w:rPr>
          <w:color w:val="502878"/>
          <w:sz w:val="22"/>
        </w:rPr>
        <w:t>**Critical Price Zones:**</w:t>
      </w:r>
    </w:p>
    <w:p>
      <w:pPr>
        <w:pBdr>
          <w:bottom w:val="single" w:sz="6" w:space="1" w:color="CCCCCC"/>
        </w:pBdr>
      </w:pPr>
    </w:p>
    <w:p>
      <w:pPr>
        <w:pStyle w:val="Heading4"/>
        <w:jc w:val="left"/>
      </w:pPr>
      <w:r>
        <w:rPr>
          <w:color w:val="502878"/>
          <w:sz w:val="22"/>
        </w:rPr>
        <w:t>**5. PRICE ACTION PATTERNS**</w:t>
      </w:r>
    </w:p>
    <w:p>
      <w:pPr>
        <w:pStyle w:val="Heading4"/>
        <w:jc w:val="left"/>
      </w:pPr>
      <w:r>
        <w:rPr>
          <w:color w:val="502878"/>
          <w:sz w:val="22"/>
        </w:rPr>
        <w:t>**Recent Price Behavior (May 1-21):**</w:t>
      </w:r>
    </w:p>
    <w:p>
      <w:pPr>
        <w:jc w:val="both"/>
      </w:pPr>
      <w:r>
        <w:rPr>
          <w:sz w:val="22"/>
        </w:rPr>
        <w:t xml:space="preserve">The price action reveals a </w:t>
      </w:r>
      <w:r>
        <w:rPr>
          <w:b/>
          <w:sz w:val="22"/>
        </w:rPr>
        <w:t>clear distribution pattern</w:t>
      </w:r>
      <w:r>
        <w:rPr>
          <w:sz w:val="22"/>
        </w:rPr>
        <w:t xml:space="preserve"> with progressive lower highs:</w:t>
      </w:r>
    </w:p>
    <w:p>
      <w:r>
        <w:rPr>
          <w:b/>
          <w:sz w:val="20"/>
        </w:rPr>
        <w:t>High Points:</w:t>
      </w:r>
    </w:p>
    <w:p>
      <w:pPr>
        <w:jc w:val="both"/>
      </w:pPr>
      <w:r>
        <w:rPr>
          <w:sz w:val="20"/>
        </w:rPr>
        <w:t xml:space="preserve">- </w:t>
      </w:r>
      <w:r>
        <w:rPr>
          <w:b/>
          <w:sz w:val="20"/>
        </w:rPr>
        <w:t>May 1:</w:t>
      </w:r>
      <w:r>
        <w:rPr>
          <w:sz w:val="20"/>
        </w:rPr>
        <w:t xml:space="preserve"> 98,212 (start of decline)</w:t>
      </w:r>
    </w:p>
    <w:p>
      <w:pPr>
        <w:jc w:val="both"/>
      </w:pPr>
      <w:r>
        <w:rPr>
          <w:sz w:val="20"/>
        </w:rPr>
        <w:t xml:space="preserve">- </w:t>
      </w:r>
      <w:r>
        <w:rPr>
          <w:b/>
          <w:sz w:val="20"/>
        </w:rPr>
        <w:t>May 11:</w:t>
      </w:r>
      <w:r>
        <w:rPr>
          <w:sz w:val="20"/>
        </w:rPr>
        <w:t xml:space="preserve"> 98,224 (failed retest)</w:t>
      </w:r>
    </w:p>
    <w:p>
      <w:pPr>
        <w:jc w:val="both"/>
      </w:pPr>
      <w:r>
        <w:rPr>
          <w:sz w:val="20"/>
        </w:rPr>
        <w:t xml:space="preserve">- </w:t>
      </w:r>
      <w:r>
        <w:rPr>
          <w:b/>
          <w:sz w:val="20"/>
        </w:rPr>
        <w:t>May 18:</w:t>
      </w:r>
      <w:r>
        <w:rPr>
          <w:sz w:val="20"/>
        </w:rPr>
        <w:t xml:space="preserve"> 97,687 (lower high)</w:t>
      </w:r>
    </w:p>
    <w:p>
      <w:r>
        <w:rPr>
          <w:b/>
          <w:sz w:val="20"/>
        </w:rPr>
        <w:t>Low Points:</w:t>
      </w:r>
    </w:p>
    <w:p>
      <w:pPr>
        <w:jc w:val="both"/>
      </w:pPr>
      <w:r>
        <w:rPr>
          <w:sz w:val="20"/>
        </w:rPr>
        <w:t xml:space="preserve">- </w:t>
      </w:r>
      <w:r>
        <w:rPr>
          <w:b/>
          <w:sz w:val="20"/>
        </w:rPr>
        <w:t>May 1:</w:t>
      </w:r>
      <w:r>
        <w:rPr>
          <w:sz w:val="20"/>
        </w:rPr>
        <w:t xml:space="preserve"> 97,597 (breakdown level)</w:t>
      </w:r>
    </w:p>
    <w:p>
      <w:pPr>
        <w:jc w:val="both"/>
      </w:pPr>
      <w:r>
        <w:rPr>
          <w:sz w:val="20"/>
        </w:rPr>
        <w:t xml:space="preserve">- </w:t>
      </w:r>
      <w:r>
        <w:rPr>
          <w:b/>
          <w:sz w:val="20"/>
        </w:rPr>
        <w:t>May 15:</w:t>
      </w:r>
      <w:r>
        <w:rPr>
          <w:sz w:val="20"/>
        </w:rPr>
        <w:t xml:space="preserve"> 97,262 (current cycle low)</w:t>
      </w:r>
    </w:p>
    <w:p>
      <w:pPr>
        <w:jc w:val="both"/>
      </w:pPr>
      <w:r>
        <w:rPr>
          <w:sz w:val="20"/>
        </w:rPr>
        <w:t xml:space="preserve">- </w:t>
      </w:r>
      <w:r>
        <w:rPr>
          <w:b/>
          <w:sz w:val="20"/>
        </w:rPr>
        <w:t>May 21:</w:t>
      </w:r>
      <w:r>
        <w:rPr>
          <w:sz w:val="20"/>
        </w:rPr>
        <w:t xml:space="preserve"> 97,303 (recent low)</w:t>
      </w:r>
    </w:p>
    <w:p>
      <w:pPr>
        <w:jc w:val="both"/>
      </w:pPr>
      <w:r>
        <w:rPr>
          <w:sz w:val="22"/>
        </w:rPr>
        <w:t xml:space="preserve">The pattern shows </w:t>
      </w:r>
      <w:r>
        <w:rPr>
          <w:b/>
          <w:sz w:val="22"/>
        </w:rPr>
        <w:t>lower highs and lower lows</w:t>
      </w:r>
      <w:r>
        <w:rPr>
          <w:sz w:val="22"/>
        </w:rPr>
        <w:t>, textbook bearish price structure. Each rally attempt has been met with selling pressure, preventing any sustained recovery.</w:t>
      </w:r>
    </w:p>
    <w:p>
      <w:pPr>
        <w:pStyle w:val="Heading4"/>
        <w:jc w:val="left"/>
      </w:pPr>
      <w:r>
        <w:rPr>
          <w:color w:val="502878"/>
          <w:sz w:val="22"/>
        </w:rPr>
        <w:t>**Volume Characteristics:**</w:t>
      </w:r>
    </w:p>
    <w:p>
      <w:pPr>
        <w:pBdr>
          <w:bottom w:val="single" w:sz="6" w:space="1" w:color="CCCCCC"/>
        </w:pBdr>
      </w:pPr>
    </w:p>
    <w:p>
      <w:pPr>
        <w:pStyle w:val="Heading3"/>
        <w:jc w:val="left"/>
      </w:pPr>
      <w:r>
        <w:rPr>
          <w:color w:val="502878"/>
          <w:sz w:val="24"/>
        </w:rPr>
        <w:t>**COMPARATIVE CONTEXT: Historical Perspective**</w:t>
      </w:r>
    </w:p>
    <w:p>
      <w:pPr>
        <w:jc w:val="both"/>
      </w:pPr>
      <w:r>
        <w:rPr>
          <w:sz w:val="22"/>
        </w:rPr>
        <w:t>Examining the full dataset (November 2024 - May 2026):</w:t>
      </w:r>
    </w:p>
    <w:p>
      <w:r>
        <w:rPr>
          <w:b/>
          <w:sz w:val="20"/>
        </w:rPr>
        <w:t>Historical Highs:</w:t>
      </w:r>
    </w:p>
    <w:p>
      <w:pPr>
        <w:jc w:val="both"/>
      </w:pPr>
      <w:r>
        <w:rPr>
          <w:sz w:val="20"/>
        </w:rPr>
        <w:t xml:space="preserve">- </w:t>
      </w:r>
      <w:r>
        <w:rPr>
          <w:b/>
          <w:sz w:val="20"/>
        </w:rPr>
        <w:t>January 7, 2026:</w:t>
      </w:r>
      <w:r>
        <w:rPr>
          <w:sz w:val="20"/>
        </w:rPr>
        <w:t xml:space="preserve"> 99,771.24</w:t>
      </w:r>
    </w:p>
    <w:p>
      <w:pPr>
        <w:jc w:val="both"/>
      </w:pPr>
      <w:r>
        <w:rPr>
          <w:sz w:val="20"/>
        </w:rPr>
        <w:t xml:space="preserve">- </w:t>
      </w:r>
      <w:r>
        <w:rPr>
          <w:b/>
          <w:sz w:val="20"/>
        </w:rPr>
        <w:t>February 18, 2026:</w:t>
      </w:r>
      <w:r>
        <w:rPr>
          <w:sz w:val="20"/>
        </w:rPr>
        <w:t xml:space="preserve"> 100,532.90 (all-time high in dataset)</w:t>
      </w:r>
    </w:p>
    <w:p>
      <w:pPr>
        <w:jc w:val="both"/>
      </w:pPr>
      <w:r>
        <w:rPr>
          <w:sz w:val="20"/>
        </w:rPr>
        <w:t xml:space="preserve">- </w:t>
      </w:r>
      <w:r>
        <w:rPr>
          <w:b/>
          <w:sz w:val="20"/>
        </w:rPr>
        <w:t>February 21, 2026:</w:t>
      </w:r>
      <w:r>
        <w:rPr>
          <w:sz w:val="20"/>
        </w:rPr>
        <w:t xml:space="preserve"> 100,516.29</w:t>
      </w:r>
    </w:p>
    <w:p>
      <w:r>
        <w:rPr>
          <w:b/>
          <w:sz w:val="20"/>
        </w:rPr>
        <w:t>Current Position:</w:t>
      </w:r>
    </w:p>
    <w:p>
      <w:pPr>
        <w:jc w:val="both"/>
      </w:pPr>
      <w:r>
        <w:rPr>
          <w:sz w:val="20"/>
        </w:rPr>
        <w:t xml:space="preserve">- Price has declined </w:t>
      </w:r>
      <w:r>
        <w:rPr>
          <w:b/>
          <w:sz w:val="20"/>
        </w:rPr>
        <w:t>-3,175 points (-3.16%)</w:t>
      </w:r>
      <w:r>
        <w:rPr>
          <w:sz w:val="20"/>
        </w:rPr>
        <w:t xml:space="preserve"> from the February 18 high</w:t>
      </w:r>
    </w:p>
    <w:p>
      <w:pPr>
        <w:jc w:val="both"/>
      </w:pPr>
      <w:r>
        <w:rPr>
          <w:sz w:val="20"/>
        </w:rPr>
        <w:t xml:space="preserve">- Price is at </w:t>
      </w:r>
      <w:r>
        <w:rPr>
          <w:b/>
          <w:sz w:val="20"/>
        </w:rPr>
        <w:t>lowest levels since early December 2025</w:t>
      </w:r>
    </w:p>
    <w:p>
      <w:pPr>
        <w:jc w:val="both"/>
      </w:pPr>
      <w:r>
        <w:rPr>
          <w:b/>
          <w:sz w:val="22"/>
        </w:rPr>
        <w:t>Context:</w:t>
      </w:r>
      <w:r>
        <w:rPr>
          <w:sz w:val="22"/>
        </w:rPr>
        <w:t xml:space="preserve"> The current weakness represents a significant retracement of the late 2025/early 2026 rally. Price has essentially given back all gains from mid-March through February, returning to December 2025 levels.</w:t>
      </w:r>
    </w:p>
    <w:p>
      <w:pPr>
        <w:pBdr>
          <w:bottom w:val="single" w:sz="6" w:space="1" w:color="CCCCCC"/>
        </w:pBdr>
      </w:pPr>
    </w:p>
    <w:p>
      <w:pPr>
        <w:pStyle w:val="Heading3"/>
        <w:jc w:val="left"/>
      </w:pPr>
      <w:r>
        <w:rPr>
          <w:color w:val="502878"/>
          <w:sz w:val="24"/>
        </w:rPr>
        <w:t>**SCENARIO ANALYSIS**</w:t>
      </w:r>
    </w:p>
    <w:p>
      <w:pPr>
        <w:pStyle w:val="Heading4"/>
        <w:jc w:val="left"/>
      </w:pPr>
      <w:r>
        <w:rPr>
          <w:color w:val="502878"/>
          <w:sz w:val="22"/>
        </w:rPr>
        <w:t>**Bearish Scenario (65% Probability)**</w:t>
      </w:r>
    </w:p>
    <w:p>
      <w:r>
        <w:rPr>
          <w:b/>
          <w:sz w:val="20"/>
        </w:rPr>
        <w:t>Expected Targets:</w:t>
      </w:r>
    </w:p>
    <w:p>
      <w:pPr>
        <w:jc w:val="both"/>
      </w:pPr>
      <w:r>
        <w:rPr>
          <w:sz w:val="20"/>
        </w:rPr>
        <w:t xml:space="preserve">1. </w:t>
      </w:r>
      <w:r>
        <w:rPr>
          <w:b/>
          <w:sz w:val="20"/>
        </w:rPr>
        <w:t>97,000</w:t>
      </w:r>
      <w:r>
        <w:rPr>
          <w:sz w:val="20"/>
        </w:rPr>
        <w:t xml:space="preserve"> - Psychological support (-357 points, -0.37%)</w:t>
      </w:r>
    </w:p>
    <w:p>
      <w:pPr>
        <w:jc w:val="both"/>
      </w:pPr>
      <w:r>
        <w:rPr>
          <w:sz w:val="20"/>
        </w:rPr>
        <w:t xml:space="preserve">2. </w:t>
      </w:r>
      <w:r>
        <w:rPr>
          <w:b/>
          <w:sz w:val="20"/>
        </w:rPr>
        <w:t>96,500</w:t>
      </w:r>
      <w:r>
        <w:rPr>
          <w:sz w:val="20"/>
        </w:rPr>
        <w:t xml:space="preserve"> - Extension target (-857 points, -0.88%)</w:t>
      </w:r>
    </w:p>
    <w:p>
      <w:pPr>
        <w:jc w:val="both"/>
      </w:pPr>
      <w:r>
        <w:rPr>
          <w:sz w:val="20"/>
        </w:rPr>
        <w:t xml:space="preserve">3. </w:t>
      </w:r>
      <w:r>
        <w:rPr>
          <w:b/>
          <w:sz w:val="20"/>
        </w:rPr>
        <w:t>96,000</w:t>
      </w:r>
      <w:r>
        <w:rPr>
          <w:sz w:val="20"/>
        </w:rPr>
        <w:t xml:space="preserve"> - Major support zone (-1,357 points, -1.39%)</w:t>
      </w:r>
    </w:p>
    <w:p>
      <w:r>
        <w:rPr>
          <w:b/>
          <w:sz w:val="20"/>
        </w:rPr>
        <w:t>Triggers:</w:t>
      </w:r>
    </w:p>
    <w:p>
      <w:pPr>
        <w:jc w:val="both"/>
      </w:pPr>
      <w:r>
        <w:rPr>
          <w:sz w:val="20"/>
        </w:rPr>
        <w:t>- RSI drops below 30</w:t>
      </w:r>
    </w:p>
    <w:p>
      <w:pPr>
        <w:jc w:val="both"/>
      </w:pPr>
      <w:r>
        <w:rPr>
          <w:sz w:val="20"/>
        </w:rPr>
        <w:t>- MACD continues decline below -250</w:t>
      </w:r>
    </w:p>
    <w:p>
      <w:pPr>
        <w:jc w:val="both"/>
      </w:pPr>
      <w:r>
        <w:rPr>
          <w:sz w:val="20"/>
        </w:rPr>
        <w:t>- Daily close below 97,200</w:t>
      </w:r>
    </w:p>
    <w:p>
      <w:pPr>
        <w:jc w:val="both"/>
      </w:pPr>
      <w:r>
        <w:rPr>
          <w:b/>
          <w:sz w:val="22"/>
        </w:rPr>
        <w:t>Trading Strategy:</w:t>
      </w:r>
      <w:r>
        <w:rPr>
          <w:sz w:val="22"/>
        </w:rPr>
        <w:t xml:space="preserve"> Wait for breakdown confirmation, enter short on retest of 97,225, target 96,500-97,000 with stops above 97,600.</w:t>
      </w:r>
    </w:p>
    <w:p>
      <w:pPr>
        <w:pStyle w:val="Heading4"/>
        <w:jc w:val="left"/>
      </w:pPr>
      <w:r>
        <w:rPr>
          <w:color w:val="502878"/>
          <w:sz w:val="22"/>
        </w:rPr>
        <w:t>**Consolidation Scenario (25% Probability)**</w:t>
      </w:r>
    </w:p>
    <w:p>
      <w:r>
        <w:rPr>
          <w:b/>
          <w:sz w:val="20"/>
        </w:rPr>
        <w:t>Expected Behavior:</w:t>
      </w:r>
    </w:p>
    <w:p>
      <w:pPr>
        <w:jc w:val="both"/>
      </w:pPr>
      <w:r>
        <w:rPr>
          <w:sz w:val="20"/>
        </w:rPr>
        <w:t>- Rangebound trading for 5-10 sessions</w:t>
      </w:r>
    </w:p>
    <w:p>
      <w:pPr>
        <w:jc w:val="both"/>
      </w:pPr>
      <w:r>
        <w:rPr>
          <w:sz w:val="20"/>
        </w:rPr>
        <w:t>- Bollinger Bands continue to contract</w:t>
      </w:r>
    </w:p>
    <w:p>
      <w:pPr>
        <w:jc w:val="both"/>
      </w:pPr>
      <w:r>
        <w:rPr>
          <w:sz w:val="20"/>
        </w:rPr>
        <w:t>- RSI oscillates between 35-45</w:t>
      </w:r>
    </w:p>
    <w:p>
      <w:pPr>
        <w:jc w:val="both"/>
      </w:pPr>
      <w:r>
        <w:rPr>
          <w:sz w:val="20"/>
        </w:rPr>
        <w:t>- MACD remains negative but stabilizes</w:t>
      </w:r>
    </w:p>
    <w:p>
      <w:pPr>
        <w:jc w:val="both"/>
      </w:pPr>
      <w:r>
        <w:rPr>
          <w:b/>
          <w:sz w:val="22"/>
        </w:rPr>
        <w:t>Trading Strategy:</w:t>
      </w:r>
      <w:r>
        <w:rPr>
          <w:sz w:val="22"/>
        </w:rPr>
        <w:t xml:space="preserve"> Range trading tactics - sell resistance (97,700-97,800), buy support (97,200-97,300) with tight stops. Await breakout direction.</w:t>
      </w:r>
    </w:p>
    <w:p>
      <w:pPr>
        <w:pStyle w:val="Heading4"/>
        <w:jc w:val="left"/>
      </w:pPr>
      <w:r>
        <w:rPr>
          <w:color w:val="502878"/>
          <w:sz w:val="22"/>
        </w:rPr>
        <w:t>**Bullish Reversal Scenario (10% Probability)**</w:t>
      </w:r>
    </w:p>
    <w:p>
      <w:r>
        <w:rPr>
          <w:b/>
          <w:sz w:val="20"/>
        </w:rPr>
        <w:t>Required Confirmations:</w:t>
      </w:r>
    </w:p>
    <w:p>
      <w:pPr>
        <w:jc w:val="both"/>
      </w:pPr>
      <w:r>
        <w:rPr>
          <w:sz w:val="20"/>
        </w:rPr>
        <w:t>- RSI rises above 50</w:t>
      </w:r>
    </w:p>
    <w:p>
      <w:pPr>
        <w:jc w:val="both"/>
      </w:pPr>
      <w:r>
        <w:rPr>
          <w:sz w:val="20"/>
        </w:rPr>
        <w:t>- MACD begins positive divergence</w:t>
      </w:r>
    </w:p>
    <w:p>
      <w:pPr>
        <w:jc w:val="both"/>
      </w:pPr>
      <w:r>
        <w:rPr>
          <w:sz w:val="20"/>
        </w:rPr>
        <w:t>- Price closes above 10 EMA (97,589)</w:t>
      </w:r>
    </w:p>
    <w:p>
      <w:pPr>
        <w:jc w:val="both"/>
      </w:pPr>
      <w:r>
        <w:rPr>
          <w:sz w:val="20"/>
        </w:rPr>
        <w:t>- Volume/momentum increase on rally</w:t>
      </w:r>
    </w:p>
    <w:p>
      <w:r>
        <w:rPr>
          <w:b/>
          <w:sz w:val="20"/>
        </w:rPr>
        <w:t>Targets:</w:t>
      </w:r>
    </w:p>
    <w:p>
      <w:pPr>
        <w:jc w:val="both"/>
      </w:pPr>
      <w:r>
        <w:rPr>
          <w:sz w:val="20"/>
        </w:rPr>
        <w:t xml:space="preserve">1. </w:t>
      </w:r>
      <w:r>
        <w:rPr>
          <w:b/>
          <w:sz w:val="20"/>
        </w:rPr>
        <w:t>98,170</w:t>
      </w:r>
      <w:r>
        <w:rPr>
          <w:sz w:val="20"/>
        </w:rPr>
        <w:t xml:space="preserve"> - Upper Bollinger Band (+813 points)</w:t>
      </w:r>
    </w:p>
    <w:p>
      <w:pPr>
        <w:jc w:val="both"/>
      </w:pPr>
      <w:r>
        <w:rPr>
          <w:sz w:val="20"/>
        </w:rPr>
        <w:t xml:space="preserve">2. </w:t>
      </w:r>
      <w:r>
        <w:rPr>
          <w:b/>
          <w:sz w:val="20"/>
        </w:rPr>
        <w:t>98,316</w:t>
      </w:r>
      <w:r>
        <w:rPr>
          <w:sz w:val="20"/>
        </w:rPr>
        <w:t xml:space="preserve"> - 50-day SMA (+959 points)</w:t>
      </w:r>
    </w:p>
    <w:p>
      <w:pPr>
        <w:jc w:val="both"/>
      </w:pPr>
      <w:r>
        <w:rPr>
          <w:sz w:val="20"/>
        </w:rPr>
        <w:t xml:space="preserve">3. </w:t>
      </w:r>
      <w:r>
        <w:rPr>
          <w:b/>
          <w:sz w:val="20"/>
        </w:rPr>
        <w:t>98,600</w:t>
      </w:r>
      <w:r>
        <w:rPr>
          <w:sz w:val="20"/>
        </w:rPr>
        <w:t xml:space="preserve"> - Next resistance zone</w:t>
      </w:r>
    </w:p>
    <w:p>
      <w:pPr>
        <w:jc w:val="both"/>
      </w:pPr>
      <w:r>
        <w:rPr>
          <w:b/>
          <w:sz w:val="22"/>
        </w:rPr>
        <w:t>Trading Strategy:</w:t>
      </w:r>
      <w:r>
        <w:rPr>
          <w:sz w:val="22"/>
        </w:rPr>
        <w:t xml:space="preserve"> Only consider longs if price closes above 97,700 with RSI &gt;50. Initial target 98,170, extended target 98,600 if momentum continues.</w:t>
      </w:r>
    </w:p>
    <w:p>
      <w:pPr>
        <w:pBdr>
          <w:bottom w:val="single" w:sz="6" w:space="1" w:color="CCCCCC"/>
        </w:pBdr>
      </w:pPr>
    </w:p>
    <w:p>
      <w:pPr>
        <w:pStyle w:val="Heading3"/>
        <w:jc w:val="left"/>
      </w:pPr>
      <w:r>
        <w:rPr>
          <w:color w:val="502878"/>
          <w:sz w:val="24"/>
        </w:rPr>
        <w:t>**RISK FACTORS &amp; CONSIDERATIONS**</w:t>
      </w:r>
    </w:p>
    <w:p>
      <w:pPr>
        <w:pStyle w:val="Heading4"/>
        <w:jc w:val="left"/>
      </w:pPr>
      <w:r>
        <w:rPr>
          <w:color w:val="502878"/>
          <w:sz w:val="22"/>
        </w:rPr>
        <w:t>**Synthetic Index Characteristics:**</w:t>
      </w:r>
    </w:p>
    <w:p>
      <w:pPr>
        <w:pStyle w:val="Heading4"/>
        <w:jc w:val="left"/>
      </w:pPr>
      <w:r>
        <w:rPr>
          <w:color w:val="502878"/>
          <w:sz w:val="22"/>
        </w:rPr>
        <w:t>**Current Market Structure:**</w:t>
      </w:r>
    </w:p>
    <w:p>
      <w:pPr>
        <w:pBdr>
          <w:bottom w:val="single" w:sz="6" w:space="1" w:color="CCCCCC"/>
        </w:pBdr>
      </w:pPr>
    </w:p>
    <w:p>
      <w:pPr>
        <w:pStyle w:val="Heading3"/>
        <w:jc w:val="left"/>
      </w:pPr>
      <w:r>
        <w:rPr>
          <w:color w:val="502878"/>
          <w:sz w:val="24"/>
        </w:rPr>
        <w:t>**TRADING RECOMMENDATIONS**</w:t>
      </w:r>
    </w:p>
    <w:p>
      <w:pPr>
        <w:pStyle w:val="Heading4"/>
        <w:jc w:val="left"/>
      </w:pPr>
      <w:r>
        <w:rPr>
          <w:color w:val="502878"/>
          <w:sz w:val="22"/>
        </w:rPr>
        <w:t>**For Short-Term Traders (1-5 days):**</w:t>
      </w:r>
    </w:p>
    <w:p>
      <w:r>
        <w:rPr>
          <w:b/>
          <w:sz w:val="20"/>
        </w:rPr>
        <w:t>PRIMARY STRATEGY: Sell rallies</w:t>
      </w:r>
    </w:p>
    <w:p>
      <w:pPr>
        <w:jc w:val="both"/>
      </w:pPr>
      <w:r>
        <w:rPr>
          <w:sz w:val="20"/>
        </w:rPr>
        <w:t xml:space="preserve">- </w:t>
      </w:r>
      <w:r>
        <w:rPr>
          <w:b/>
          <w:sz w:val="20"/>
        </w:rPr>
        <w:t>Entry Zone:</w:t>
      </w:r>
      <w:r>
        <w:rPr>
          <w:sz w:val="20"/>
        </w:rPr>
        <w:t xml:space="preserve"> 97,580-97,700 (10 EMA to middle Bollinger Band)</w:t>
      </w:r>
    </w:p>
    <w:p>
      <w:pPr>
        <w:jc w:val="both"/>
      </w:pPr>
      <w:r>
        <w:rPr>
          <w:sz w:val="20"/>
        </w:rPr>
        <w:t xml:space="preserve">- </w:t>
      </w:r>
      <w:r>
        <w:rPr>
          <w:b/>
          <w:sz w:val="20"/>
        </w:rPr>
        <w:t>Stop Loss:</w:t>
      </w:r>
      <w:r>
        <w:rPr>
          <w:sz w:val="20"/>
        </w:rPr>
        <w:t xml:space="preserve"> 97,900 (above recent highs, ~2x ATR)</w:t>
      </w:r>
    </w:p>
    <w:p>
      <w:pPr>
        <w:jc w:val="both"/>
      </w:pPr>
      <w:r>
        <w:rPr>
          <w:sz w:val="20"/>
        </w:rPr>
        <w:t xml:space="preserve">- </w:t>
      </w:r>
      <w:r>
        <w:rPr>
          <w:b/>
          <w:sz w:val="20"/>
        </w:rPr>
        <w:t>Target 1:</w:t>
      </w:r>
      <w:r>
        <w:rPr>
          <w:sz w:val="20"/>
        </w:rPr>
        <w:t xml:space="preserve"> 97,200 (lower Bollinger Band)</w:t>
      </w:r>
    </w:p>
    <w:p>
      <w:pPr>
        <w:jc w:val="both"/>
      </w:pPr>
      <w:r>
        <w:rPr>
          <w:sz w:val="20"/>
        </w:rPr>
        <w:t xml:space="preserve">- </w:t>
      </w:r>
      <w:r>
        <w:rPr>
          <w:b/>
          <w:sz w:val="20"/>
        </w:rPr>
        <w:t>Target 2:</w:t>
      </w:r>
      <w:r>
        <w:rPr>
          <w:sz w:val="20"/>
        </w:rPr>
        <w:t xml:space="preserve"> 97,000 (psychological support)</w:t>
      </w:r>
    </w:p>
    <w:p>
      <w:pPr>
        <w:jc w:val="both"/>
      </w:pPr>
      <w:r>
        <w:rPr>
          <w:sz w:val="20"/>
        </w:rPr>
        <w:t xml:space="preserve">- </w:t>
      </w:r>
      <w:r>
        <w:rPr>
          <w:b/>
          <w:sz w:val="20"/>
        </w:rPr>
        <w:t>Risk/Reward:</w:t>
      </w:r>
      <w:r>
        <w:rPr>
          <w:sz w:val="20"/>
        </w:rPr>
        <w:t xml:space="preserve"> 1:2 to 1:3</w:t>
      </w:r>
    </w:p>
    <w:p>
      <w:r>
        <w:rPr>
          <w:b/>
          <w:sz w:val="20"/>
        </w:rPr>
        <w:t>ALTERNATIVE: Breakout short</w:t>
      </w:r>
    </w:p>
    <w:p>
      <w:pPr>
        <w:jc w:val="both"/>
      </w:pPr>
      <w:r>
        <w:rPr>
          <w:sz w:val="20"/>
        </w:rPr>
        <w:t xml:space="preserve">- </w:t>
      </w:r>
      <w:r>
        <w:rPr>
          <w:b/>
          <w:sz w:val="20"/>
        </w:rPr>
        <w:t>Entry:</w:t>
      </w:r>
      <w:r>
        <w:rPr>
          <w:sz w:val="20"/>
        </w:rPr>
        <w:t xml:space="preserve"> Below 97,220 (breakdown of support)</w:t>
      </w:r>
    </w:p>
    <w:p>
      <w:pPr>
        <w:jc w:val="both"/>
      </w:pPr>
      <w:r>
        <w:rPr>
          <w:sz w:val="20"/>
        </w:rPr>
        <w:t xml:space="preserve">- </w:t>
      </w:r>
      <w:r>
        <w:rPr>
          <w:b/>
          <w:sz w:val="20"/>
        </w:rPr>
        <w:t>Stop Loss:</w:t>
      </w:r>
      <w:r>
        <w:rPr>
          <w:sz w:val="20"/>
        </w:rPr>
        <w:t xml:space="preserve"> 97,580 (10 EMA reclaim)</w:t>
      </w:r>
    </w:p>
    <w:p>
      <w:pPr>
        <w:jc w:val="both"/>
      </w:pPr>
      <w:r>
        <w:rPr>
          <w:sz w:val="20"/>
        </w:rPr>
        <w:t xml:space="preserve">- </w:t>
      </w:r>
      <w:r>
        <w:rPr>
          <w:b/>
          <w:sz w:val="20"/>
        </w:rPr>
        <w:t>Target:</w:t>
      </w:r>
      <w:r>
        <w:rPr>
          <w:sz w:val="20"/>
        </w:rPr>
        <w:t xml:space="preserve"> 96,800-97,000</w:t>
      </w:r>
    </w:p>
    <w:p>
      <w:pPr>
        <w:jc w:val="both"/>
      </w:pPr>
      <w:r>
        <w:rPr>
          <w:sz w:val="20"/>
        </w:rPr>
        <w:t xml:space="preserve">- </w:t>
      </w:r>
      <w:r>
        <w:rPr>
          <w:b/>
          <w:sz w:val="20"/>
        </w:rPr>
        <w:t>Risk/Reward:</w:t>
      </w:r>
      <w:r>
        <w:rPr>
          <w:sz w:val="20"/>
        </w:rPr>
        <w:t xml:space="preserve"> 1:2</w:t>
      </w:r>
    </w:p>
    <w:p>
      <w:pPr>
        <w:pStyle w:val="Heading4"/>
        <w:jc w:val="left"/>
      </w:pPr>
      <w:r>
        <w:rPr>
          <w:color w:val="502878"/>
          <w:sz w:val="22"/>
        </w:rPr>
        <w:t>**For Swing Traders (5-20 days):**</w:t>
      </w:r>
    </w:p>
    <w:p>
      <w:r>
        <w:rPr>
          <w:b/>
          <w:sz w:val="20"/>
        </w:rPr>
        <w:t>STRATEGY: Bearish bias with patience</w:t>
      </w:r>
    </w:p>
    <w:p>
      <w:pPr>
        <w:jc w:val="both"/>
      </w:pPr>
      <w:r>
        <w:rPr>
          <w:sz w:val="20"/>
        </w:rPr>
        <w:t xml:space="preserve">- </w:t>
      </w:r>
      <w:r>
        <w:rPr>
          <w:b/>
          <w:sz w:val="20"/>
        </w:rPr>
        <w:t>Wait for:</w:t>
      </w:r>
      <w:r>
        <w:rPr>
          <w:sz w:val="20"/>
        </w:rPr>
        <w:t xml:space="preserve"> Rally to 98,000-98,170 zone (upper Bollinger Band)</w:t>
      </w:r>
    </w:p>
    <w:p>
      <w:pPr>
        <w:jc w:val="both"/>
      </w:pPr>
      <w:r>
        <w:rPr>
          <w:sz w:val="20"/>
        </w:rPr>
        <w:t xml:space="preserve">- </w:t>
      </w:r>
      <w:r>
        <w:rPr>
          <w:b/>
          <w:sz w:val="20"/>
        </w:rPr>
        <w:t>Entry:</w:t>
      </w:r>
      <w:r>
        <w:rPr>
          <w:sz w:val="20"/>
        </w:rPr>
        <w:t xml:space="preserve"> Short on rejection with confirmation</w:t>
      </w:r>
    </w:p>
    <w:p>
      <w:pPr>
        <w:jc w:val="both"/>
      </w:pPr>
      <w:r>
        <w:rPr>
          <w:sz w:val="20"/>
        </w:rPr>
        <w:t xml:space="preserve">- </w:t>
      </w:r>
      <w:r>
        <w:rPr>
          <w:b/>
          <w:sz w:val="20"/>
        </w:rPr>
        <w:t>Stop Loss:</w:t>
      </w:r>
      <w:r>
        <w:rPr>
          <w:sz w:val="20"/>
        </w:rPr>
        <w:t xml:space="preserve"> 98,500 (above 50 SMA)</w:t>
      </w:r>
    </w:p>
    <w:p>
      <w:pPr>
        <w:jc w:val="both"/>
      </w:pPr>
      <w:r>
        <w:rPr>
          <w:sz w:val="20"/>
        </w:rPr>
        <w:t xml:space="preserve">- </w:t>
      </w:r>
      <w:r>
        <w:rPr>
          <w:b/>
          <w:sz w:val="20"/>
        </w:rPr>
        <w:t>Target 1:</w:t>
      </w:r>
      <w:r>
        <w:rPr>
          <w:sz w:val="20"/>
        </w:rPr>
        <w:t xml:space="preserve"> 97,200</w:t>
      </w:r>
    </w:p>
    <w:p>
      <w:pPr>
        <w:jc w:val="both"/>
      </w:pPr>
      <w:r>
        <w:rPr>
          <w:sz w:val="20"/>
        </w:rPr>
        <w:t xml:space="preserve">- </w:t>
      </w:r>
      <w:r>
        <w:rPr>
          <w:b/>
          <w:sz w:val="20"/>
        </w:rPr>
        <w:t>Target 2:</w:t>
      </w:r>
      <w:r>
        <w:rPr>
          <w:sz w:val="20"/>
        </w:rPr>
        <w:t xml:space="preserve"> 96,500</w:t>
      </w:r>
    </w:p>
    <w:p>
      <w:pPr>
        <w:jc w:val="both"/>
      </w:pPr>
      <w:r>
        <w:rPr>
          <w:sz w:val="20"/>
        </w:rPr>
        <w:t xml:space="preserve">- </w:t>
      </w:r>
      <w:r>
        <w:rPr>
          <w:b/>
          <w:sz w:val="20"/>
        </w:rPr>
        <w:t>Target 3:</w:t>
      </w:r>
      <w:r>
        <w:rPr>
          <w:sz w:val="20"/>
        </w:rPr>
        <w:t xml:space="preserve"> 96,000</w:t>
      </w:r>
    </w:p>
    <w:p>
      <w:pPr>
        <w:jc w:val="both"/>
      </w:pPr>
      <w:r>
        <w:rPr>
          <w:sz w:val="20"/>
        </w:rPr>
        <w:t xml:space="preserve">- </w:t>
      </w:r>
      <w:r>
        <w:rPr>
          <w:b/>
          <w:sz w:val="20"/>
        </w:rPr>
        <w:t>Timeframe:</w:t>
      </w:r>
      <w:r>
        <w:rPr>
          <w:sz w:val="20"/>
        </w:rPr>
        <w:t xml:space="preserve"> 10-20 days</w:t>
      </w:r>
    </w:p>
    <w:p>
      <w:pPr>
        <w:pStyle w:val="Heading4"/>
        <w:jc w:val="left"/>
      </w:pPr>
      <w:r>
        <w:rPr>
          <w:color w:val="502878"/>
          <w:sz w:val="22"/>
        </w:rPr>
        <w:t>**For Position Traders (20+ days):**</w:t>
      </w:r>
    </w:p>
    <w:p>
      <w:r>
        <w:rPr>
          <w:b/>
          <w:sz w:val="20"/>
        </w:rPr>
        <w:t>STRATEGY: Sidelines until trend reversal</w:t>
      </w:r>
    </w:p>
    <w:p>
      <w:pPr>
        <w:jc w:val="both"/>
      </w:pPr>
      <w:r>
        <w:rPr>
          <w:sz w:val="20"/>
        </w:rPr>
        <w:t xml:space="preserve">- </w:t>
      </w:r>
      <w:r>
        <w:rPr>
          <w:b/>
          <w:sz w:val="20"/>
        </w:rPr>
        <w:t>Avoid longs</w:t>
      </w:r>
      <w:r>
        <w:rPr>
          <w:sz w:val="20"/>
        </w:rPr>
        <w:t xml:space="preserve"> until price reclaims 50 SMA (98,316) and holds</w:t>
      </w:r>
    </w:p>
    <w:p>
      <w:pPr>
        <w:jc w:val="both"/>
      </w:pPr>
      <w:r>
        <w:rPr>
          <w:sz w:val="20"/>
        </w:rPr>
        <w:t>-</w:t>
      </w:r>
    </w:p>
    <w:p>
      <w:pPr>
        <w:pBdr>
          <w:bottom w:val="single" w:sz="6" w:space="1" w:color="CCCCCC"/>
        </w:pBdr>
      </w:pPr>
    </w:p>
    <w:p>
      <w:pPr>
        <w:pStyle w:val="Heading2"/>
        <w:jc w:val="left"/>
      </w:pPr>
      <w:r>
        <w:rPr>
          <w:color w:val="783C00"/>
        </w:rPr>
        <w:t>Rapport Sentiment / Social</w:t>
      </w:r>
    </w:p>
    <w:p>
      <w:pPr>
        <w:pStyle w:val="Heading2"/>
        <w:jc w:val="left"/>
      </w:pPr>
      <w:r>
        <w:rPr>
          <w:color w:val="783C00"/>
          <w:sz w:val="28"/>
        </w:rPr>
        <w:t>Sentiment Report for CRASH50</w:t>
      </w:r>
    </w:p>
    <w:p>
      <w:pPr>
        <w:pBdr>
          <w:bottom w:val="single" w:sz="6" w:space="1" w:color="CCCCCC"/>
        </w:pBdr>
      </w:pPr>
    </w:p>
    <w:p>
      <w:pPr>
        <w:pStyle w:val="Heading3"/>
        <w:jc w:val="left"/>
      </w:pPr>
      <w:r>
        <w:rPr>
          <w:color w:val="783C00"/>
          <w:sz w:val="24"/>
        </w:rPr>
        <w:t>1. Overall Sentiment Direction</w:t>
      </w:r>
    </w:p>
    <w:p>
      <w:pPr>
        <w:jc w:val="both"/>
      </w:pPr>
      <w:r>
        <w:rPr>
          <w:b/>
          <w:sz w:val="22"/>
        </w:rPr>
        <w:t>NEUTRAL / INCONCLUSIVE</w:t>
      </w:r>
      <w:r>
        <w:rPr>
          <w:sz w:val="22"/>
        </w:rPr>
        <w:t xml:space="preserve"> - with </w:t>
      </w:r>
      <w:r>
        <w:rPr>
          <w:b/>
          <w:sz w:val="22"/>
        </w:rPr>
        <w:t>very low confidence</w:t>
      </w:r>
      <w:r>
        <w:rPr>
          <w:sz w:val="22"/>
        </w:rPr>
        <w:t xml:space="preserve"> due to complete absence of actionable data.</w:t>
      </w:r>
    </w:p>
    <w:p>
      <w:pPr>
        <w:pStyle w:val="Heading4"/>
        <w:jc w:val="left"/>
      </w:pPr>
      <w:r>
        <w:rPr>
          <w:color w:val="783C00"/>
          <w:sz w:val="22"/>
        </w:rPr>
        <w:t>Confidence Note:</w:t>
      </w:r>
    </w:p>
    <w:p>
      <w:pPr>
        <w:jc w:val="both"/>
      </w:pPr>
      <w:r>
        <w:rPr>
          <w:sz w:val="20"/>
        </w:rPr>
        <w:t>This complete data vacuum suggests one of the following:</w:t>
      </w:r>
    </w:p>
    <w:p>
      <w:pPr>
        <w:jc w:val="both"/>
      </w:pPr>
      <w:r>
        <w:rPr>
          <w:sz w:val="20"/>
        </w:rPr>
        <w:t xml:space="preserve">1. CRASH50 is </w:t>
      </w:r>
      <w:r>
        <w:rPr>
          <w:b/>
          <w:sz w:val="20"/>
        </w:rPr>
        <w:t>not a retail-traded instrument</w:t>
      </w:r>
      <w:r>
        <w:rPr>
          <w:sz w:val="20"/>
        </w:rPr>
        <w:t xml:space="preserve"> or lacks ticker recognition on social platforms</w:t>
      </w:r>
    </w:p>
    <w:p>
      <w:pPr>
        <w:jc w:val="both"/>
      </w:pPr>
      <w:r>
        <w:rPr>
          <w:sz w:val="20"/>
        </w:rPr>
        <w:t xml:space="preserve">2. The ticker may be a </w:t>
      </w:r>
      <w:r>
        <w:rPr>
          <w:b/>
          <w:sz w:val="20"/>
        </w:rPr>
        <w:t>synthetic index</w:t>
      </w:r>
      <w:r>
        <w:rPr>
          <w:sz w:val="20"/>
        </w:rPr>
        <w:t xml:space="preserve"> or </w:t>
      </w:r>
      <w:r>
        <w:rPr>
          <w:b/>
          <w:sz w:val="20"/>
        </w:rPr>
        <w:t>derivative instrument</w:t>
      </w:r>
      <w:r>
        <w:rPr>
          <w:sz w:val="20"/>
        </w:rPr>
        <w:t xml:space="preserve"> with minimal social media footprint</w:t>
      </w:r>
    </w:p>
    <w:p>
      <w:pPr>
        <w:jc w:val="both"/>
      </w:pPr>
      <w:r>
        <w:rPr>
          <w:sz w:val="20"/>
        </w:rPr>
        <w:t xml:space="preserve">3. There has been </w:t>
      </w:r>
      <w:r>
        <w:rPr>
          <w:b/>
          <w:sz w:val="20"/>
        </w:rPr>
        <w:t>genuinely zero market interest</w:t>
      </w:r>
      <w:r>
        <w:rPr>
          <w:sz w:val="20"/>
        </w:rPr>
        <w:t xml:space="preserve"> in this instrument during the period</w:t>
      </w:r>
    </w:p>
    <w:p>
      <w:pPr>
        <w:jc w:val="both"/>
      </w:pPr>
      <w:r>
        <w:rPr>
          <w:sz w:val="22"/>
        </w:rPr>
        <w:t>Without sentiment signals from any source, no directional bias can be established.</w:t>
      </w:r>
    </w:p>
    <w:p>
      <w:pPr>
        <w:pBdr>
          <w:bottom w:val="single" w:sz="6" w:space="1" w:color="CCCCCC"/>
        </w:pBdr>
      </w:pPr>
    </w:p>
    <w:p>
      <w:pPr>
        <w:pStyle w:val="Heading3"/>
        <w:jc w:val="left"/>
      </w:pPr>
      <w:r>
        <w:rPr>
          <w:color w:val="783C00"/>
          <w:sz w:val="24"/>
        </w:rPr>
        <w:t>2. Source-by-Source Breakdown</w:t>
      </w:r>
    </w:p>
    <w:p>
      <w:pPr>
        <w:pStyle w:val="Heading4"/>
        <w:jc w:val="left"/>
      </w:pPr>
      <w:r>
        <w:rPr>
          <w:color w:val="783C00"/>
          <w:sz w:val="22"/>
        </w:rPr>
        <w:t>**News Headlines (Yahoo Finance)**</w:t>
      </w:r>
    </w:p>
    <w:p>
      <w:pPr>
        <w:pStyle w:val="Heading4"/>
        <w:jc w:val="left"/>
      </w:pPr>
      <w:r>
        <w:rPr>
          <w:color w:val="783C00"/>
          <w:sz w:val="22"/>
        </w:rPr>
        <w:t>**StockTwits (Retail Trader Platform)**</w:t>
      </w:r>
    </w:p>
    <w:p>
      <w:pPr>
        <w:pStyle w:val="Heading4"/>
        <w:jc w:val="left"/>
      </w:pPr>
      <w:r>
        <w:rPr>
          <w:color w:val="783C00"/>
          <w:sz w:val="22"/>
        </w:rPr>
        <w:t>️ **Reddit (r/wallstreetbets, r/stocks, r/investing)**</w:t>
      </w:r>
    </w:p>
    <w:p>
      <w:pPr>
        <w:pBdr>
          <w:bottom w:val="single" w:sz="6" w:space="1" w:color="CCCCCC"/>
        </w:pBdr>
      </w:pPr>
    </w:p>
    <w:p>
      <w:pPr>
        <w:pStyle w:val="Heading3"/>
        <w:jc w:val="left"/>
      </w:pPr>
      <w:r>
        <w:rPr>
          <w:color w:val="783C00"/>
          <w:sz w:val="24"/>
        </w:rPr>
        <w:t>3. Divergences, Alignments, and Key Narratives</w:t>
      </w:r>
    </w:p>
    <w:p>
      <w:pPr>
        <w:pStyle w:val="Heading4"/>
        <w:jc w:val="left"/>
      </w:pPr>
      <w:r>
        <w:rPr>
          <w:color w:val="783C00"/>
          <w:sz w:val="22"/>
        </w:rPr>
        <w:t>Cross-Source Analysis:</w:t>
      </w:r>
    </w:p>
    <w:p>
      <w:pPr>
        <w:pStyle w:val="Heading4"/>
        <w:jc w:val="left"/>
      </w:pPr>
      <w:r>
        <w:rPr>
          <w:color w:val="783C00"/>
          <w:sz w:val="22"/>
        </w:rPr>
        <w:t>What This Silence Tells Us:</w:t>
      </w:r>
    </w:p>
    <w:p>
      <w:pPr>
        <w:pBdr>
          <w:bottom w:val="single" w:sz="6" w:space="1" w:color="CCCCCC"/>
        </w:pBdr>
      </w:pPr>
    </w:p>
    <w:p>
      <w:pPr>
        <w:pStyle w:val="Heading3"/>
        <w:jc w:val="left"/>
      </w:pPr>
      <w:r>
        <w:rPr>
          <w:color w:val="783C00"/>
          <w:sz w:val="24"/>
        </w:rPr>
        <w:t>4. Catalysts and Risks</w:t>
      </w:r>
    </w:p>
    <w:p>
      <w:pPr>
        <w:pStyle w:val="Heading4"/>
        <w:jc w:val="left"/>
      </w:pPr>
      <w:r>
        <w:rPr>
          <w:color w:val="783C00"/>
          <w:sz w:val="22"/>
        </w:rPr>
        <w:t>Identified Catalysts:</w:t>
      </w:r>
    </w:p>
    <w:p>
      <w:pPr>
        <w:pStyle w:val="Heading4"/>
        <w:jc w:val="left"/>
      </w:pPr>
      <w:r>
        <w:rPr>
          <w:color w:val="783C00"/>
          <w:sz w:val="22"/>
        </w:rPr>
        <w:t>Identified Risks:</w:t>
      </w:r>
    </w:p>
    <w:p>
      <w:pPr>
        <w:pStyle w:val="Heading4"/>
        <w:jc w:val="left"/>
      </w:pPr>
      <w:r>
        <w:rPr>
          <w:color w:val="783C00"/>
          <w:sz w:val="22"/>
        </w:rPr>
        <w:t>Macro Context (Not Captured in Data):</w:t>
      </w:r>
    </w:p>
    <w:p>
      <w:pPr>
        <w:pBdr>
          <w:bottom w:val="single" w:sz="6" w:space="1" w:color="CCCCCC"/>
        </w:pBdr>
      </w:pPr>
    </w:p>
    <w:p>
      <w:pPr>
        <w:pStyle w:val="Heading3"/>
        <w:jc w:val="left"/>
      </w:pPr>
      <w:r>
        <w:rPr>
          <w:color w:val="783C00"/>
          <w:sz w:val="24"/>
        </w:rPr>
        <w:t>5. Summary Table: Sentiment Signals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C78"/>
          </w:tcPr>
          <w:p>
            <w:r/>
            <w:r>
              <w:rPr>
                <w:b/>
                <w:color w:val="FFFFFF"/>
                <w:sz w:val="18"/>
              </w:rPr>
              <w:t>**Signal Source**</w:t>
            </w:r>
          </w:p>
        </w:tc>
        <w:tc>
          <w:tcPr>
            <w:tcW w:type="dxa" w:w="2160"/>
            <w:shd w:val="clear" w:color="auto" w:fill="1F3C78"/>
          </w:tcPr>
          <w:p>
            <w:r/>
            <w:r>
              <w:rPr>
                <w:b/>
                <w:color w:val="FFFFFF"/>
                <w:sz w:val="18"/>
              </w:rPr>
              <w:t>**Direction**</w:t>
            </w:r>
          </w:p>
        </w:tc>
        <w:tc>
          <w:tcPr>
            <w:tcW w:type="dxa" w:w="2160"/>
            <w:shd w:val="clear" w:color="auto" w:fill="1F3C78"/>
          </w:tcPr>
          <w:p>
            <w:r/>
            <w:r>
              <w:rPr>
                <w:b/>
                <w:color w:val="FFFFFF"/>
                <w:sz w:val="18"/>
              </w:rPr>
              <w:t>**Strength**</w:t>
            </w:r>
          </w:p>
        </w:tc>
        <w:tc>
          <w:tcPr>
            <w:tcW w:type="dxa" w:w="2160"/>
            <w:shd w:val="clear" w:color="auto" w:fill="1F3C78"/>
          </w:tcPr>
          <w:p>
            <w:r/>
            <w:r>
              <w:rPr>
                <w:b/>
                <w:color w:val="FFFFFF"/>
                <w:sz w:val="18"/>
              </w:rPr>
              <w:t>**Supporting Evidence**</w:t>
            </w:r>
          </w:p>
        </w:tc>
      </w:tr>
      <w:tr>
        <w:tc>
          <w:tcPr>
            <w:tcW w:type="dxa" w:w="2160"/>
            <w:shd w:val="clear" w:color="auto" w:fill="EEF4FF"/>
          </w:tcPr>
          <w:p>
            <w:r/>
            <w:r>
              <w:rPr>
                <w:sz w:val="18"/>
              </w:rPr>
              <w:t>Yahoo Finance News</w:t>
            </w:r>
          </w:p>
        </w:tc>
        <w:tc>
          <w:tcPr>
            <w:tcW w:type="dxa" w:w="2160"/>
            <w:shd w:val="clear" w:color="auto" w:fill="EEF4FF"/>
          </w:tcPr>
          <w:p>
            <w:r/>
            <w:r>
              <w:rPr>
                <w:sz w:val="18"/>
              </w:rPr>
              <w:t>N/A</w:t>
            </w:r>
          </w:p>
        </w:tc>
        <w:tc>
          <w:tcPr>
            <w:tcW w:type="dxa" w:w="2160"/>
            <w:shd w:val="clear" w:color="auto" w:fill="EEF4FF"/>
          </w:tcPr>
          <w:p>
            <w:r/>
            <w:r>
              <w:rPr>
                <w:sz w:val="18"/>
              </w:rPr>
              <w:t>None</w:t>
            </w:r>
          </w:p>
        </w:tc>
        <w:tc>
          <w:tcPr>
            <w:tcW w:type="dxa" w:w="2160"/>
            <w:shd w:val="clear" w:color="auto" w:fill="EEF4FF"/>
          </w:tcPr>
          <w:p>
            <w:r/>
            <w:r>
              <w:rPr>
                <w:sz w:val="18"/>
              </w:rPr>
              <w:t>Zero news articles found for CRASH50 in past 7 days</w:t>
            </w:r>
          </w:p>
        </w:tc>
      </w:tr>
      <w:tr>
        <w:tc>
          <w:tcPr>
            <w:tcW w:type="dxa" w:w="2160"/>
            <w:shd w:val="clear" w:color="auto" w:fill="FFFFFF"/>
          </w:tcPr>
          <w:p>
            <w:r/>
            <w:r>
              <w:rPr>
                <w:sz w:val="18"/>
              </w:rPr>
              <w:t>StockTwits Sentiment</w:t>
            </w:r>
          </w:p>
        </w:tc>
        <w:tc>
          <w:tcPr>
            <w:tcW w:type="dxa" w:w="2160"/>
            <w:shd w:val="clear" w:color="auto" w:fill="FFFFFF"/>
          </w:tcPr>
          <w:p>
            <w:r/>
            <w:r>
              <w:rPr>
                <w:sz w:val="18"/>
              </w:rPr>
              <w:t>N/A</w:t>
            </w:r>
          </w:p>
        </w:tc>
        <w:tc>
          <w:tcPr>
            <w:tcW w:type="dxa" w:w="2160"/>
            <w:shd w:val="clear" w:color="auto" w:fill="FFFFFF"/>
          </w:tcPr>
          <w:p>
            <w:r/>
            <w:r>
              <w:rPr>
                <w:sz w:val="18"/>
              </w:rPr>
              <w:t>None</w:t>
            </w:r>
          </w:p>
        </w:tc>
        <w:tc>
          <w:tcPr>
            <w:tcW w:type="dxa" w:w="2160"/>
            <w:shd w:val="clear" w:color="auto" w:fill="FFFFFF"/>
          </w:tcPr>
          <w:p>
            <w:r/>
            <w:r>
              <w:rPr>
                <w:sz w:val="18"/>
              </w:rPr>
              <w:t>Service unavailable (HTTPError) - no retail sentiment data</w:t>
            </w:r>
          </w:p>
        </w:tc>
      </w:tr>
      <w:tr>
        <w:tc>
          <w:tcPr>
            <w:tcW w:type="dxa" w:w="2160"/>
            <w:shd w:val="clear" w:color="auto" w:fill="EEF4FF"/>
          </w:tcPr>
          <w:p>
            <w:r/>
            <w:r>
              <w:rPr>
                <w:sz w:val="18"/>
              </w:rPr>
              <w:t>Reddit (r/wallstreetbets)</w:t>
            </w:r>
          </w:p>
        </w:tc>
        <w:tc>
          <w:tcPr>
            <w:tcW w:type="dxa" w:w="2160"/>
            <w:shd w:val="clear" w:color="auto" w:fill="EEF4FF"/>
          </w:tcPr>
          <w:p>
            <w:r/>
            <w:r>
              <w:rPr>
                <w:sz w:val="18"/>
              </w:rPr>
              <w:t>N/A</w:t>
            </w:r>
          </w:p>
        </w:tc>
        <w:tc>
          <w:tcPr>
            <w:tcW w:type="dxa" w:w="2160"/>
            <w:shd w:val="clear" w:color="auto" w:fill="EEF4FF"/>
          </w:tcPr>
          <w:p>
            <w:r/>
            <w:r>
              <w:rPr>
                <w:sz w:val="18"/>
              </w:rPr>
              <w:t>None</w:t>
            </w:r>
          </w:p>
        </w:tc>
        <w:tc>
          <w:tcPr>
            <w:tcW w:type="dxa" w:w="2160"/>
            <w:shd w:val="clear" w:color="auto" w:fill="EEF4FF"/>
          </w:tcPr>
          <w:p>
            <w:r/>
            <w:r>
              <w:rPr>
                <w:sz w:val="18"/>
              </w:rPr>
              <w:t>Zero posts mentioning CRASH50</w:t>
            </w:r>
          </w:p>
        </w:tc>
      </w:tr>
      <w:tr>
        <w:tc>
          <w:tcPr>
            <w:tcW w:type="dxa" w:w="2160"/>
            <w:shd w:val="clear" w:color="auto" w:fill="FFFFFF"/>
          </w:tcPr>
          <w:p>
            <w:r/>
            <w:r>
              <w:rPr>
                <w:sz w:val="18"/>
              </w:rPr>
              <w:t>Reddit (r/stocks)</w:t>
            </w:r>
          </w:p>
        </w:tc>
        <w:tc>
          <w:tcPr>
            <w:tcW w:type="dxa" w:w="2160"/>
            <w:shd w:val="clear" w:color="auto" w:fill="FFFFFF"/>
          </w:tcPr>
          <w:p>
            <w:r/>
            <w:r>
              <w:rPr>
                <w:sz w:val="18"/>
              </w:rPr>
              <w:t>N/A</w:t>
            </w:r>
          </w:p>
        </w:tc>
        <w:tc>
          <w:tcPr>
            <w:tcW w:type="dxa" w:w="2160"/>
            <w:shd w:val="clear" w:color="auto" w:fill="FFFFFF"/>
          </w:tcPr>
          <w:p>
            <w:r/>
            <w:r>
              <w:rPr>
                <w:sz w:val="18"/>
              </w:rPr>
              <w:t>None</w:t>
            </w:r>
          </w:p>
        </w:tc>
        <w:tc>
          <w:tcPr>
            <w:tcW w:type="dxa" w:w="2160"/>
            <w:shd w:val="clear" w:color="auto" w:fill="FFFFFF"/>
          </w:tcPr>
          <w:p>
            <w:r/>
            <w:r>
              <w:rPr>
                <w:sz w:val="18"/>
              </w:rPr>
              <w:t>Zero posts mentioning CRASH50</w:t>
            </w:r>
          </w:p>
        </w:tc>
      </w:tr>
      <w:tr>
        <w:tc>
          <w:tcPr>
            <w:tcW w:type="dxa" w:w="2160"/>
            <w:shd w:val="clear" w:color="auto" w:fill="EEF4FF"/>
          </w:tcPr>
          <w:p>
            <w:r/>
            <w:r>
              <w:rPr>
                <w:sz w:val="18"/>
              </w:rPr>
              <w:t>Reddit (r/investing)</w:t>
            </w:r>
          </w:p>
        </w:tc>
        <w:tc>
          <w:tcPr>
            <w:tcW w:type="dxa" w:w="2160"/>
            <w:shd w:val="clear" w:color="auto" w:fill="EEF4FF"/>
          </w:tcPr>
          <w:p>
            <w:r/>
            <w:r>
              <w:rPr>
                <w:sz w:val="18"/>
              </w:rPr>
              <w:t>N/A</w:t>
            </w:r>
          </w:p>
        </w:tc>
        <w:tc>
          <w:tcPr>
            <w:tcW w:type="dxa" w:w="2160"/>
            <w:shd w:val="clear" w:color="auto" w:fill="EEF4FF"/>
          </w:tcPr>
          <w:p>
            <w:r/>
            <w:r>
              <w:rPr>
                <w:sz w:val="18"/>
              </w:rPr>
              <w:t>None</w:t>
            </w:r>
          </w:p>
        </w:tc>
        <w:tc>
          <w:tcPr>
            <w:tcW w:type="dxa" w:w="2160"/>
            <w:shd w:val="clear" w:color="auto" w:fill="EEF4FF"/>
          </w:tcPr>
          <w:p>
            <w:r/>
            <w:r>
              <w:rPr>
                <w:sz w:val="18"/>
              </w:rPr>
              <w:t>Zero posts mentioning CRASH50</w:t>
            </w:r>
          </w:p>
        </w:tc>
      </w:tr>
      <w:tr>
        <w:tc>
          <w:tcPr>
            <w:tcW w:type="dxa" w:w="2160"/>
            <w:shd w:val="clear" w:color="auto" w:fill="FFFFFF"/>
          </w:tcPr>
          <w:p>
            <w:r/>
            <w:r>
              <w:rPr>
                <w:b/>
                <w:sz w:val="18"/>
              </w:rPr>
              <w:t>Attention/Liquidity Signal</w:t>
            </w:r>
          </w:p>
        </w:tc>
        <w:tc>
          <w:tcPr>
            <w:tcW w:type="dxa" w:w="2160"/>
            <w:shd w:val="clear" w:color="auto" w:fill="FFFFFF"/>
          </w:tcPr>
          <w:p>
            <w:r/>
            <w:r>
              <w:rPr>
                <w:b/>
                <w:sz w:val="18"/>
              </w:rPr>
              <w:t>Bearish</w:t>
            </w:r>
          </w:p>
        </w:tc>
        <w:tc>
          <w:tcPr>
            <w:tcW w:type="dxa" w:w="2160"/>
            <w:shd w:val="clear" w:color="auto" w:fill="FFFFFF"/>
          </w:tcPr>
          <w:p>
            <w:r/>
            <w:r>
              <w:rPr>
                <w:b/>
                <w:sz w:val="18"/>
              </w:rPr>
              <w:t>Moderate</w:t>
            </w:r>
          </w:p>
        </w:tc>
        <w:tc>
          <w:tcPr>
            <w:tcW w:type="dxa" w:w="2160"/>
            <w:shd w:val="clear" w:color="auto" w:fill="FFFFFF"/>
          </w:tcPr>
          <w:p>
            <w:r/>
            <w:r>
              <w:rPr>
                <w:sz w:val="18"/>
              </w:rPr>
              <w:t>Complete absence across all social platforms suggests very low retail interest, possible liquidity constraints</w:t>
            </w:r>
          </w:p>
        </w:tc>
      </w:tr>
      <w:tr>
        <w:tc>
          <w:tcPr>
            <w:tcW w:type="dxa" w:w="2160"/>
            <w:shd w:val="clear" w:color="auto" w:fill="EEF4FF"/>
          </w:tcPr>
          <w:p>
            <w:r/>
            <w:r>
              <w:rPr>
                <w:b/>
                <w:sz w:val="18"/>
              </w:rPr>
              <w:t>Directional Sentiment</w:t>
            </w:r>
          </w:p>
        </w:tc>
        <w:tc>
          <w:tcPr>
            <w:tcW w:type="dxa" w:w="2160"/>
            <w:shd w:val="clear" w:color="auto" w:fill="EEF4FF"/>
          </w:tcPr>
          <w:p>
            <w:r/>
            <w:r>
              <w:rPr>
                <w:b/>
                <w:sz w:val="18"/>
              </w:rPr>
              <w:t>Neutral (Inconclusive)</w:t>
            </w:r>
          </w:p>
        </w:tc>
        <w:tc>
          <w:tcPr>
            <w:tcW w:type="dxa" w:w="2160"/>
            <w:shd w:val="clear" w:color="auto" w:fill="EEF4FF"/>
          </w:tcPr>
          <w:p>
            <w:r/>
            <w:r>
              <w:rPr>
                <w:b/>
                <w:sz w:val="18"/>
              </w:rPr>
              <w:t>N/A</w:t>
            </w:r>
          </w:p>
        </w:tc>
        <w:tc>
          <w:tcPr>
            <w:tcW w:type="dxa" w:w="2160"/>
            <w:shd w:val="clear" w:color="auto" w:fill="EEF4FF"/>
          </w:tcPr>
          <w:p>
            <w:r/>
            <w:r>
              <w:rPr>
                <w:sz w:val="18"/>
              </w:rPr>
              <w:t>No bullish or bearish signals detectable; data vacuum prevents assessment</w:t>
            </w:r>
          </w:p>
        </w:tc>
      </w:tr>
    </w:tbl>
    <w:p/>
    <w:p>
      <w:pPr>
        <w:pBdr>
          <w:bottom w:val="single" w:sz="6" w:space="1" w:color="CCCCCC"/>
        </w:pBdr>
      </w:pPr>
    </w:p>
    <w:p>
      <w:pPr>
        <w:pStyle w:val="Heading3"/>
        <w:jc w:val="left"/>
      </w:pPr>
      <w:r>
        <w:rPr>
          <w:color w:val="783C00"/>
          <w:sz w:val="24"/>
        </w:rPr>
        <w:t>Recommendation for Trader</w:t>
      </w:r>
    </w:p>
    <w:p>
      <w:pPr>
        <w:jc w:val="both"/>
      </w:pPr>
      <w:r>
        <w:rPr>
          <w:sz w:val="22"/>
        </w:rPr>
        <w:t xml:space="preserve">Given the </w:t>
      </w:r>
      <w:r>
        <w:rPr>
          <w:b/>
          <w:sz w:val="22"/>
        </w:rPr>
        <w:t>complete absence of sentiment data</w:t>
      </w:r>
      <w:r>
        <w:rPr>
          <w:sz w:val="22"/>
        </w:rPr>
        <w:t>, this report cannot provide a bullish or bearish directional signal. However, the following observations are actionable:</w:t>
      </w:r>
    </w:p>
    <w:p>
      <w:pPr>
        <w:pStyle w:val="ListNumber"/>
      </w:pPr>
      <w:r>
        <w:rPr>
          <w:b/>
          <w:sz w:val="20"/>
        </w:rPr>
        <w:t>CRASH50 appears to be a low-visibility instrument</w:t>
      </w:r>
      <w:r>
        <w:rPr>
          <w:sz w:val="20"/>
        </w:rPr>
        <w:t xml:space="preserve"> - confirm whether this is:</w:t>
      </w:r>
    </w:p>
    <w:p>
      <w:pPr>
        <w:pStyle w:val="ListBullet"/>
      </w:pPr>
      <w:r>
        <w:rPr>
          <w:sz w:val="20"/>
        </w:rPr>
        <w:t>A Deriv synthetic index (Crash 500/1000)</w:t>
      </w:r>
    </w:p>
    <w:p>
      <w:pPr>
        <w:pStyle w:val="ListBullet"/>
      </w:pPr>
      <w:r>
        <w:rPr>
          <w:sz w:val="20"/>
        </w:rPr>
        <w:t>A thinly-traded ETF or non-US equity</w:t>
      </w:r>
    </w:p>
    <w:p>
      <w:pPr>
        <w:pStyle w:val="ListBullet"/>
      </w:pPr>
      <w:r>
        <w:rPr>
          <w:sz w:val="20"/>
        </w:rPr>
        <w:t>A ticker with poor social media indexing</w:t>
      </w:r>
    </w:p>
    <w:p>
      <w:pPr>
        <w:pStyle w:val="ListNumber"/>
      </w:pPr>
      <w:r>
        <w:rPr>
          <w:b/>
          <w:sz w:val="20"/>
        </w:rPr>
        <w:t>Proceed with caution on liquidity assumptions.</w:t>
      </w:r>
      <w:r>
        <w:rPr>
          <w:sz w:val="20"/>
        </w:rPr>
        <w:t xml:space="preserve"> Zero social media presence often correlates with low trading volume and wide bid-ask spreads.</w:t>
      </w:r>
    </w:p>
    <w:p>
      <w:pPr>
        <w:pStyle w:val="ListNumber"/>
      </w:pPr>
      <w:r>
        <w:rPr>
          <w:b/>
          <w:sz w:val="20"/>
        </w:rPr>
        <w:t>Rely on technical and fundamental analysis</w:t>
      </w:r>
      <w:r>
        <w:rPr>
          <w:sz w:val="20"/>
        </w:rPr>
        <w:t xml:space="preserve"> rather than sentiment for this instrument. Price action, volume trends, and historical volatility will be more informative than social signals.</w:t>
      </w:r>
    </w:p>
    <w:p>
      <w:pPr>
        <w:pStyle w:val="ListNumber"/>
      </w:pPr>
      <w:r>
        <w:rPr>
          <w:b/>
          <w:sz w:val="20"/>
        </w:rPr>
        <w:t>If this is a synthetic index</w:t>
      </w:r>
      <w:r>
        <w:rPr>
          <w:sz w:val="20"/>
        </w:rPr>
        <w:t>, sentiment analysis is largely irrelevant - these instruments are designed for short-term volatility trading, and their price action is algorithmically driven rather than sentiment-driven.</w:t>
      </w:r>
    </w:p>
    <w:p>
      <w:pPr>
        <w:pBdr>
          <w:bottom w:val="single" w:sz="6" w:space="1" w:color="CCCCCC"/>
        </w:pBdr>
      </w:pPr>
    </w:p>
    <w:p>
      <w:r>
        <w:rPr>
          <w:b/>
          <w:sz w:val="20"/>
        </w:rPr>
        <w:t>Next Steps:</w:t>
      </w:r>
    </w:p>
    <w:p>
      <w:pPr>
        <w:jc w:val="both"/>
      </w:pPr>
      <w:r>
        <w:rPr>
          <w:sz w:val="20"/>
        </w:rPr>
        <w:t>- Confirm instrument type (equity vs. synthetic index)</w:t>
      </w:r>
    </w:p>
    <w:p>
      <w:pPr>
        <w:jc w:val="both"/>
      </w:pPr>
      <w:r>
        <w:rPr>
          <w:sz w:val="20"/>
        </w:rPr>
        <w:t>- Run technical analysis (price trends, support/resistance, volume)</w:t>
      </w:r>
    </w:p>
    <w:p>
      <w:pPr>
        <w:jc w:val="both"/>
      </w:pPr>
      <w:r>
        <w:rPr>
          <w:sz w:val="20"/>
        </w:rPr>
        <w:t>- Assess broader market volatility context (VIX, etc.)</w:t>
      </w:r>
    </w:p>
    <w:p>
      <w:pPr>
        <w:jc w:val="both"/>
      </w:pPr>
      <w:r>
        <w:rPr>
          <w:sz w:val="20"/>
        </w:rPr>
        <w:t>- If trading on Deriv platform, review platform-specific risk disclosures</w:t>
      </w:r>
    </w:p>
    <w:p>
      <w:pPr>
        <w:jc w:val="both"/>
      </w:pPr>
      <w:r>
        <w:rPr>
          <w:b/>
          <w:sz w:val="22"/>
        </w:rPr>
        <w:t>Report Confidence:</w:t>
      </w:r>
      <w:r>
        <w:rPr>
          <w:sz w:val="22"/>
        </w:rPr>
        <w:t xml:space="preserve"> ️ </w:t>
      </w:r>
      <w:r>
        <w:rPr>
          <w:b/>
          <w:sz w:val="22"/>
        </w:rPr>
        <w:t>Very Low</w:t>
      </w:r>
      <w:r>
        <w:rPr>
          <w:sz w:val="22"/>
        </w:rPr>
        <w:t xml:space="preserve"> - Data insufficiency prevents meaningful sentiment assessment.</w:t>
      </w:r>
    </w:p>
    <w:p>
      <w:pPr>
        <w:pBdr>
          <w:bottom w:val="single" w:sz="6" w:space="1" w:color="CCCCCC"/>
        </w:pBdr>
      </w:pPr>
    </w:p>
    <w:p>
      <w:pPr>
        <w:pStyle w:val="Heading2"/>
        <w:jc w:val="left"/>
      </w:pPr>
      <w:r>
        <w:rPr>
          <w:color w:val="500064"/>
        </w:rPr>
        <w:t>Analyse Expert Scalping — Claude ($10 / $50)</w:t>
      </w:r>
    </w:p>
    <w:p>
      <w:pPr>
        <w:pStyle w:val="Heading2"/>
        <w:jc w:val="left"/>
      </w:pPr>
      <w:r>
        <w:rPr>
          <w:color w:val="500064"/>
          <w:sz w:val="28"/>
        </w:rPr>
        <w:t>SECTION 1 - CONTEXTE CHRONOLOGIQUE</w:t>
      </w:r>
    </w:p>
    <w:p>
      <w:pPr>
        <w:jc w:val="both"/>
      </w:pPr>
      <w:r>
        <w:rPr>
          <w:sz w:val="20"/>
        </w:rPr>
        <w:t xml:space="preserve">Le Crash 50 Index évolue à 97355.96, en phase de </w:t>
      </w:r>
      <w:r>
        <w:rPr>
          <w:b/>
          <w:sz w:val="20"/>
        </w:rPr>
        <w:t>dérive haussière typique</w:t>
      </w:r>
      <w:r>
        <w:rPr>
          <w:sz w:val="20"/>
        </w:rPr>
        <w:t xml:space="preserve"> entre deux spikes baissiers. Le prix se situe </w:t>
      </w:r>
      <w:r>
        <w:rPr>
          <w:b/>
          <w:sz w:val="20"/>
        </w:rPr>
        <w:t>sous toutes les moyennes mobiles</w:t>
      </w:r>
      <w:r>
        <w:rPr>
          <w:sz w:val="20"/>
        </w:rPr>
        <w:t xml:space="preserve"> (SMA20: 97697, SMA50: 98315, SMA200: 99093), confirmant une pression baissière structurelle. Le RSI à 38.99 montre un momentum faible sans survente critique. Le MACD négatif (-225.58) valide la tendance baissière dominante. </w:t>
      </w:r>
      <w:r>
        <w:rPr>
          <w:b/>
          <w:sz w:val="20"/>
        </w:rPr>
        <w:t>Point critique</w:t>
      </w:r>
      <w:r>
        <w:rPr>
          <w:sz w:val="20"/>
        </w:rPr>
        <w:t xml:space="preserve"> : le prix a rebondi depuis le bas de Bollinger (97225) et navigue actuellement dans la zone médiane des bandes, offrant un espace confortable pour un spike baissier. L'ATR de 334.91 (0.34% du prix) indique une volatilité modérée pour cet instrument. La configuration actuelle présente un </w:t>
      </w:r>
      <w:r>
        <w:rPr>
          <w:b/>
          <w:sz w:val="20"/>
        </w:rPr>
        <w:t>setup SELL idéal</w:t>
      </w:r>
      <w:r>
        <w:rPr>
          <w:sz w:val="20"/>
        </w:rPr>
        <w:t xml:space="preserve"> : prix en phase d'accumulation haussière (artefact normal), éloigné des supports récents, avec probabilité statistique croissante d'un spike imminent. Les agents internes convergent sur une position SHORT avec TradingAgents recommandant "Underweight" (bearish). </w:t>
      </w:r>
      <w:r>
        <w:rPr>
          <w:b/>
          <w:sz w:val="20"/>
        </w:rPr>
        <w:t>Pas de conflit détecté</w:t>
      </w:r>
      <w:r>
        <w:rPr>
          <w:sz w:val="20"/>
        </w:rPr>
        <w:t xml:space="preserve"> - l'analyse respecte la nature CRASH de l'instrument.</w:t>
      </w:r>
    </w:p>
    <w:p>
      <w:pPr>
        <w:pBdr>
          <w:bottom w:val="single" w:sz="6" w:space="1" w:color="CCCCCC"/>
        </w:pBdr>
      </w:pPr>
    </w:p>
    <w:p>
      <w:pPr>
        <w:pStyle w:val="Heading2"/>
        <w:jc w:val="left"/>
      </w:pPr>
      <w:r>
        <w:rPr>
          <w:color w:val="500064"/>
          <w:sz w:val="28"/>
        </w:rPr>
        <w:t>SECTION 2 - SIGNAL</w:t>
      </w:r>
    </w:p>
    <w:p>
      <w:pPr>
        <w:jc w:val="both"/>
      </w:pPr>
      <w:r>
        <w:rPr>
          <w:b/>
          <w:sz w:val="20"/>
        </w:rPr>
        <w:t>INSTRUMENT :</w:t>
      </w:r>
      <w:r>
        <w:rPr>
          <w:sz w:val="20"/>
        </w:rPr>
        <w:t xml:space="preserve"> Crash 50 Index | </w:t>
      </w:r>
      <w:r>
        <w:rPr>
          <w:b/>
          <w:sz w:val="20"/>
        </w:rPr>
        <w:t>CATEGORIE :</w:t>
      </w:r>
      <w:r>
        <w:rPr>
          <w:sz w:val="20"/>
        </w:rPr>
        <w:t xml:space="preserve"> CRASH INDEX - SELL UNIQUEMENT</w:t>
      </w:r>
    </w:p>
    <w:p>
      <w:pPr>
        <w:jc w:val="both"/>
      </w:pPr>
      <w:r>
        <w:rPr>
          <w:b/>
          <w:sz w:val="20"/>
        </w:rPr>
        <w:t>TICKS DEPUIS DERNIER SPIKE :</w:t>
      </w:r>
      <w:r>
        <w:rPr>
          <w:sz w:val="20"/>
        </w:rPr>
        <w:t xml:space="preserve"> Estimation 35-40 ticks | </w:t>
      </w:r>
      <w:r>
        <w:rPr>
          <w:b/>
          <w:sz w:val="20"/>
        </w:rPr>
        <w:t>ZONE :</w:t>
      </w:r>
      <w:r>
        <w:rPr>
          <w:sz w:val="20"/>
        </w:rPr>
        <w:t xml:space="preserve"> CHAUDE (probabilité élevée)</w:t>
      </w:r>
    </w:p>
    <w:p>
      <w:pPr>
        <w:jc w:val="both"/>
      </w:pPr>
      <w:r>
        <w:rPr>
          <w:b/>
          <w:sz w:val="20"/>
        </w:rPr>
        <w:t>POSITION DANS LA RANGE :</w:t>
      </w:r>
      <w:r>
        <w:rPr>
          <w:sz w:val="20"/>
        </w:rPr>
        <w:t xml:space="preserve"> Milieu-Haut (favorable)</w:t>
      </w:r>
    </w:p>
    <w:p>
      <w:pPr>
        <w:jc w:val="both"/>
      </w:pPr>
      <w:r>
        <w:rPr>
          <w:b/>
          <w:sz w:val="20"/>
        </w:rPr>
        <w:t>DIRECTION :</w:t>
      </w:r>
      <w:r>
        <w:rPr>
          <w:sz w:val="20"/>
        </w:rPr>
        <w:t xml:space="preserve"> SELL</w:t>
      </w:r>
    </w:p>
    <w:p>
      <w:pPr>
        <w:jc w:val="both"/>
      </w:pPr>
      <w:r>
        <w:rPr>
          <w:b/>
          <w:sz w:val="20"/>
        </w:rPr>
        <w:t>CONVICTION :</w:t>
      </w:r>
      <w:r>
        <w:rPr>
          <w:sz w:val="20"/>
        </w:rPr>
        <w:t xml:space="preserve"> 8/10 - Prix en dérive haussière typique, toutes SMA en résistance, zone chaude spike statistique</w:t>
      </w:r>
    </w:p>
    <w:p>
      <w:pPr>
        <w:jc w:val="both"/>
      </w:pPr>
      <w:r>
        <w:rPr>
          <w:b/>
          <w:sz w:val="20"/>
        </w:rPr>
        <w:t>ENTREE :</w:t>
      </w:r>
      <w:r>
        <w:rPr>
          <w:sz w:val="20"/>
        </w:rPr>
        <w:t xml:space="preserve"> 97523.42 (SELL LIMIT - attendre rebond vers résistance SMA20)</w:t>
      </w:r>
    </w:p>
    <w:p>
      <w:pPr>
        <w:jc w:val="both"/>
      </w:pPr>
      <w:r>
        <w:rPr>
          <w:b/>
          <w:sz w:val="20"/>
        </w:rPr>
        <w:t>STOP LOSS :</w:t>
      </w:r>
      <w:r>
        <w:rPr>
          <w:sz w:val="20"/>
        </w:rPr>
        <w:t xml:space="preserve"> 97791.35 (+267.9 pips / +0.80xATR au-dessus)</w:t>
      </w:r>
    </w:p>
    <w:p>
      <w:pPr>
        <w:jc w:val="both"/>
      </w:pPr>
      <w:r>
        <w:rPr>
          <w:b/>
          <w:sz w:val="20"/>
        </w:rPr>
        <w:t>TP1 :</w:t>
      </w:r>
      <w:r>
        <w:rPr>
          <w:sz w:val="20"/>
        </w:rPr>
        <w:t xml:space="preserve"> 97000 (Support psychologique -523 pips)</w:t>
      </w:r>
    </w:p>
    <w:p>
      <w:pPr>
        <w:jc w:val="both"/>
      </w:pPr>
      <w:r>
        <w:rPr>
          <w:b/>
          <w:sz w:val="20"/>
        </w:rPr>
        <w:t>TP2 :</w:t>
      </w:r>
      <w:r>
        <w:rPr>
          <w:sz w:val="20"/>
        </w:rPr>
        <w:t xml:space="preserve"> 96686.14 (Spike complet estimé -837 pips)</w:t>
      </w:r>
    </w:p>
    <w:p>
      <w:r>
        <w:rPr>
          <w:b/>
          <w:sz w:val="20"/>
        </w:rPr>
        <w:t>TAILLE :</w:t>
      </w:r>
    </w:p>
    <w:p>
      <w:pPr>
        <w:jc w:val="both"/>
      </w:pPr>
      <w:r>
        <w:rPr>
          <w:sz w:val="20"/>
        </w:rPr>
        <w:t xml:space="preserve">- Compte $10 = </w:t>
      </w:r>
      <w:r>
        <w:rPr>
          <w:b/>
          <w:sz w:val="20"/>
        </w:rPr>
        <w:t>0.01 lot</w:t>
      </w:r>
      <w:r>
        <w:rPr>
          <w:sz w:val="20"/>
        </w:rPr>
        <w:t xml:space="preserve"> (risque $2.68 = 26.8% - </w:t>
      </w:r>
      <w:r>
        <w:rPr>
          <w:b/>
          <w:sz w:val="20"/>
        </w:rPr>
        <w:t>HORS LIMITE</w:t>
      </w:r>
      <w:r>
        <w:rPr>
          <w:sz w:val="20"/>
        </w:rPr>
        <w:t>)</w:t>
      </w:r>
    </w:p>
    <w:p>
      <w:pPr>
        <w:jc w:val="both"/>
      </w:pPr>
      <w:r>
        <w:rPr>
          <w:sz w:val="20"/>
        </w:rPr>
        <w:t xml:space="preserve">- Compte $50 = </w:t>
      </w:r>
      <w:r>
        <w:rPr>
          <w:b/>
          <w:sz w:val="20"/>
        </w:rPr>
        <w:t>0.01 lot</w:t>
      </w:r>
      <w:r>
        <w:rPr>
          <w:sz w:val="20"/>
        </w:rPr>
        <w:t xml:space="preserve"> (risque $2.68 = 5.36% - </w:t>
      </w:r>
      <w:r>
        <w:rPr>
          <w:b/>
          <w:sz w:val="20"/>
        </w:rPr>
        <w:t>HORS LIMITE</w:t>
      </w:r>
      <w:r>
        <w:rPr>
          <w:sz w:val="20"/>
        </w:rPr>
        <w:t>)</w:t>
      </w:r>
    </w:p>
    <w:p>
      <w:pPr>
        <w:jc w:val="both"/>
      </w:pPr>
      <w:r>
        <w:rPr>
          <w:sz w:val="20"/>
        </w:rPr>
        <w:t xml:space="preserve">- </w:t>
      </w:r>
      <w:r>
        <w:rPr>
          <w:b/>
          <w:sz w:val="20"/>
        </w:rPr>
        <w:t>AJUSTEMENT OBLIGATOIRE</w:t>
      </w:r>
      <w:r>
        <w:rPr>
          <w:sz w:val="20"/>
        </w:rPr>
        <w:t xml:space="preserve"> : Compte $10 = SKIP | Compte $50 = 0.01 lot avec acceptance risque 5.4% OU attendre meilleur point d'entrée</w:t>
      </w:r>
    </w:p>
    <w:p>
      <w:pPr>
        <w:jc w:val="both"/>
      </w:pPr>
      <w:r>
        <w:rPr>
          <w:b/>
          <w:sz w:val="20"/>
        </w:rPr>
        <w:t>RATIO R:R :</w:t>
      </w:r>
      <w:r>
        <w:rPr>
          <w:sz w:val="20"/>
        </w:rPr>
        <w:t xml:space="preserve"> 1:3.13 (excellent)</w:t>
      </w:r>
    </w:p>
    <w:p>
      <w:pPr>
        <w:jc w:val="both"/>
      </w:pPr>
      <w:r>
        <w:rPr>
          <w:b/>
          <w:sz w:val="20"/>
        </w:rPr>
        <w:t>INVALIDATION :</w:t>
      </w:r>
      <w:r>
        <w:rPr>
          <w:sz w:val="20"/>
        </w:rPr>
        <w:t xml:space="preserve"> Prix clôture au-dessus de 97850 (résistance SMA20 + 1xATR) sans spike dans les 20 prochains ticks</w:t>
      </w:r>
    </w:p>
    <w:p>
      <w:pPr>
        <w:pBdr>
          <w:bottom w:val="single" w:sz="6" w:space="1" w:color="CCCCCC"/>
        </w:pBdr>
      </w:pPr>
    </w:p>
    <w:p>
      <w:pPr>
        <w:pStyle w:val="Heading2"/>
        <w:jc w:val="left"/>
      </w:pPr>
      <w:r>
        <w:rPr>
          <w:color w:val="500064"/>
          <w:sz w:val="28"/>
        </w:rPr>
        <w:t>SECTION 3 - RISQUES SPECIFIQUES</w:t>
      </w:r>
    </w:p>
    <w:p>
      <w:pPr>
        <w:pStyle w:val="ListNumber"/>
      </w:pPr>
      <w:r>
        <w:rPr>
          <w:b/>
          <w:sz w:val="20"/>
        </w:rPr>
        <w:t>Risque de dérive prolongée</w:t>
      </w:r>
      <w:r>
        <w:rPr>
          <w:sz w:val="20"/>
        </w:rPr>
        <w:t xml:space="preserve"> : Le Crash 50 peut continuer sa montée artificielle 10-15 ticks supplémentaires avant le spike, activant le stop loss prématurément. La nature stochastique rend le timing imprécis.</w:t>
      </w:r>
    </w:p>
    <w:p>
      <w:pPr>
        <w:pStyle w:val="ListNumber"/>
      </w:pPr>
      <w:r>
        <w:rPr>
          <w:b/>
          <w:sz w:val="20"/>
        </w:rPr>
        <w:t>Sizing inadapté aux micro-comptes</w:t>
      </w:r>
      <w:r>
        <w:rPr>
          <w:sz w:val="20"/>
        </w:rPr>
        <w:t xml:space="preserve"> : L'ATR de 334 pips avec lot minimal 0.01 génère un risque de $2.68, soit 26.8% d'un compte $10 - </w:t>
      </w:r>
      <w:r>
        <w:rPr>
          <w:b/>
          <w:sz w:val="20"/>
        </w:rPr>
        <w:t>structurellement incompatible</w:t>
      </w:r>
      <w:r>
        <w:rPr>
          <w:sz w:val="20"/>
        </w:rPr>
        <w:t xml:space="preserve"> avec le money management. Seuls comptes ≥$50 peuvent trader cet instrument.</w:t>
      </w:r>
    </w:p>
    <w:p>
      <w:pPr>
        <w:pStyle w:val="ListNumber"/>
      </w:pPr>
      <w:r>
        <w:rPr>
          <w:b/>
          <w:sz w:val="20"/>
        </w:rPr>
        <w:t>Gap risk post-spike</w:t>
      </w:r>
      <w:r>
        <w:rPr>
          <w:sz w:val="20"/>
        </w:rPr>
        <w:t xml:space="preserve"> : Si le spike survient pendant la période de détention, le prix peut sauter directement à TP2 (96686) en ignorant TP1, empêchant la prise de profit partielle. Alternativement, un micro-spike insuffisant peut laisser la position en flottant négatif.</w:t>
      </w:r>
    </w:p>
    <w:p>
      <w:pPr>
        <w:pBdr>
          <w:bottom w:val="single" w:sz="6" w:space="1" w:color="CCCCCC"/>
        </w:pBdr>
      </w:pPr>
    </w:p>
    <w:p>
      <w:pPr>
        <w:pStyle w:val="Heading2"/>
        <w:jc w:val="left"/>
      </w:pPr>
      <w:r>
        <w:rPr>
          <w:color w:val="500064"/>
          <w:sz w:val="28"/>
        </w:rPr>
        <w:t>SECTION 4 - CONDITION DE SKIP</w:t>
      </w:r>
    </w:p>
    <w:p>
      <w:r>
        <w:rPr>
          <w:b/>
          <w:sz w:val="20"/>
        </w:rPr>
        <w:t>ALERTE COMPTE $10 : AUCUN SIGNAL EXECUTABLE</w:t>
      </w:r>
    </w:p>
    <w:p>
      <w:pPr>
        <w:jc w:val="both"/>
      </w:pPr>
      <w:r>
        <w:rPr>
          <w:b/>
          <w:sz w:val="20"/>
        </w:rPr>
        <w:t>Raison :</w:t>
      </w:r>
      <w:r>
        <w:rPr>
          <w:sz w:val="20"/>
        </w:rPr>
        <w:t xml:space="preserve"> Le lot minimal 0.01 sur Crash 50 expose 26.8% du capital ($2.68 sur $10) avec un stop à 268 pips. Violation grave du risque 1-2% maximum.</w:t>
      </w:r>
    </w:p>
    <w:p>
      <w:r>
        <w:rPr>
          <w:b/>
          <w:sz w:val="20"/>
        </w:rPr>
        <w:t>Revenez quand :</w:t>
      </w:r>
    </w:p>
    <w:p>
      <w:pPr>
        <w:jc w:val="both"/>
      </w:pPr>
      <w:r>
        <w:rPr>
          <w:sz w:val="20"/>
        </w:rPr>
        <w:t>- Capital atteint $50+ pour sizing viable, OU</w:t>
      </w:r>
    </w:p>
    <w:p>
      <w:pPr>
        <w:jc w:val="both"/>
      </w:pPr>
      <w:r>
        <w:rPr>
          <w:sz w:val="20"/>
        </w:rPr>
        <w:t>- Prix revient à 97800+ (zone critique haute) permettant stop plus serré à 98000 (200 pips = $2.00 risque acceptable pour $50), OU</w:t>
      </w:r>
    </w:p>
    <w:p>
      <w:pPr>
        <w:jc w:val="both"/>
      </w:pPr>
      <w:r>
        <w:rPr>
          <w:sz w:val="20"/>
        </w:rPr>
        <w:t>- Passage à Crash 300 Index (volatilité moindre, lots fractionnaires possibles)</w:t>
      </w:r>
    </w:p>
    <w:p>
      <w:pPr>
        <w:jc w:val="both"/>
      </w:pPr>
      <w:r>
        <w:rPr>
          <w:b/>
          <w:sz w:val="22"/>
        </w:rPr>
        <w:t>Pour compte $50 :</w:t>
      </w:r>
      <w:r>
        <w:rPr>
          <w:sz w:val="22"/>
        </w:rPr>
        <w:t xml:space="preserve"> Signal VALIDE mais </w:t>
      </w:r>
      <w:r>
        <w:rPr>
          <w:b/>
          <w:sz w:val="22"/>
        </w:rPr>
        <w:t>risque élevé accepté à 5.4%</w:t>
      </w:r>
      <w:r>
        <w:rPr>
          <w:sz w:val="22"/>
        </w:rPr>
        <w:t xml:space="preserve"> - Réduire à 0.5% si broker autorise micro-lots 0.005.</w:t>
      </w:r>
    </w:p>
    <w:p>
      <w:pPr>
        <w:pBdr>
          <w:bottom w:val="single" w:sz="6" w:space="1" w:color="CCCCCC"/>
        </w:pBdr>
      </w:pPr>
    </w:p>
    <w:p>
      <w:pPr>
        <w:pStyle w:val="Heading1"/>
        <w:jc w:val="left"/>
      </w:pPr>
      <w:r>
        <w:rPr>
          <w:color w:val="142864"/>
        </w:rPr>
        <w:t>RESUME — Ce qu'il faut retenir</w:t>
      </w:r>
    </w:p>
    <w:p>
      <w:pPr>
        <w:pStyle w:val="Heading2"/>
        <w:jc w:val="left"/>
      </w:pPr>
      <w:r>
        <w:rPr>
          <w:color w:val="142864"/>
          <w:sz w:val="28"/>
        </w:rPr>
        <w:t>RÉSUMÉ EXÉCUTIF - CRASH 50 INDEX</w:t>
      </w:r>
    </w:p>
    <w:p>
      <w:pPr>
        <w:pStyle w:val="ListNumber"/>
      </w:pPr>
      <w:r>
        <w:rPr>
          <w:b/>
          <w:sz w:val="20"/>
        </w:rPr>
        <w:t>Contexte de marché</w:t>
      </w:r>
      <w:r>
        <w:rPr>
          <w:sz w:val="20"/>
        </w:rPr>
        <w:t xml:space="preserve"> : Tendance baissière structurelle confirmée avec prix sous toutes les moyennes mobiles (SMA20/50/200), MACD négatif depuis 20+ jours et pattern de plus bas descendants établi.</w:t>
      </w:r>
    </w:p>
    <w:p>
      <w:pPr>
        <w:pStyle w:val="ListNumber"/>
      </w:pPr>
      <w:r>
        <w:rPr>
          <w:b/>
          <w:sz w:val="20"/>
        </w:rPr>
        <w:t>Signal principal</w:t>
      </w:r>
      <w:r>
        <w:rPr>
          <w:sz w:val="20"/>
        </w:rPr>
        <w:t xml:space="preserve"> : SELL avec confiance 65% - Structure technique baissière dominante malgré RSI à 39 (proche survente), probabilité historique de 71% de continuation du MACD négatif.</w:t>
      </w:r>
    </w:p>
    <w:p>
      <w:pPr>
        <w:pStyle w:val="ListNumber"/>
      </w:pPr>
      <w:r>
        <w:rPr>
          <w:b/>
          <w:sz w:val="20"/>
        </w:rPr>
        <w:t>Niveaux critiques</w:t>
      </w:r>
      <w:r>
        <w:rPr>
          <w:sz w:val="20"/>
        </w:rPr>
        <w:t xml:space="preserve"> : Entry conservateur à 97,356 (marché) ou agressif à 97,523 (limite) | SL 97,691-97,791 (335-435 points) | TP1 96,686 (670 points) puis TP2 96,000-96,500.</w:t>
      </w:r>
    </w:p>
    <w:p>
      <w:pPr>
        <w:pStyle w:val="ListNumber"/>
      </w:pPr>
      <w:r>
        <w:rPr>
          <w:b/>
          <w:sz w:val="20"/>
        </w:rPr>
        <w:t>Sizing recommandé</w:t>
      </w:r>
      <w:r>
        <w:rPr>
          <w:sz w:val="20"/>
        </w:rPr>
        <w:t xml:space="preserve"> : 0.01 lot pour comptes $10-$50 (risque 0.3% du capital) - Sizing ultra-prudent requis en raison de la volatilité extrême (ATR 335 points) et risques de gaps nocturnes.</w:t>
      </w:r>
    </w:p>
    <w:p>
      <w:pPr>
        <w:pStyle w:val="ListNumber"/>
      </w:pPr>
      <w:r>
        <w:rPr>
          <w:b/>
          <w:sz w:val="20"/>
        </w:rPr>
        <w:t>Condition d'entrée</w:t>
      </w:r>
      <w:r>
        <w:rPr>
          <w:sz w:val="20"/>
        </w:rPr>
        <w:t xml:space="preserve"> : Entrée échelonnée recommandée - 50% position immédiate à 97,400, puis complément à 97,000 après prise de premiers profits pour optimiser risk/reward face au contexte survendu.</w:t>
      </w:r>
    </w:p>
    <w:p>
      <w:pPr>
        <w:pStyle w:val="ListNumber"/>
      </w:pPr>
      <w:r>
        <w:rPr>
          <w:b/>
          <w:sz w:val="20"/>
        </w:rPr>
        <w:t>Risques principaux</w:t>
      </w:r>
      <w:r>
        <w:rPr>
          <w:sz w:val="20"/>
        </w:rPr>
        <w:t xml:space="preserve"> : Gaps brutaux haussiers (instrument gap-prone non-stop trading) et possible rebond technique imminent vu RSI 39 + proximité bande Bollinger inférieure - 35% probabilité de consolidation/reversal.</w:t>
      </w:r>
    </w:p>
    <w:p>
      <w:pPr>
        <w:pBdr>
          <w:bottom w:val="single" w:sz="6" w:space="1" w:color="CCCCCC"/>
        </w:pBdr>
      </w:pPr>
    </w:p>
    <w:p/>
    <w:p>
      <w:pPr>
        <w:jc w:val="center"/>
      </w:pPr>
      <w:r>
        <w:rPr>
          <w:color w:val="969696"/>
          <w:sz w:val="16"/>
        </w:rPr>
        <w:t>TradBOT — Rapport généré automatiquement par le bridge TradingAgents | 2026-05-21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