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Volatility 100 Index</w:t>
      </w:r>
    </w:p>
    <w:p>
      <w:pPr>
        <w:jc w:val="center"/>
      </w:pPr>
      <w:r>
        <w:rPr>
          <w:color w:val="646464"/>
          <w:sz w:val="20"/>
        </w:rPr>
        <w:t>Date d'analyse : 2026-05-21    |    Généré le : 2026-05-21</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404.20000</w:t>
            </w:r>
          </w:p>
        </w:tc>
      </w:tr>
      <w:tr>
        <w:tc>
          <w:tcPr>
            <w:tcW w:type="dxa" w:w="4320"/>
          </w:tcPr>
          <w:p>
            <w:r>
              <w:rPr>
                <w:b/>
                <w:color w:val="3C3C3C"/>
              </w:rPr>
              <w:t>ATR (volatilité)</w:t>
            </w:r>
          </w:p>
        </w:tc>
        <w:tc>
          <w:tcPr>
            <w:tcW w:type="dxa" w:w="4320"/>
          </w:tcPr>
          <w:p>
            <w:r>
              <w:t>42.05915</w:t>
            </w:r>
          </w:p>
        </w:tc>
      </w:tr>
    </w:tbl>
    <w:p/>
    <w:p>
      <w:pPr>
        <w:pStyle w:val="Heading2"/>
        <w:jc w:val="left"/>
      </w:pPr>
      <w:r>
        <w:rPr>
          <w:color w:val="B41E1E"/>
        </w:rPr>
        <w:t>Signaux de Trading Proposes</w:t>
      </w:r>
    </w:p>
    <w:p>
      <w:r>
        <w:rPr>
          <w:b/>
          <w:color w:val="B41E1E"/>
          <w:sz w:val="22"/>
        </w:rPr>
        <w:t xml:space="preserve">  Signal 1 — Conservateur — Ordre Marche</w:t>
      </w:r>
    </w:p>
    <w:tbl>
      <w:tblPr>
        <w:tblStyle w:val="TableGrid"/>
        <w:tblW w:type="auto" w:w="0"/>
        <w:tblLook w:firstColumn="1" w:firstRow="1" w:lastColumn="0" w:lastRow="0" w:noHBand="0" w:noVBand="1" w:val="04A0"/>
      </w:tblPr>
      <w:tblGrid>
        <w:gridCol w:w="4320"/>
        <w:gridCol w:w="4320"/>
      </w:tblGrid>
      <w:tr>
        <w:tc>
          <w:tcPr>
            <w:tcW w:type="dxa" w:w="4320"/>
            <w:shd w:val="clear" w:color="auto" w:fill="DFFFD6"/>
          </w:tcPr>
          <w:p>
            <w:r>
              <w:rPr>
                <w:b/>
              </w:rPr>
              <w:t>Type d'ordre</w:t>
            </w:r>
          </w:p>
        </w:tc>
        <w:tc>
          <w:tcPr>
            <w:tcW w:type="dxa" w:w="4320"/>
            <w:shd w:val="clear" w:color="auto" w:fill="DFFFD6"/>
          </w:tcPr>
          <w:p>
            <w:r>
              <w:t>MARKET</w:t>
            </w:r>
          </w:p>
        </w:tc>
      </w:tr>
      <w:tr>
        <w:tc>
          <w:tcPr>
            <w:tcW w:type="dxa" w:w="4320"/>
            <w:shd w:val="clear" w:color="auto" w:fill="DFFFD6"/>
          </w:tcPr>
          <w:p>
            <w:r>
              <w:rPr>
                <w:b/>
              </w:rPr>
              <w:t>Direction</w:t>
            </w:r>
          </w:p>
        </w:tc>
        <w:tc>
          <w:tcPr>
            <w:tcW w:type="dxa" w:w="4320"/>
            <w:shd w:val="clear" w:color="auto" w:fill="DFFFD6"/>
          </w:tcPr>
          <w:p>
            <w:r>
              <w:t>SELL</w:t>
            </w:r>
          </w:p>
        </w:tc>
      </w:tr>
      <w:tr>
        <w:tc>
          <w:tcPr>
            <w:tcW w:type="dxa" w:w="4320"/>
            <w:shd w:val="clear" w:color="auto" w:fill="DFFFD6"/>
          </w:tcPr>
          <w:p>
            <w:r>
              <w:rPr>
                <w:b/>
              </w:rPr>
              <w:t>Prix d'entrée</w:t>
            </w:r>
          </w:p>
        </w:tc>
        <w:tc>
          <w:tcPr>
            <w:tcW w:type="dxa" w:w="4320"/>
            <w:shd w:val="clear" w:color="auto" w:fill="DFFFD6"/>
          </w:tcPr>
          <w:p>
            <w:r>
              <w:t>404.20000</w:t>
            </w:r>
          </w:p>
        </w:tc>
      </w:tr>
      <w:tr>
        <w:tc>
          <w:tcPr>
            <w:tcW w:type="dxa" w:w="4320"/>
            <w:shd w:val="clear" w:color="auto" w:fill="DFFFD6"/>
          </w:tcPr>
          <w:p>
            <w:r>
              <w:rPr>
                <w:b/>
              </w:rPr>
              <w:t>Stop Loss</w:t>
            </w:r>
          </w:p>
        </w:tc>
        <w:tc>
          <w:tcPr>
            <w:tcW w:type="dxa" w:w="4320"/>
            <w:shd w:val="clear" w:color="auto" w:fill="DFFFD6"/>
          </w:tcPr>
          <w:p>
            <w:r>
              <w:t>446.25915  (42.1 pips de risque)</w:t>
            </w:r>
          </w:p>
        </w:tc>
      </w:tr>
      <w:tr>
        <w:tc>
          <w:tcPr>
            <w:tcW w:type="dxa" w:w="4320"/>
            <w:shd w:val="clear" w:color="auto" w:fill="DFFFD6"/>
          </w:tcPr>
          <w:p>
            <w:r>
              <w:rPr>
                <w:b/>
              </w:rPr>
              <w:t>Take Profit</w:t>
            </w:r>
          </w:p>
        </w:tc>
        <w:tc>
          <w:tcPr>
            <w:tcW w:type="dxa" w:w="4320"/>
            <w:shd w:val="clear" w:color="auto" w:fill="DFFFD6"/>
          </w:tcPr>
          <w:p>
            <w:r>
              <w:t>320.08170  (84.1 pips de gain)</w:t>
            </w:r>
          </w:p>
        </w:tc>
      </w:tr>
      <w:tr>
        <w:tc>
          <w:tcPr>
            <w:tcW w:type="dxa" w:w="4320"/>
            <w:shd w:val="clear" w:color="auto" w:fill="DFFFD6"/>
          </w:tcPr>
          <w:p>
            <w:r>
              <w:rPr>
                <w:b/>
              </w:rPr>
              <w:t>Ratio R/R</w:t>
            </w:r>
          </w:p>
        </w:tc>
        <w:tc>
          <w:tcPr>
            <w:tcW w:type="dxa" w:w="4320"/>
            <w:shd w:val="clear" w:color="auto" w:fill="DFFFD6"/>
          </w:tcPr>
          <w:p>
            <w:r>
              <w:t>1 : 2.0</w:t>
            </w:r>
          </w:p>
        </w:tc>
      </w:tr>
      <w:tr>
        <w:tc>
          <w:tcPr>
            <w:tcW w:type="dxa" w:w="4320"/>
            <w:shd w:val="clear" w:color="auto" w:fill="DFFFD6"/>
          </w:tcPr>
          <w:p>
            <w:r>
              <w:rPr>
                <w:b/>
              </w:rPr>
              <w:t>Prix actuel</w:t>
            </w:r>
          </w:p>
        </w:tc>
        <w:tc>
          <w:tcPr>
            <w:tcW w:type="dxa" w:w="4320"/>
            <w:shd w:val="clear" w:color="auto" w:fill="DFFFD6"/>
          </w:tcPr>
          <w:p>
            <w:r>
              <w:t>404.20000</w:t>
            </w:r>
          </w:p>
        </w:tc>
      </w:tr>
    </w:tbl>
    <w:p/>
    <w:p>
      <w:r>
        <w:rPr>
          <w:b/>
          <w:color w:val="B41E1E"/>
          <w:sz w:val="22"/>
        </w:rPr>
        <w:t xml:space="preserve">  Signal 2 — Agressif    — Ordre Limite</w:t>
      </w:r>
    </w:p>
    <w:tbl>
      <w:tblPr>
        <w:tblStyle w:val="TableGrid"/>
        <w:tblW w:type="auto" w:w="0"/>
        <w:tblLook w:firstColumn="1" w:firstRow="1" w:lastColumn="0" w:lastRow="0" w:noHBand="0" w:noVBand="1" w:val="04A0"/>
      </w:tblPr>
      <w:tblGrid>
        <w:gridCol w:w="4320"/>
        <w:gridCol w:w="4320"/>
      </w:tblGrid>
      <w:tr>
        <w:tc>
          <w:tcPr>
            <w:tcW w:type="dxa" w:w="4320"/>
            <w:shd w:val="clear" w:color="auto" w:fill="FFF3CD"/>
          </w:tcPr>
          <w:p>
            <w:r>
              <w:rPr>
                <w:b/>
              </w:rPr>
              <w:t>Type d'ordre</w:t>
            </w:r>
          </w:p>
        </w:tc>
        <w:tc>
          <w:tcPr>
            <w:tcW w:type="dxa" w:w="4320"/>
            <w:shd w:val="clear" w:color="auto" w:fill="FFF3CD"/>
          </w:tcPr>
          <w:p>
            <w:r>
              <w:t>LIMIT</w:t>
            </w:r>
          </w:p>
        </w:tc>
      </w:tr>
      <w:tr>
        <w:tc>
          <w:tcPr>
            <w:tcW w:type="dxa" w:w="4320"/>
            <w:shd w:val="clear" w:color="auto" w:fill="FFF3CD"/>
          </w:tcPr>
          <w:p>
            <w:r>
              <w:rPr>
                <w:b/>
              </w:rPr>
              <w:t>Direction</w:t>
            </w:r>
          </w:p>
        </w:tc>
        <w:tc>
          <w:tcPr>
            <w:tcW w:type="dxa" w:w="4320"/>
            <w:shd w:val="clear" w:color="auto" w:fill="FFF3CD"/>
          </w:tcPr>
          <w:p>
            <w:r>
              <w:t>SELL</w:t>
            </w:r>
          </w:p>
        </w:tc>
      </w:tr>
      <w:tr>
        <w:tc>
          <w:tcPr>
            <w:tcW w:type="dxa" w:w="4320"/>
            <w:shd w:val="clear" w:color="auto" w:fill="FFF3CD"/>
          </w:tcPr>
          <w:p>
            <w:r>
              <w:rPr>
                <w:b/>
              </w:rPr>
              <w:t>Prix d'entrée</w:t>
            </w:r>
          </w:p>
        </w:tc>
        <w:tc>
          <w:tcPr>
            <w:tcW w:type="dxa" w:w="4320"/>
            <w:shd w:val="clear" w:color="auto" w:fill="FFF3CD"/>
          </w:tcPr>
          <w:p>
            <w:r>
              <w:t>404.20000</w:t>
            </w:r>
          </w:p>
        </w:tc>
      </w:tr>
      <w:tr>
        <w:tc>
          <w:tcPr>
            <w:tcW w:type="dxa" w:w="4320"/>
            <w:shd w:val="clear" w:color="auto" w:fill="FFF3CD"/>
          </w:tcPr>
          <w:p>
            <w:r>
              <w:rPr>
                <w:b/>
              </w:rPr>
              <w:t>Stop Loss</w:t>
            </w:r>
          </w:p>
        </w:tc>
        <w:tc>
          <w:tcPr>
            <w:tcW w:type="dxa" w:w="4320"/>
            <w:shd w:val="clear" w:color="auto" w:fill="FFF3CD"/>
          </w:tcPr>
          <w:p>
            <w:r>
              <w:t>437.84732  (33.6 pips de risque)</w:t>
            </w:r>
          </w:p>
        </w:tc>
      </w:tr>
      <w:tr>
        <w:tc>
          <w:tcPr>
            <w:tcW w:type="dxa" w:w="4320"/>
            <w:shd w:val="clear" w:color="auto" w:fill="FFF3CD"/>
          </w:tcPr>
          <w:p>
            <w:r>
              <w:rPr>
                <w:b/>
              </w:rPr>
              <w:t>Take Profit</w:t>
            </w:r>
          </w:p>
        </w:tc>
        <w:tc>
          <w:tcPr>
            <w:tcW w:type="dxa" w:w="4320"/>
            <w:shd w:val="clear" w:color="auto" w:fill="FFF3CD"/>
          </w:tcPr>
          <w:p>
            <w:r>
              <w:t>299.05213  (105.1 pips de gain)</w:t>
            </w:r>
          </w:p>
        </w:tc>
      </w:tr>
      <w:tr>
        <w:tc>
          <w:tcPr>
            <w:tcW w:type="dxa" w:w="4320"/>
            <w:shd w:val="clear" w:color="auto" w:fill="FFF3CD"/>
          </w:tcPr>
          <w:p>
            <w:r>
              <w:rPr>
                <w:b/>
              </w:rPr>
              <w:t>Ratio R/R</w:t>
            </w:r>
          </w:p>
        </w:tc>
        <w:tc>
          <w:tcPr>
            <w:tcW w:type="dxa" w:w="4320"/>
            <w:shd w:val="clear" w:color="auto" w:fill="FFF3CD"/>
          </w:tcPr>
          <w:p>
            <w:r>
              <w:t>1 : 3.13</w:t>
            </w:r>
          </w:p>
        </w:tc>
      </w:tr>
      <w:tr>
        <w:tc>
          <w:tcPr>
            <w:tcW w:type="dxa" w:w="4320"/>
            <w:shd w:val="clear" w:color="auto" w:fill="FFF3CD"/>
          </w:tcPr>
          <w:p>
            <w:r>
              <w:rPr>
                <w:b/>
              </w:rPr>
              <w:t>Prix actuel</w:t>
            </w:r>
          </w:p>
        </w:tc>
        <w:tc>
          <w:tcPr>
            <w:tcW w:type="dxa" w:w="4320"/>
            <w:shd w:val="clear" w:color="auto" w:fill="FFF3CD"/>
          </w:tcPr>
          <w:p>
            <w:r>
              <w:t>404.20000</w:t>
            </w:r>
          </w:p>
        </w:tc>
      </w:tr>
    </w:tbl>
    <w:p/>
    <w:p>
      <w:pPr>
        <w:pBdr>
          <w:bottom w:val="single" w:sz="6" w:space="1" w:color="CCCCCC"/>
        </w:pBdr>
      </w:pPr>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j3_10nkv.png"/>
                    <pic:cNvPicPr/>
                  </pic:nvPicPr>
                  <pic:blipFill>
                    <a:blip r:embed="rId9"/>
                    <a:stretch>
                      <a:fillRect/>
                    </a:stretch>
                  </pic:blipFill>
                  <pic:spPr>
                    <a:xfrm>
                      <a:off x="0" y="0"/>
                      <a:ext cx="2011680" cy="1605963"/>
                    </a:xfrm>
                    <a:prstGeom prst="rect"/>
                  </pic:spPr>
                </pic:pic>
              </a:graphicData>
            </a:graphic>
          </wp:inline>
        </w:drawing>
      </w:r>
      <w:r>
        <w:t xml:space="preserve">    </w:t>
      </w:r>
      <w:r>
        <w:drawing>
          <wp:inline xmlns:a="http://schemas.openxmlformats.org/drawingml/2006/main" xmlns:pic="http://schemas.openxmlformats.org/drawingml/2006/picture">
            <wp:extent cx="2743200" cy="2050057"/>
            <wp:docPr id="2" name="Picture 2"/>
            <wp:cNvGraphicFramePr>
              <a:graphicFrameLocks noChangeAspect="1"/>
            </wp:cNvGraphicFramePr>
            <a:graphic>
              <a:graphicData uri="http://schemas.openxmlformats.org/drawingml/2006/picture">
                <pic:pic>
                  <pic:nvPicPr>
                    <pic:cNvPr id="0" name="tmpcj4ndux6.png"/>
                    <pic:cNvPicPr/>
                  </pic:nvPicPr>
                  <pic:blipFill>
                    <a:blip r:embed="rId10"/>
                    <a:stretch>
                      <a:fillRect/>
                    </a:stretch>
                  </pic:blipFill>
                  <pic:spPr>
                    <a:xfrm>
                      <a:off x="0" y="0"/>
                      <a:ext cx="2743200" cy="2050057"/>
                    </a:xfrm>
                    <a:prstGeom prst="rect"/>
                  </pic:spPr>
                </pic:pic>
              </a:graphicData>
            </a:graphic>
          </wp:inline>
        </w:drawing>
      </w:r>
    </w:p>
    <w:p>
      <w:pPr>
        <w:pBdr>
          <w:bottom w:val="single" w:sz="6" w:space="1" w:color="CCCCCC"/>
        </w:pBdr>
      </w:pPr>
    </w:p>
    <w:p>
      <w:pPr>
        <w:pStyle w:val="Heading2"/>
        <w:jc w:val="left"/>
      </w:pPr>
      <w:r>
        <w:rPr>
          <w:color w:val="1E3C78"/>
        </w:rPr>
        <w:t>Indicateurs Techniques (TradBOT — M1)</w:t>
      </w:r>
    </w:p>
    <w:p>
      <w:pPr>
        <w:jc w:val="center"/>
      </w:pPr>
      <w:r>
        <w:drawing>
          <wp:inline xmlns:a="http://schemas.openxmlformats.org/drawingml/2006/main" xmlns:pic="http://schemas.openxmlformats.org/drawingml/2006/picture">
            <wp:extent cx="4114800" cy="2971048"/>
            <wp:docPr id="3" name="Picture 3"/>
            <wp:cNvGraphicFramePr>
              <a:graphicFrameLocks noChangeAspect="1"/>
            </wp:cNvGraphicFramePr>
            <a:graphic>
              <a:graphicData uri="http://schemas.openxmlformats.org/drawingml/2006/picture">
                <pic:pic>
                  <pic:nvPicPr>
                    <pic:cNvPr id="0" name="tmptgpwkyuq.png"/>
                    <pic:cNvPicPr/>
                  </pic:nvPicPr>
                  <pic:blipFill>
                    <a:blip r:embed="rId11"/>
                    <a:stretch>
                      <a:fillRect/>
                    </a:stretch>
                  </pic:blipFill>
                  <pic:spPr>
                    <a:xfrm>
                      <a:off x="0" y="0"/>
                      <a:ext cx="4114800" cy="2971048"/>
                    </a:xfrm>
                    <a:prstGeom prst="rect"/>
                  </pic:spPr>
                </pic:pic>
              </a:graphicData>
            </a:graphic>
          </wp:inline>
        </w:drawing>
      </w:r>
    </w:p>
    <w:p/>
    <w:p>
      <w:pPr>
        <w:pBdr>
          <w:bottom w:val="single" w:sz="6" w:space="1" w:color="CCCCCC"/>
        </w:pBdr>
      </w:pPr>
    </w:p>
    <w:p>
      <w:pPr>
        <w:pStyle w:val="Heading2"/>
        <w:jc w:val="left"/>
      </w:pPr>
      <w:r>
        <w:rPr>
          <w:color w:val="1E3C78"/>
        </w:rPr>
        <w:t>Décision Portfolio Manager</w:t>
      </w:r>
    </w:p>
    <w:p>
      <w:pPr>
        <w:jc w:val="both"/>
      </w:pPr>
      <w:r>
        <w:rPr>
          <w:b/>
          <w:sz w:val="22"/>
        </w:rPr>
        <w:t>Rating</w:t>
      </w:r>
      <w:r>
        <w:rPr>
          <w:sz w:val="22"/>
        </w:rPr>
        <w:t>: Underweight</w:t>
      </w:r>
    </w:p>
    <w:p>
      <w:pPr>
        <w:jc w:val="both"/>
      </w:pPr>
      <w:r>
        <w:rPr>
          <w:b/>
          <w:sz w:val="20"/>
        </w:rPr>
        <w:t>Executive Summary</w:t>
      </w:r>
      <w:r>
        <w:rPr>
          <w:sz w:val="20"/>
        </w:rPr>
        <w:t>: Reduce R_100 exposure by 30-40% at current levels (404.58) to right-size risk after a 69.2% decline, while maintaining remaining position with a hard stop at 365. This balances capital preservation with tactical exposure to potential oversold bounce. Take profits systematically at 450 and 500 resistance levels on any recovery. Position sizing is the core issue-neither panic liquidation nor aggressive accumulation is warranted given the broken trend structure and nascent momentum stabilization signals.</w:t>
      </w:r>
    </w:p>
    <w:p>
      <w:pPr>
        <w:jc w:val="both"/>
      </w:pPr>
      <w:r>
        <w:rPr>
          <w:b/>
          <w:sz w:val="22"/>
        </w:rPr>
        <w:t>Investment Thesis</w:t>
      </w:r>
      <w:r>
        <w:rPr>
          <w:sz w:val="22"/>
        </w:rPr>
        <w:t>: The debate reveals three critical truths that drive this decision:</w:t>
      </w:r>
    </w:p>
    <w:p>
      <w:pPr>
        <w:jc w:val="both"/>
      </w:pPr>
      <w:r>
        <w:rPr>
          <w:b/>
          <w:sz w:val="20"/>
        </w:rPr>
        <w:t>First, the downtrend remains structurally intact but momentum is decelerating.</w:t>
      </w:r>
      <w:r>
        <w:rPr>
          <w:sz w:val="20"/>
        </w:rPr>
        <w:t xml:space="preserve"> The conservative analyst is correct that the MACD line at -67.81 (most negative in 18 months) with both moving averages in decline represents a broken trend structure. The death cross with 19.8% MA separation and systematic violation of all major support levels (1000, 800, 600, 500) confirms this isn't a temporary dip-it's an 18-month structural breakdown. However, the aggressive analyst's observation of MACD histogram improvement from -19.29 to -1.20 (93.8% deceleration) and RSI at 31.36 signals waning selling pressure. The neutral analyst correctly synthesizes this: we're seeing momentum exhaustion without trend reversal confirmation.</w:t>
      </w:r>
    </w:p>
    <w:p>
      <w:pPr>
        <w:jc w:val="both"/>
      </w:pPr>
      <w:r>
        <w:rPr>
          <w:b/>
          <w:sz w:val="20"/>
        </w:rPr>
        <w:t>Second, the original SELL recommendation suffers from catastrophic timing.</w:t>
      </w:r>
      <w:r>
        <w:rPr>
          <w:sz w:val="20"/>
        </w:rPr>
        <w:t xml:space="preserve"> The conservative analyst's capital preservation logic would be sound at 1000, 800, or even 600-but advocating 50-75% position reduction after a 69.2% decline locks in maximum losses at precisely the moment oversold conditions create bounce probability. The neutral analyst's critique is devastating: selling now crystallizes catastrophic damage and eliminates recovery potential. The technical report assigns 65% probability to either consolidation (390-430 range, 45%) or relief rally (450-500, 20%)-meaning two-thirds of probable outcomes don't involve significant further decline. The proposed stop-loss at 500 is functionally a "stop-gain" that would trigger on any meaningful bounce, guaranteeing loss realization.</w:t>
      </w:r>
    </w:p>
    <w:p>
      <w:pPr>
        <w:jc w:val="both"/>
      </w:pPr>
      <w:r>
        <w:rPr>
          <w:b/>
          <w:sz w:val="20"/>
        </w:rPr>
        <w:t>Third, the aggressive BUY thesis mistakes oversold conditions for reversal confirmation.</w:t>
      </w:r>
      <w:r>
        <w:rPr>
          <w:sz w:val="20"/>
        </w:rPr>
        <w:t xml:space="preserve"> The aggressive analyst's "generational opportunity" narrative ignores that the technical report documents three prior MACD histogram improvements during this decline, each preceding further drops. The comparison to Bitcoin actually undermines the bull case-synthetic indices lack fundamental value anchors, meaning there's no floor. The instrument could reach 300 or 200 with no financial statement to signal "too cheap." The 47.3% distance below the 200-day MA isn't capitulation when that MA itself declines 0.3% daily-it's breakdown relative to a falling reference point. The April rally to 744 lasted nine days before collapsing 46%, confirming failed rallies are bearish continuation patterns in this context.</w:t>
      </w:r>
    </w:p>
    <w:p>
      <w:pPr>
        <w:jc w:val="both"/>
      </w:pPr>
      <w:r>
        <w:rPr>
          <w:b/>
          <w:sz w:val="20"/>
        </w:rPr>
        <w:t>The balanced path forward:</w:t>
      </w:r>
      <w:r>
        <w:rPr>
          <w:sz w:val="20"/>
        </w:rPr>
        <w:t xml:space="preserve"> The neutral analyst provides the framework this decision adopts. An Underweight rating-rather than SELL-acknowledges that position management at these levels requires graduated risk reduction, not panic liquidation. Reducing exposure by 30-40% accomplishes three objectives: (1) right-sizes risk after catastrophic decline, (2) maintains participation in the 65% probability scenario of stabilization/bounce, and (3) preserves capital against the 35% probability of further decline to 350-380.</w:t>
      </w:r>
    </w:p>
    <w:p>
      <w:pPr>
        <w:jc w:val="both"/>
      </w:pPr>
      <w:r>
        <w:rPr>
          <w:sz w:val="20"/>
        </w:rPr>
        <w:t>The stop at 365 is critical-it represents the Bollinger Band extreme where the tactical thesis is truly invalidated, with only 9.8% downside from current levels. This stop protects against the synthetic index's lack of fundamental floor that the conservative analyst correctly warns about, while avoiding the premature exit the original 500-level stop would trigger.</w:t>
      </w:r>
    </w:p>
    <w:p>
      <w:pPr>
        <w:jc w:val="both"/>
      </w:pPr>
      <w:r>
        <w:rPr>
          <w:sz w:val="20"/>
        </w:rPr>
        <w:t>The systematic profit-taking plan (25-30% reduction at 450, another 25-30% at 500) addresses both analysts' valid concerns: it captures recovery if the aggressive analyst's bounce materializes, while de-risking into strength as the conservative analyst's structural downtrend warnings suggest. The 50-day SMA at 615 (declining 0.7% daily) and all broken support levels create formidable overhead resistance that makes mean-reversion selling-not breakout buying-the appropriate strategy.</w:t>
      </w:r>
    </w:p>
    <w:p>
      <w:pPr>
        <w:jc w:val="both"/>
      </w:pPr>
      <w:r>
        <w:rPr>
          <w:b/>
          <w:sz w:val="20"/>
        </w:rPr>
        <w:t>Risk management context:</w:t>
      </w:r>
      <w:r>
        <w:rPr>
          <w:sz w:val="20"/>
        </w:rPr>
        <w:t xml:space="preserve"> Without knowing R_100's portfolio weight, we assume moderate sizing. The ATR of 42.06 on a 404 price represents 10.4% daily volatility-the neutral analyst is correct this remains "very high panic" despite declining from extreme levels. Zero institutional coverage and synthetic index structure create liquidity risk that warrants smaller position sizes than fundamental equities.</w:t>
      </w:r>
    </w:p>
    <w:p>
      <w:pPr>
        <w:jc w:val="both"/>
      </w:pPr>
      <w:r>
        <w:rPr>
          <w:sz w:val="20"/>
        </w:rPr>
        <w:t>This Underweight decision rejects both the aggressive analyst's "back up the truck" recklessness and the conservative analyst's "sell everything at the bottom" capitulation. It implements the neutral analyst's graduated response: reduce exposure to reflect broken trend structure, maintain tactical positioning for probable bounce scenarios, enforce strict downside protection, and systematically de-risk into any recovery. The probabilities, technical structure, and portfolio survival principles all support measured risk reduction-not liquidation, not accumulation.</w:t>
      </w:r>
    </w:p>
    <w:p>
      <w:pPr>
        <w:jc w:val="both"/>
      </w:pPr>
      <w:r>
        <w:rPr>
          <w:b/>
          <w:sz w:val="22"/>
        </w:rPr>
        <w:t>Price Target</w:t>
      </w:r>
      <w:r>
        <w:rPr>
          <w:sz w:val="22"/>
        </w:rPr>
        <w:t>: 450.0</w:t>
      </w:r>
    </w:p>
    <w:p>
      <w:pPr>
        <w:jc w:val="both"/>
      </w:pPr>
      <w:r>
        <w:rPr>
          <w:b/>
          <w:sz w:val="22"/>
        </w:rPr>
        <w:t>Time Horizon</w:t>
      </w:r>
      <w:r>
        <w:rPr>
          <w:sz w:val="22"/>
        </w:rPr>
        <w:t>: 4-8 weeks</w:t>
      </w:r>
    </w:p>
    <w:p>
      <w:pPr>
        <w:pBdr>
          <w:bottom w:val="single" w:sz="6" w:space="1" w:color="CCCCCC"/>
        </w:pBdr>
      </w:pPr>
    </w:p>
    <w:p>
      <w:pPr>
        <w:pStyle w:val="Heading2"/>
        <w:jc w:val="left"/>
      </w:pPr>
      <w:r>
        <w:rPr>
          <w:color w:val="1E643C"/>
        </w:rPr>
        <w:t>Plan Trader</w:t>
      </w:r>
    </w:p>
    <w:p>
      <w:pPr>
        <w:jc w:val="both"/>
      </w:pPr>
      <w:r>
        <w:rPr>
          <w:b/>
          <w:sz w:val="22"/>
        </w:rPr>
        <w:t>Action</w:t>
      </w:r>
      <w:r>
        <w:rPr>
          <w:sz w:val="22"/>
        </w:rPr>
        <w:t>: Sell</w:t>
      </w:r>
    </w:p>
    <w:p>
      <w:pPr>
        <w:jc w:val="both"/>
      </w:pPr>
      <w:r>
        <w:rPr>
          <w:b/>
          <w:sz w:val="20"/>
        </w:rPr>
        <w:t>Reasoning</w:t>
      </w:r>
      <w:r>
        <w:rPr>
          <w:sz w:val="20"/>
        </w:rPr>
        <w:t>: The comprehensive analysis reveals overwhelming bearish evidence: MACD line at -67.81 (most negative in 18 months), death cross with 19.8% MA separation, and all major support levels broken. Historical context shows three prior MACD histogram improvements during declines each preceded further drops, and the April rally to 744 was a failed 9-day bounce that collapsed 46%. The bear analyst's probability-weighted expected value of -11.65% and the synthetic index's lack of fundamental value anchor in an illiquid panic environment make this a capital preservation situation, not a contrarian opportunity.</w:t>
      </w:r>
    </w:p>
    <w:p>
      <w:pPr>
        <w:jc w:val="both"/>
      </w:pPr>
      <w:r>
        <w:rPr>
          <w:b/>
          <w:sz w:val="22"/>
        </w:rPr>
        <w:t>Stop Loss</w:t>
      </w:r>
      <w:r>
        <w:rPr>
          <w:sz w:val="22"/>
        </w:rPr>
        <w:t>: 500.0</w:t>
      </w:r>
    </w:p>
    <w:p>
      <w:pPr>
        <w:jc w:val="both"/>
      </w:pPr>
      <w:r>
        <w:rPr>
          <w:b/>
          <w:sz w:val="22"/>
        </w:rPr>
        <w:t>Position Sizing</w:t>
      </w:r>
      <w:r>
        <w:rPr>
          <w:sz w:val="22"/>
        </w:rPr>
        <w:t>: Reduce existing positions by 50-75%; avoid new entries entirely</w:t>
      </w:r>
    </w:p>
    <w:p>
      <w:pPr>
        <w:jc w:val="both"/>
      </w:pPr>
      <w:r>
        <w:rPr>
          <w:sz w:val="22"/>
        </w:rPr>
        <w:t xml:space="preserve">FINAL TRANSACTION PROPOSAL: </w:t>
      </w:r>
      <w:r>
        <w:rPr>
          <w:b/>
          <w:sz w:val="22"/>
        </w:rPr>
        <w:t>SELL</w:t>
      </w:r>
    </w:p>
    <w:p>
      <w:pPr>
        <w:pBdr>
          <w:bottom w:val="single" w:sz="6" w:space="1" w:color="CCCCCC"/>
        </w:pBdr>
      </w:pPr>
    </w:p>
    <w:p>
      <w:pPr>
        <w:pStyle w:val="Heading2"/>
        <w:jc w:val="left"/>
      </w:pPr>
      <w:r>
        <w:rPr>
          <w:color w:val="502878"/>
        </w:rPr>
        <w:t>Rapport Marché</w:t>
      </w:r>
    </w:p>
    <w:p>
      <w:pPr>
        <w:pStyle w:val="Heading2"/>
        <w:jc w:val="left"/>
      </w:pPr>
      <w:r>
        <w:rPr>
          <w:color w:val="502878"/>
          <w:sz w:val="28"/>
        </w:rPr>
        <w:t>Technical Analysis Report: R_100 Synthetic Index</w:t>
      </w:r>
    </w:p>
    <w:p>
      <w:pPr>
        <w:pBdr>
          <w:bottom w:val="single" w:sz="6" w:space="1" w:color="CCCCCC"/>
        </w:pBdr>
      </w:pPr>
    </w:p>
    <w:p>
      <w:pPr>
        <w:pStyle w:val="Heading3"/>
        <w:jc w:val="left"/>
      </w:pPr>
      <w:r>
        <w:rPr>
          <w:color w:val="502878"/>
          <w:sz w:val="24"/>
        </w:rPr>
        <w:t>Executive Summary</w:t>
      </w:r>
    </w:p>
    <w:p>
      <w:pPr>
        <w:jc w:val="both"/>
      </w:pPr>
      <w:r>
        <w:rPr>
          <w:sz w:val="20"/>
        </w:rPr>
        <w:t xml:space="preserve">The R_100 synthetic index is currently experiencing an </w:t>
      </w:r>
      <w:r>
        <w:rPr>
          <w:b/>
          <w:sz w:val="20"/>
        </w:rPr>
        <w:t>acute bearish phase</w:t>
      </w:r>
      <w:r>
        <w:rPr>
          <w:sz w:val="20"/>
        </w:rPr>
        <w:t xml:space="preserve"> with the price collapsing to </w:t>
      </w:r>
      <w:r>
        <w:rPr>
          <w:b/>
          <w:sz w:val="20"/>
        </w:rPr>
        <w:t>404.58</w:t>
      </w:r>
      <w:r>
        <w:rPr>
          <w:sz w:val="20"/>
        </w:rPr>
        <w:t xml:space="preserve"> - a dramatic </w:t>
      </w:r>
      <w:r>
        <w:rPr>
          <w:b/>
          <w:sz w:val="20"/>
        </w:rPr>
        <w:t>-69.2% decline</w:t>
      </w:r>
      <w:r>
        <w:rPr>
          <w:sz w:val="20"/>
        </w:rPr>
        <w:t xml:space="preserve"> from its 18-month peak of 1,313.03 (May 21, 2025). All technical indicators uniformly signal severe weakness, with the price trading </w:t>
      </w:r>
      <w:r>
        <w:rPr>
          <w:b/>
          <w:sz w:val="20"/>
        </w:rPr>
        <w:t>47.3% below its 200-day moving average</w:t>
      </w:r>
      <w:r>
        <w:rPr>
          <w:sz w:val="20"/>
        </w:rPr>
        <w:t xml:space="preserve"> (768.0) and </w:t>
      </w:r>
      <w:r>
        <w:rPr>
          <w:b/>
          <w:sz w:val="20"/>
        </w:rPr>
        <w:t>34.3% below the 50-day SMA</w:t>
      </w:r>
      <w:r>
        <w:rPr>
          <w:sz w:val="20"/>
        </w:rPr>
        <w:t xml:space="preserve"> (615.7). This represents a critical oversold condition rarely seen, suggesting potential capitulation or a significant trend reversal opportunity.</w:t>
      </w:r>
    </w:p>
    <w:p>
      <w:pPr>
        <w:pBdr>
          <w:bottom w:val="single" w:sz="6" w:space="1" w:color="CCCCCC"/>
        </w:pBdr>
      </w:pPr>
    </w:p>
    <w:p>
      <w:pPr>
        <w:pStyle w:val="Heading3"/>
        <w:jc w:val="left"/>
      </w:pPr>
      <w:r>
        <w:rPr>
          <w:color w:val="502878"/>
          <w:sz w:val="24"/>
        </w:rPr>
        <w:t>1. Price Action &amp; Trend Analysis</w:t>
      </w:r>
    </w:p>
    <w:p>
      <w:pPr>
        <w:pStyle w:val="Heading4"/>
        <w:jc w:val="left"/>
      </w:pPr>
      <w:r>
        <w:rPr>
          <w:color w:val="502878"/>
          <w:sz w:val="22"/>
        </w:rPr>
        <w:t>Recent Price Movement</w:t>
      </w:r>
    </w:p>
    <w:p>
      <w:pPr>
        <w:pStyle w:val="Heading4"/>
        <w:jc w:val="left"/>
      </w:pPr>
      <w:r>
        <w:rPr>
          <w:color w:val="502878"/>
          <w:sz w:val="22"/>
        </w:rPr>
        <w:t>Critical Observations</w:t>
      </w:r>
    </w:p>
    <w:p>
      <w:pPr>
        <w:jc w:val="both"/>
      </w:pPr>
      <w:r>
        <w:rPr>
          <w:sz w:val="22"/>
        </w:rPr>
        <w:t xml:space="preserve">The current price of 404.58 marks the </w:t>
      </w:r>
      <w:r>
        <w:rPr>
          <w:b/>
          <w:sz w:val="22"/>
        </w:rPr>
        <w:t>lowest level in the entire 18-month dataset</w:t>
      </w:r>
      <w:r>
        <w:rPr>
          <w:sz w:val="22"/>
        </w:rPr>
        <w:t>, indicating either a severe market dislocation or fundamental shift in the synthetic index dynamics.</w:t>
      </w:r>
    </w:p>
    <w:p>
      <w:pPr>
        <w:pBdr>
          <w:bottom w:val="single" w:sz="6" w:space="1" w:color="CCCCCC"/>
        </w:pBdr>
      </w:pPr>
    </w:p>
    <w:p>
      <w:pPr>
        <w:pStyle w:val="Heading3"/>
        <w:jc w:val="left"/>
      </w:pPr>
      <w:r>
        <w:rPr>
          <w:color w:val="502878"/>
          <w:sz w:val="24"/>
        </w:rPr>
        <w:t>2. Moving Average Analysis</w:t>
      </w:r>
    </w:p>
    <w:p>
      <w:pPr>
        <w:pStyle w:val="Heading4"/>
        <w:jc w:val="left"/>
      </w:pPr>
      <w:r>
        <w:rPr>
          <w:color w:val="502878"/>
          <w:sz w:val="22"/>
        </w:rPr>
        <w:t>50-Day SMA (Medium-Term Trend)</w:t>
      </w:r>
    </w:p>
    <w:p>
      <w:pPr>
        <w:jc w:val="both"/>
      </w:pPr>
      <w:r>
        <w:rPr>
          <w:sz w:val="22"/>
        </w:rPr>
        <w:t xml:space="preserve">The 50-day SMA has been in consistent decline since late April 2026, dropping from 680+ to current 615.68. The widening gap between price and this average (currently 211 points) suggests </w:t>
      </w:r>
      <w:r>
        <w:rPr>
          <w:b/>
          <w:sz w:val="22"/>
        </w:rPr>
        <w:t>extreme bearish momentum</w:t>
      </w:r>
      <w:r>
        <w:rPr>
          <w:sz w:val="22"/>
        </w:rPr>
        <w:t xml:space="preserve"> with no signs of stabilization yet.</w:t>
      </w:r>
    </w:p>
    <w:p>
      <w:pPr>
        <w:pStyle w:val="Heading4"/>
        <w:jc w:val="left"/>
      </w:pPr>
      <w:r>
        <w:rPr>
          <w:color w:val="502878"/>
          <w:sz w:val="22"/>
        </w:rPr>
        <w:t>200-Day SMA (Long-Term Trend)</w:t>
      </w:r>
    </w:p>
    <w:p>
      <w:pPr>
        <w:jc w:val="both"/>
      </w:pPr>
      <w:r>
        <w:rPr>
          <w:sz w:val="22"/>
        </w:rPr>
        <w:t xml:space="preserve">The 200-day SMA confirms the </w:t>
      </w:r>
      <w:r>
        <w:rPr>
          <w:b/>
          <w:sz w:val="22"/>
        </w:rPr>
        <w:t>long-term downtrend</w:t>
      </w:r>
      <w:r>
        <w:rPr>
          <w:sz w:val="22"/>
        </w:rPr>
        <w:t>. The massive 363-point separation from current price represents one of the most extreme divergences in the data period. Historically, the index last traded above this level in early February 2026.</w:t>
      </w:r>
    </w:p>
    <w:p>
      <w:pPr>
        <w:pStyle w:val="Heading4"/>
        <w:jc w:val="left"/>
      </w:pPr>
      <w:r>
        <w:rPr>
          <w:color w:val="502878"/>
          <w:sz w:val="22"/>
        </w:rPr>
        <w:t>Death Cross Status</w:t>
      </w:r>
    </w:p>
    <w:p>
      <w:pPr>
        <w:pBdr>
          <w:bottom w:val="single" w:sz="6" w:space="1" w:color="CCCCCC"/>
        </w:pBdr>
      </w:pPr>
    </w:p>
    <w:p>
      <w:pPr>
        <w:pStyle w:val="Heading3"/>
        <w:jc w:val="left"/>
      </w:pPr>
      <w:r>
        <w:rPr>
          <w:color w:val="502878"/>
          <w:sz w:val="24"/>
        </w:rPr>
        <w:t>3. Momentum Indicators</w:t>
      </w:r>
    </w:p>
    <w:p>
      <w:pPr>
        <w:pStyle w:val="Heading4"/>
        <w:jc w:val="left"/>
      </w:pPr>
      <w:r>
        <w:rPr>
          <w:color w:val="502878"/>
          <w:sz w:val="22"/>
        </w:rPr>
        <w:t>RSI (Relative Strength Index)</w:t>
      </w:r>
    </w:p>
    <w:p>
      <w:pPr>
        <w:jc w:val="both"/>
      </w:pPr>
      <w:r>
        <w:rPr>
          <w:sz w:val="20"/>
        </w:rPr>
        <w:t>The RSI has been persistently weak, spending most of May in oversold territory (below 30). Key insights:</w:t>
      </w:r>
    </w:p>
    <w:p>
      <w:pPr>
        <w:jc w:val="both"/>
      </w:pPr>
      <w:r>
        <w:rPr>
          <w:sz w:val="20"/>
        </w:rPr>
        <w:t xml:space="preserve">- </w:t>
      </w:r>
      <w:r>
        <w:rPr>
          <w:b/>
          <w:sz w:val="20"/>
        </w:rPr>
        <w:t>Peak RSI in timeframe:</w:t>
      </w:r>
      <w:r>
        <w:rPr>
          <w:sz w:val="20"/>
        </w:rPr>
        <w:t xml:space="preserve"> 63.24 (April 13) during brief recovery</w:t>
      </w:r>
    </w:p>
    <w:p>
      <w:pPr>
        <w:jc w:val="both"/>
      </w:pPr>
      <w:r>
        <w:rPr>
          <w:sz w:val="20"/>
        </w:rPr>
        <w:t xml:space="preserve">- </w:t>
      </w:r>
      <w:r>
        <w:rPr>
          <w:b/>
          <w:sz w:val="20"/>
        </w:rPr>
        <w:t>Current weakness:</w:t>
      </w:r>
      <w:r>
        <w:rPr>
          <w:sz w:val="20"/>
        </w:rPr>
        <w:t xml:space="preserve"> RSI has been below 45 since May 1, indicating sustained selling pressure</w:t>
      </w:r>
    </w:p>
    <w:p>
      <w:pPr>
        <w:jc w:val="both"/>
      </w:pPr>
      <w:r>
        <w:rPr>
          <w:sz w:val="20"/>
        </w:rPr>
        <w:t xml:space="preserve">- </w:t>
      </w:r>
      <w:r>
        <w:rPr>
          <w:b/>
          <w:sz w:val="20"/>
        </w:rPr>
        <w:t>Divergence potential:</w:t>
      </w:r>
      <w:r>
        <w:rPr>
          <w:sz w:val="20"/>
        </w:rPr>
        <w:t xml:space="preserve"> If price makes new lows while RSI forms higher lows, this could signal bullish divergence and potential reversal</w:t>
      </w:r>
    </w:p>
    <w:p>
      <w:pPr>
        <w:pStyle w:val="Heading4"/>
        <w:jc w:val="left"/>
      </w:pPr>
      <w:r>
        <w:rPr>
          <w:color w:val="502878"/>
          <w:sz w:val="22"/>
        </w:rPr>
        <w:t>MACD (Moving Average Convergence Divergence)</w:t>
      </w:r>
    </w:p>
    <w:p>
      <w:pPr>
        <w:jc w:val="both"/>
      </w:pPr>
      <w:r>
        <w:rPr>
          <w:sz w:val="22"/>
        </w:rPr>
        <w:t>The MACD has plunged deeper into negative territory throughout May, confirming accelerating downward momentum. The indicator last showed positive readings in late April (peaked at +25.61 on April 17), but has since reversed dramatically.</w:t>
      </w:r>
    </w:p>
    <w:p>
      <w:pPr>
        <w:pStyle w:val="Heading4"/>
        <w:jc w:val="left"/>
      </w:pPr>
      <w:r>
        <w:rPr>
          <w:color w:val="502878"/>
          <w:sz w:val="22"/>
        </w:rPr>
        <w:t>MACD Histogram</w:t>
      </w:r>
    </w:p>
    <w:p>
      <w:pPr>
        <w:jc w:val="both"/>
      </w:pPr>
      <w:r>
        <w:rPr>
          <w:b/>
          <w:sz w:val="20"/>
        </w:rPr>
        <w:t>Critical Finding:</w:t>
      </w:r>
      <w:r>
        <w:rPr>
          <w:sz w:val="20"/>
        </w:rPr>
        <w:t xml:space="preserve"> While the MACD line remains deeply negative, the histogram has been </w:t>
      </w:r>
      <w:r>
        <w:rPr>
          <w:b/>
          <w:sz w:val="20"/>
        </w:rPr>
        <w:t>improving significantly</w:t>
      </w:r>
      <w:r>
        <w:rPr>
          <w:sz w:val="20"/>
        </w:rPr>
        <w:t xml:space="preserve"> over the past 8 days (from -19.29 to -1.20). This represents a </w:t>
      </w:r>
      <w:r>
        <w:rPr>
          <w:b/>
          <w:sz w:val="20"/>
        </w:rPr>
        <w:t>momentum deceleration</w:t>
      </w:r>
      <w:r>
        <w:rPr>
          <w:sz w:val="20"/>
        </w:rPr>
        <w:t xml:space="preserve"> - the rate of decline is slowing, which often precedes trend reversals. This is the strongest bullish signal in the current analysis.</w:t>
      </w:r>
    </w:p>
    <w:p>
      <w:pPr>
        <w:pBdr>
          <w:bottom w:val="single" w:sz="6" w:space="1" w:color="CCCCCC"/>
        </w:pBdr>
      </w:pPr>
    </w:p>
    <w:p>
      <w:pPr>
        <w:pStyle w:val="Heading3"/>
        <w:jc w:val="left"/>
      </w:pPr>
      <w:r>
        <w:rPr>
          <w:color w:val="502878"/>
          <w:sz w:val="24"/>
        </w:rPr>
        <w:t>4. Volatility Analysis</w:t>
      </w:r>
    </w:p>
    <w:p>
      <w:pPr>
        <w:pStyle w:val="Heading4"/>
        <w:jc w:val="left"/>
      </w:pPr>
      <w:r>
        <w:rPr>
          <w:color w:val="502878"/>
          <w:sz w:val="22"/>
        </w:rPr>
        <w:t>Average True Range (ATR)</w:t>
      </w:r>
    </w:p>
    <w:p>
      <w:pPr>
        <w:jc w:val="both"/>
      </w:pPr>
      <w:r>
        <w:rPr>
          <w:sz w:val="20"/>
        </w:rPr>
        <w:t xml:space="preserve">The ATR peaked at 61.37 on May 5, reflecting extreme volatility during the sharp decline below 600. The current reading of 42.06 shows </w:t>
      </w:r>
      <w:r>
        <w:rPr>
          <w:b/>
          <w:sz w:val="20"/>
        </w:rPr>
        <w:t>volatility normalization</w:t>
      </w:r>
      <w:r>
        <w:rPr>
          <w:sz w:val="20"/>
        </w:rPr>
        <w:t>, suggesting panic selling may be subsiding. For context:</w:t>
      </w:r>
    </w:p>
    <w:p>
      <w:pPr>
        <w:jc w:val="both"/>
      </w:pPr>
      <w:r>
        <w:rPr>
          <w:sz w:val="20"/>
        </w:rPr>
        <w:t>- ATR above 55 = High volatility/panic conditions</w:t>
      </w:r>
    </w:p>
    <w:p>
      <w:pPr>
        <w:jc w:val="both"/>
      </w:pPr>
      <w:r>
        <w:rPr>
          <w:sz w:val="20"/>
        </w:rPr>
        <w:t>- ATR 40-55 = Elevated volatility</w:t>
      </w:r>
    </w:p>
    <w:p>
      <w:pPr>
        <w:jc w:val="both"/>
      </w:pPr>
      <w:r>
        <w:rPr>
          <w:sz w:val="20"/>
        </w:rPr>
        <w:t>- ATR below 40 = Normal conditions</w:t>
      </w:r>
    </w:p>
    <w:p>
      <w:pPr>
        <w:pStyle w:val="Heading4"/>
        <w:jc w:val="left"/>
      </w:pPr>
      <w:r>
        <w:rPr>
          <w:color w:val="502878"/>
          <w:sz w:val="22"/>
        </w:rPr>
        <w:t>Bollinger Bands</w:t>
      </w:r>
    </w:p>
    <w:p>
      <w:r>
        <w:rPr>
          <w:b/>
          <w:sz w:val="20"/>
        </w:rPr>
        <w:t>Key Insights:</w:t>
      </w:r>
    </w:p>
    <w:p>
      <w:pPr>
        <w:jc w:val="both"/>
      </w:pPr>
      <w:r>
        <w:rPr>
          <w:sz w:val="20"/>
        </w:rPr>
        <w:t xml:space="preserve">1. </w:t>
      </w:r>
      <w:r>
        <w:rPr>
          <w:b/>
          <w:sz w:val="20"/>
        </w:rPr>
        <w:t>Band Width:</w:t>
      </w:r>
      <w:r>
        <w:rPr>
          <w:sz w:val="20"/>
        </w:rPr>
        <w:t xml:space="preserve"> The 350-point spread (662.47 - 311.79) indicates still-elevated volatility</w:t>
      </w:r>
    </w:p>
    <w:p>
      <w:pPr>
        <w:jc w:val="both"/>
      </w:pPr>
      <w:r>
        <w:rPr>
          <w:sz w:val="20"/>
        </w:rPr>
        <w:t xml:space="preserve">2. </w:t>
      </w:r>
      <w:r>
        <w:rPr>
          <w:b/>
          <w:sz w:val="20"/>
        </w:rPr>
        <w:t>Price Position:</w:t>
      </w:r>
      <w:r>
        <w:rPr>
          <w:sz w:val="20"/>
        </w:rPr>
        <w:t xml:space="preserve"> At 404.58, the price is approximately 93 points (30%) above the lower band - not touching it, suggesting selling pressure is moderating</w:t>
      </w:r>
    </w:p>
    <w:p>
      <w:pPr>
        <w:jc w:val="both"/>
      </w:pPr>
      <w:r>
        <w:rPr>
          <w:sz w:val="20"/>
        </w:rPr>
        <w:t xml:space="preserve">3. </w:t>
      </w:r>
      <w:r>
        <w:rPr>
          <w:b/>
          <w:sz w:val="20"/>
        </w:rPr>
        <w:t>Band Squeeze:</w:t>
      </w:r>
      <w:r>
        <w:rPr>
          <w:sz w:val="20"/>
        </w:rPr>
        <w:t xml:space="preserve"> Upper band declining from 850+ in late April to 662 today shows contracting volatility</w:t>
      </w:r>
    </w:p>
    <w:p>
      <w:pPr>
        <w:jc w:val="both"/>
      </w:pPr>
      <w:r>
        <w:rPr>
          <w:sz w:val="20"/>
        </w:rPr>
        <w:t xml:space="preserve">4. </w:t>
      </w:r>
      <w:r>
        <w:rPr>
          <w:b/>
          <w:sz w:val="20"/>
        </w:rPr>
        <w:t>Support Level:</w:t>
      </w:r>
      <w:r>
        <w:rPr>
          <w:sz w:val="20"/>
        </w:rPr>
        <w:t xml:space="preserve"> The lower band at 311.79 represents the statistical extreme; a break below this would signal continued capitulation</w:t>
      </w:r>
    </w:p>
    <w:p>
      <w:pPr>
        <w:jc w:val="both"/>
      </w:pPr>
      <w:r>
        <w:rPr>
          <w:sz w:val="22"/>
        </w:rPr>
        <w:t xml:space="preserve">The fact that price bounced from near 388 (May 15) without breaking the lower Bollinger Band is a </w:t>
      </w:r>
      <w:r>
        <w:rPr>
          <w:b/>
          <w:sz w:val="22"/>
        </w:rPr>
        <w:t>mild positive signal</w:t>
      </w:r>
      <w:r>
        <w:rPr>
          <w:sz w:val="22"/>
        </w:rPr>
        <w:t xml:space="preserve"> suggesting potential support formation.</w:t>
      </w:r>
    </w:p>
    <w:p>
      <w:pPr>
        <w:pBdr>
          <w:bottom w:val="single" w:sz="6" w:space="1" w:color="CCCCCC"/>
        </w:pBdr>
      </w:pPr>
    </w:p>
    <w:p>
      <w:pPr>
        <w:pStyle w:val="Heading3"/>
        <w:jc w:val="left"/>
      </w:pPr>
      <w:r>
        <w:rPr>
          <w:color w:val="502878"/>
          <w:sz w:val="24"/>
        </w:rPr>
        <w:t>5. Market Structure &amp; Key Levels</w:t>
      </w:r>
    </w:p>
    <w:p>
      <w:pPr>
        <w:pStyle w:val="Heading4"/>
        <w:jc w:val="left"/>
      </w:pPr>
      <w:r>
        <w:rPr>
          <w:color w:val="502878"/>
          <w:sz w:val="22"/>
        </w:rPr>
        <w:t>Support Levels (Strength descending)</w:t>
      </w:r>
    </w:p>
    <w:p>
      <w:pPr>
        <w:pStyle w:val="Heading4"/>
        <w:jc w:val="left"/>
      </w:pPr>
      <w:r>
        <w:rPr>
          <w:color w:val="502878"/>
          <w:sz w:val="22"/>
        </w:rPr>
        <w:t>Resistance Levels (Strength ascending)</w:t>
      </w:r>
    </w:p>
    <w:p>
      <w:pPr>
        <w:pStyle w:val="Heading4"/>
        <w:jc w:val="left"/>
      </w:pPr>
      <w:r>
        <w:rPr>
          <w:color w:val="502878"/>
          <w:sz w:val="22"/>
        </w:rPr>
        <w:t>Volume Observations</w:t>
      </w:r>
    </w:p>
    <w:p>
      <w:pPr>
        <w:pBdr>
          <w:bottom w:val="single" w:sz="6" w:space="1" w:color="CCCCCC"/>
        </w:pBdr>
      </w:pPr>
    </w:p>
    <w:p>
      <w:pPr>
        <w:pStyle w:val="Heading3"/>
        <w:jc w:val="left"/>
      </w:pPr>
      <w:r>
        <w:rPr>
          <w:color w:val="502878"/>
          <w:sz w:val="24"/>
        </w:rPr>
        <w:t>6. Comparative Analysis: Recent Performance Metrics</w:t>
      </w:r>
    </w:p>
    <w:p>
      <w:pPr>
        <w:pStyle w:val="Heading4"/>
        <w:jc w:val="left"/>
      </w:pPr>
      <w:r>
        <w:rPr>
          <w:color w:val="502878"/>
          <w:sz w:val="22"/>
        </w:rPr>
        <w:t>Key Drawdown Periods Identified:</w:t>
      </w:r>
    </w:p>
    <w:p>
      <w:pPr>
        <w:jc w:val="both"/>
      </w:pPr>
      <w:r>
        <w:rPr>
          <w:sz w:val="22"/>
        </w:rPr>
        <w:t>The current decline from March 2026 mirrors the severity of the Q4 2025 collapse, but the recovery patterns differ significantly. Previous rebounds showed stronger momentum (RSI &gt;50), while current conditions remain weak.</w:t>
      </w:r>
    </w:p>
    <w:p>
      <w:pPr>
        <w:pBdr>
          <w:bottom w:val="single" w:sz="6" w:space="1" w:color="CCCCCC"/>
        </w:pBdr>
      </w:pPr>
    </w:p>
    <w:p>
      <w:pPr>
        <w:pStyle w:val="Heading3"/>
        <w:jc w:val="left"/>
      </w:pPr>
      <w:r>
        <w:rPr>
          <w:color w:val="502878"/>
          <w:sz w:val="24"/>
        </w:rPr>
        <w:t>7. Risk Assessment</w:t>
      </w:r>
    </w:p>
    <w:p>
      <w:pPr>
        <w:pStyle w:val="Heading4"/>
        <w:jc w:val="left"/>
      </w:pPr>
      <w:r>
        <w:rPr>
          <w:color w:val="502878"/>
          <w:sz w:val="22"/>
        </w:rPr>
        <w:t>Current Risk Factors (BEARISH)</w:t>
      </w:r>
    </w:p>
    <w:p>
      <w:pPr>
        <w:pStyle w:val="Heading4"/>
        <w:jc w:val="left"/>
      </w:pPr>
      <w:r>
        <w:rPr>
          <w:color w:val="502878"/>
          <w:sz w:val="22"/>
        </w:rPr>
        <w:t>Potential Reversal Signals (BULLISH)</w:t>
      </w:r>
    </w:p>
    <w:p>
      <w:pPr>
        <w:pStyle w:val="Heading4"/>
        <w:jc w:val="left"/>
      </w:pPr>
      <w:r>
        <w:rPr>
          <w:color w:val="502878"/>
          <w:sz w:val="22"/>
        </w:rPr>
        <w:t>Position Sizing Recommendations</w:t>
      </w:r>
    </w:p>
    <w:p>
      <w:pPr>
        <w:pBdr>
          <w:bottom w:val="single" w:sz="6" w:space="1" w:color="CCCCCC"/>
        </w:pBdr>
      </w:pPr>
    </w:p>
    <w:p>
      <w:pPr>
        <w:pStyle w:val="Heading3"/>
        <w:jc w:val="left"/>
      </w:pPr>
      <w:r>
        <w:rPr>
          <w:color w:val="502878"/>
          <w:sz w:val="24"/>
        </w:rPr>
        <w:t>8. Strategic Outlook &amp; Trading Implications</w:t>
      </w:r>
    </w:p>
    <w:p>
      <w:pPr>
        <w:pStyle w:val="Heading4"/>
        <w:jc w:val="left"/>
      </w:pPr>
      <w:r>
        <w:rPr>
          <w:color w:val="502878"/>
          <w:sz w:val="22"/>
        </w:rPr>
        <w:t>Short-Term (1-5 days)</w:t>
      </w:r>
    </w:p>
    <w:p>
      <w:pPr>
        <w:jc w:val="both"/>
      </w:pPr>
      <w:r>
        <w:rPr>
          <w:b/>
          <w:sz w:val="20"/>
        </w:rPr>
        <w:t>Scenario 1 (35% probability):</w:t>
      </w:r>
      <w:r>
        <w:rPr>
          <w:sz w:val="20"/>
        </w:rPr>
        <w:t xml:space="preserve"> Continued decline to test 350-380 range</w:t>
      </w:r>
    </w:p>
    <w:p>
      <w:pPr>
        <w:jc w:val="both"/>
      </w:pPr>
      <w:r>
        <w:rPr>
          <w:b/>
          <w:sz w:val="20"/>
        </w:rPr>
        <w:t>Scenario 2 (45% probability):</w:t>
      </w:r>
      <w:r>
        <w:rPr>
          <w:sz w:val="20"/>
        </w:rPr>
        <w:t xml:space="preserve"> Consolidation in 390-430 range</w:t>
      </w:r>
    </w:p>
    <w:p>
      <w:pPr>
        <w:jc w:val="both"/>
      </w:pPr>
      <w:r>
        <w:rPr>
          <w:b/>
          <w:sz w:val="20"/>
        </w:rPr>
        <w:t>Scenario 3 (20% probability):</w:t>
      </w:r>
      <w:r>
        <w:rPr>
          <w:sz w:val="20"/>
        </w:rPr>
        <w:t xml:space="preserve"> Relief rally toward 450-500</w:t>
      </w:r>
    </w:p>
    <w:p>
      <w:pPr>
        <w:pStyle w:val="Heading4"/>
        <w:jc w:val="left"/>
      </w:pPr>
      <w:r>
        <w:rPr>
          <w:color w:val="502878"/>
          <w:sz w:val="22"/>
        </w:rPr>
        <w:t>Medium-Term (1-4 weeks)</w:t>
      </w:r>
    </w:p>
    <w:p>
      <w:pPr>
        <w:jc w:val="both"/>
      </w:pPr>
      <w:r>
        <w:rPr>
          <w:b/>
          <w:sz w:val="20"/>
        </w:rPr>
        <w:t>Target 1:</w:t>
      </w:r>
      <w:r>
        <w:rPr>
          <w:sz w:val="20"/>
        </w:rPr>
        <w:t xml:space="preserve"> 470-490 (initial resistance)</w:t>
      </w:r>
    </w:p>
    <w:p>
      <w:pPr>
        <w:jc w:val="both"/>
      </w:pPr>
      <w:r>
        <w:rPr>
          <w:b/>
          <w:sz w:val="20"/>
        </w:rPr>
        <w:t>Target 2:</w:t>
      </w:r>
      <w:r>
        <w:rPr>
          <w:sz w:val="20"/>
        </w:rPr>
        <w:t xml:space="preserve"> 535-560 (May retest zone)</w:t>
      </w:r>
    </w:p>
    <w:p>
      <w:pPr>
        <w:jc w:val="both"/>
      </w:pPr>
      <w:r>
        <w:rPr>
          <w:b/>
          <w:sz w:val="20"/>
        </w:rPr>
        <w:t>Invalidation:</w:t>
      </w:r>
      <w:r>
        <w:rPr>
          <w:sz w:val="20"/>
        </w:rPr>
        <w:t xml:space="preserve"> Break below 380 would signal continued collapse</w:t>
      </w:r>
    </w:p>
    <w:p>
      <w:pPr>
        <w:pStyle w:val="Heading4"/>
        <w:jc w:val="left"/>
      </w:pPr>
      <w:r>
        <w:rPr>
          <w:color w:val="502878"/>
          <w:sz w:val="22"/>
        </w:rPr>
        <w:t>Long-Term (1-3 months)</w:t>
      </w:r>
    </w:p>
    <w:p>
      <w:r>
        <w:rPr>
          <w:b/>
          <w:sz w:val="20"/>
        </w:rPr>
        <w:t>Bull Case Requires:</w:t>
      </w:r>
    </w:p>
    <w:p>
      <w:pPr>
        <w:jc w:val="both"/>
      </w:pPr>
      <w:r>
        <w:rPr>
          <w:sz w:val="20"/>
        </w:rPr>
        <w:t>1. Golden cross (50 SMA crossing above 200 SMA)</w:t>
      </w:r>
    </w:p>
    <w:p>
      <w:pPr>
        <w:jc w:val="both"/>
      </w:pPr>
      <w:r>
        <w:rPr>
          <w:sz w:val="20"/>
        </w:rPr>
        <w:t>2. RSI sustaining above 50</w:t>
      </w:r>
    </w:p>
    <w:p>
      <w:pPr>
        <w:jc w:val="both"/>
      </w:pPr>
      <w:r>
        <w:rPr>
          <w:sz w:val="20"/>
        </w:rPr>
        <w:t>3. MACD crossing positive and staying positive</w:t>
      </w:r>
    </w:p>
    <w:p>
      <w:pPr>
        <w:jc w:val="both"/>
      </w:pPr>
      <w:r>
        <w:rPr>
          <w:sz w:val="20"/>
        </w:rPr>
        <w:t>4. Breaking above 768 (200 SMA) would confirm reversal</w:t>
      </w:r>
    </w:p>
    <w:p>
      <w:pPr>
        <w:pBdr>
          <w:bottom w:val="single" w:sz="6" w:space="1" w:color="CCCCCC"/>
        </w:pBdr>
      </w:pPr>
    </w:p>
    <w:p>
      <w:pPr>
        <w:pStyle w:val="Heading3"/>
        <w:jc w:val="left"/>
      </w:pPr>
      <w:r>
        <w:rPr>
          <w:color w:val="502878"/>
          <w:sz w:val="24"/>
        </w:rPr>
        <w:t>9. Indicator Selection Rationale</w:t>
      </w:r>
    </w:p>
    <w:p>
      <w:pPr>
        <w:jc w:val="both"/>
      </w:pPr>
      <w:r>
        <w:rPr>
          <w:sz w:val="22"/>
        </w:rPr>
        <w:t>The eight indicators chosen provide comprehensive, non-redundant coverage:</w:t>
      </w:r>
    </w:p>
    <w:p>
      <w:pPr>
        <w:pStyle w:val="ListNumber"/>
      </w:pPr>
      <w:r>
        <w:rPr>
          <w:b/>
          <w:sz w:val="20"/>
        </w:rPr>
        <w:t>RSI:</w:t>
      </w:r>
      <w:r>
        <w:rPr>
          <w:sz w:val="20"/>
        </w:rPr>
        <w:t xml:space="preserve"> Momentum and overbought/oversold conditions - essential for reversal identification</w:t>
      </w:r>
    </w:p>
    <w:p>
      <w:pPr>
        <w:pStyle w:val="ListNumber"/>
      </w:pPr>
      <w:r>
        <w:rPr>
          <w:b/>
          <w:sz w:val="20"/>
        </w:rPr>
        <w:t>MACD:</w:t>
      </w:r>
      <w:r>
        <w:rPr>
          <w:sz w:val="20"/>
        </w:rPr>
        <w:t xml:space="preserve"> Trend momentum and directional changes - captures broader momentum shifts</w:t>
      </w:r>
    </w:p>
    <w:p>
      <w:pPr>
        <w:pStyle w:val="ListNumber"/>
      </w:pPr>
      <w:r>
        <w:rPr>
          <w:b/>
          <w:sz w:val="20"/>
        </w:rPr>
        <w:t>MACD Histogram:</w:t>
      </w:r>
      <w:r>
        <w:rPr>
          <w:sz w:val="20"/>
        </w:rPr>
        <w:t xml:space="preserve"> Early warning for momentum changes - currently showing the clearest bullish signal</w:t>
      </w:r>
    </w:p>
    <w:p>
      <w:pPr>
        <w:pStyle w:val="ListNumber"/>
      </w:pPr>
      <w:r>
        <w:rPr>
          <w:b/>
          <w:sz w:val="20"/>
        </w:rPr>
        <w:t>50-day SMA:</w:t>
      </w:r>
      <w:r>
        <w:rPr>
          <w:sz w:val="20"/>
        </w:rPr>
        <w:t xml:space="preserve"> Medium-term trend and dynamic support/resistance - critical for entry/exit timing</w:t>
      </w:r>
    </w:p>
    <w:p>
      <w:pPr>
        <w:pStyle w:val="ListNumber"/>
      </w:pPr>
      <w:r>
        <w:rPr>
          <w:b/>
          <w:sz w:val="20"/>
        </w:rPr>
        <w:t>200-day SMA:</w:t>
      </w:r>
      <w:r>
        <w:rPr>
          <w:sz w:val="20"/>
        </w:rPr>
        <w:t xml:space="preserve"> Long-term trend confirmation - determines overall market structure</w:t>
      </w:r>
    </w:p>
    <w:p>
      <w:pPr>
        <w:pStyle w:val="ListNumber"/>
      </w:pPr>
      <w:r>
        <w:rPr>
          <w:b/>
          <w:sz w:val="20"/>
        </w:rPr>
        <w:t>Bollinger Upper Band:</w:t>
      </w:r>
      <w:r>
        <w:rPr>
          <w:sz w:val="20"/>
        </w:rPr>
        <w:t xml:space="preserve"> Identifies upside extremes and breakout potential</w:t>
      </w:r>
    </w:p>
    <w:p>
      <w:pPr>
        <w:pStyle w:val="ListNumber"/>
      </w:pPr>
      <w:r>
        <w:rPr>
          <w:b/>
          <w:sz w:val="20"/>
        </w:rPr>
        <w:t>Bollinger Lower Band:</w:t>
      </w:r>
      <w:r>
        <w:rPr>
          <w:sz w:val="20"/>
        </w:rPr>
        <w:t xml:space="preserve"> Identifies downside extremes and capitulation zones</w:t>
      </w:r>
    </w:p>
    <w:p>
      <w:pPr>
        <w:pStyle w:val="ListNumber"/>
      </w:pPr>
      <w:r>
        <w:rPr>
          <w:b/>
          <w:sz w:val="20"/>
        </w:rPr>
        <w:t>ATR:</w:t>
      </w:r>
      <w:r>
        <w:rPr>
          <w:sz w:val="20"/>
        </w:rPr>
        <w:t xml:space="preserve"> Volatility measurement for risk management - essential for stop-loss placement</w:t>
      </w:r>
    </w:p>
    <w:p>
      <w:pPr>
        <w:jc w:val="both"/>
      </w:pPr>
      <w:r>
        <w:rPr>
          <w:sz w:val="20"/>
        </w:rPr>
        <w:t>These indicators work synergistically:</w:t>
      </w:r>
    </w:p>
    <w:p>
      <w:pPr>
        <w:jc w:val="both"/>
      </w:pPr>
      <w:r>
        <w:rPr>
          <w:sz w:val="20"/>
        </w:rPr>
        <w:t xml:space="preserve">- </w:t>
      </w:r>
      <w:r>
        <w:rPr>
          <w:b/>
          <w:sz w:val="20"/>
        </w:rPr>
        <w:t>Trend identification:</w:t>
      </w:r>
      <w:r>
        <w:rPr>
          <w:sz w:val="20"/>
        </w:rPr>
        <w:t xml:space="preserve"> 50 SMA + 200 SMA + MACD</w:t>
      </w:r>
    </w:p>
    <w:p>
      <w:pPr>
        <w:jc w:val="both"/>
      </w:pPr>
      <w:r>
        <w:rPr>
          <w:sz w:val="20"/>
        </w:rPr>
        <w:t xml:space="preserve">- </w:t>
      </w:r>
      <w:r>
        <w:rPr>
          <w:b/>
          <w:sz w:val="20"/>
        </w:rPr>
        <w:t>Momentum assessment:</w:t>
      </w:r>
      <w:r>
        <w:rPr>
          <w:sz w:val="20"/>
        </w:rPr>
        <w:t xml:space="preserve"> RSI + MACD + MACD Histogram</w:t>
      </w:r>
    </w:p>
    <w:p>
      <w:pPr>
        <w:jc w:val="both"/>
      </w:pPr>
      <w:r>
        <w:rPr>
          <w:sz w:val="20"/>
        </w:rPr>
        <w:t xml:space="preserve">- </w:t>
      </w:r>
      <w:r>
        <w:rPr>
          <w:b/>
          <w:sz w:val="20"/>
        </w:rPr>
        <w:t>Volatility &amp; risk:</w:t>
      </w:r>
      <w:r>
        <w:rPr>
          <w:sz w:val="20"/>
        </w:rPr>
        <w:t xml:space="preserve"> ATR + Bollinger Bands</w:t>
      </w:r>
    </w:p>
    <w:p>
      <w:pPr>
        <w:jc w:val="both"/>
      </w:pPr>
      <w:r>
        <w:rPr>
          <w:sz w:val="20"/>
        </w:rPr>
        <w:t xml:space="preserve">- </w:t>
      </w:r>
      <w:r>
        <w:rPr>
          <w:b/>
          <w:sz w:val="20"/>
        </w:rPr>
        <w:t>Entry/exit timing:</w:t>
      </w:r>
      <w:r>
        <w:rPr>
          <w:sz w:val="20"/>
        </w:rPr>
        <w:t xml:space="preserve"> RSI + MACD Histogram + Bollinger Bands</w:t>
      </w:r>
    </w:p>
    <w:p>
      <w:pPr>
        <w:pBdr>
          <w:bottom w:val="single" w:sz="6" w:space="1" w:color="CCCCCC"/>
        </w:pBdr>
      </w:pPr>
    </w:p>
    <w:p>
      <w:pPr>
        <w:pStyle w:val="Heading3"/>
        <w:jc w:val="left"/>
      </w:pPr>
      <w:r>
        <w:rPr>
          <w:color w:val="502878"/>
          <w:sz w:val="24"/>
        </w:rPr>
        <w:t>10. Actionable Recommendations</w:t>
      </w:r>
    </w:p>
    <w:p>
      <w:pPr>
        <w:pStyle w:val="Heading4"/>
        <w:jc w:val="left"/>
      </w:pPr>
      <w:r>
        <w:rPr>
          <w:color w:val="502878"/>
          <w:sz w:val="22"/>
        </w:rPr>
        <w:t>For Contrarian/Value Traders (Buying Opportunity)</w:t>
      </w:r>
    </w:p>
    <w:p>
      <w:pPr>
        <w:jc w:val="both"/>
      </w:pPr>
      <w:r>
        <w:rPr>
          <w:b/>
          <w:sz w:val="22"/>
        </w:rPr>
        <w:t>Rationale:</w:t>
      </w:r>
      <w:r>
        <w:rPr>
          <w:sz w:val="22"/>
        </w:rPr>
        <w:t xml:space="preserve"> Multiple oversold signals, improving MACD histogram, extreme price dislocation from averages suggest high-probability bounce. However, trend remains bearish, so this is a counter-trend trade requiring discipline.</w:t>
      </w:r>
    </w:p>
    <w:p>
      <w:pPr>
        <w:pStyle w:val="Heading4"/>
        <w:jc w:val="left"/>
      </w:pPr>
      <w:r>
        <w:rPr>
          <w:color w:val="502878"/>
          <w:sz w:val="22"/>
        </w:rPr>
        <w:t>For Trend Followers</w:t>
      </w:r>
    </w:p>
    <w:p>
      <w:pPr>
        <w:jc w:val="both"/>
      </w:pPr>
      <w:r>
        <w:rPr>
          <w:b/>
          <w:sz w:val="22"/>
        </w:rPr>
        <w:t>Rationale:</w:t>
      </w:r>
      <w:r>
        <w:rPr>
          <w:sz w:val="22"/>
        </w:rPr>
        <w:t xml:space="preserve"> The prevailing trend is still down. While oversold conditions exist, trend traders should wait for structural evidence of reversal before committing capital.</w:t>
      </w:r>
    </w:p>
    <w:p>
      <w:pPr>
        <w:pStyle w:val="Heading4"/>
        <w:jc w:val="left"/>
      </w:pPr>
      <w:r>
        <w:rPr>
          <w:color w:val="502878"/>
          <w:sz w:val="22"/>
        </w:rPr>
        <w:t>For Current Holders</w:t>
      </w:r>
    </w:p>
    <w:p>
      <w:pPr>
        <w:pBdr>
          <w:bottom w:val="single" w:sz="6" w:space="1" w:color="CCCCCC"/>
        </w:pBdr>
      </w:pPr>
    </w:p>
    <w:p>
      <w:pPr>
        <w:pStyle w:val="Heading3"/>
        <w:jc w:val="left"/>
      </w:pPr>
      <w:r>
        <w:rPr>
          <w:color w:val="502878"/>
          <w:sz w:val="24"/>
        </w:rPr>
        <w:t>Key Takeaways Summary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C78"/>
          </w:tcPr>
          <w:p>
            <w:r/>
            <w:r>
              <w:rPr>
                <w:b/>
                <w:color w:val="FFFFFF"/>
                <w:sz w:val="18"/>
              </w:rPr>
              <w:t>Metric</w:t>
            </w:r>
          </w:p>
        </w:tc>
        <w:tc>
          <w:tcPr>
            <w:tcW w:type="dxa" w:w="2160"/>
            <w:shd w:val="clear" w:color="auto" w:fill="1F3C78"/>
          </w:tcPr>
          <w:p>
            <w:r/>
            <w:r>
              <w:rPr>
                <w:b/>
                <w:color w:val="FFFFFF"/>
                <w:sz w:val="18"/>
              </w:rPr>
              <w:t>Value</w:t>
            </w:r>
          </w:p>
        </w:tc>
        <w:tc>
          <w:tcPr>
            <w:tcW w:type="dxa" w:w="2160"/>
            <w:shd w:val="clear" w:color="auto" w:fill="1F3C78"/>
          </w:tcPr>
          <w:p>
            <w:r/>
            <w:r>
              <w:rPr>
                <w:b/>
                <w:color w:val="FFFFFF"/>
                <w:sz w:val="18"/>
              </w:rPr>
              <w:t>Signal</w:t>
            </w:r>
          </w:p>
        </w:tc>
        <w:tc>
          <w:tcPr>
            <w:tcW w:type="dxa" w:w="2160"/>
            <w:shd w:val="clear" w:color="auto" w:fill="1F3C78"/>
          </w:tcPr>
          <w:p>
            <w:r/>
            <w:r>
              <w:rPr>
                <w:b/>
                <w:color w:val="FFFFFF"/>
                <w:sz w:val="18"/>
              </w:rPr>
              <w:t>Strength</w:t>
            </w:r>
          </w:p>
        </w:tc>
      </w:tr>
      <w:tr>
        <w:tc>
          <w:tcPr>
            <w:tcW w:type="dxa" w:w="2160"/>
            <w:shd w:val="clear" w:color="auto" w:fill="EEF4FF"/>
          </w:tcPr>
          <w:p>
            <w:r/>
            <w:r>
              <w:rPr>
                <w:b/>
                <w:sz w:val="18"/>
              </w:rPr>
              <w:t>Current Price</w:t>
            </w:r>
          </w:p>
        </w:tc>
        <w:tc>
          <w:tcPr>
            <w:tcW w:type="dxa" w:w="2160"/>
            <w:shd w:val="clear" w:color="auto" w:fill="EEF4FF"/>
          </w:tcPr>
          <w:p>
            <w:r/>
            <w:r>
              <w:rPr>
                <w:sz w:val="18"/>
              </w:rPr>
              <w:t>404.58</w:t>
            </w:r>
          </w:p>
        </w:tc>
        <w:tc>
          <w:tcPr>
            <w:tcW w:type="dxa" w:w="2160"/>
            <w:shd w:val="clear" w:color="auto" w:fill="EEF4FF"/>
          </w:tcPr>
          <w:p>
            <w:r/>
            <w:r>
              <w:rPr>
                <w:sz w:val="18"/>
              </w:rPr>
              <w:t>N/A</w:t>
            </w:r>
          </w:p>
        </w:tc>
        <w:tc>
          <w:tcPr>
            <w:tcW w:type="dxa" w:w="2160"/>
            <w:shd w:val="clear" w:color="auto" w:fill="EEF4FF"/>
          </w:tcPr>
          <w:p>
            <w:r/>
            <w:r>
              <w:rPr>
                <w:sz w:val="18"/>
              </w:rPr>
              <w:t>N/A</w:t>
            </w:r>
          </w:p>
        </w:tc>
      </w:tr>
      <w:tr>
        <w:tc>
          <w:tcPr>
            <w:tcW w:type="dxa" w:w="2160"/>
            <w:shd w:val="clear" w:color="auto" w:fill="FFFFFF"/>
          </w:tcPr>
          <w:p>
            <w:r/>
            <w:r>
              <w:rPr>
                <w:b/>
                <w:sz w:val="18"/>
              </w:rPr>
              <w:t>vs 50 SMA</w:t>
            </w:r>
          </w:p>
        </w:tc>
        <w:tc>
          <w:tcPr>
            <w:tcW w:type="dxa" w:w="2160"/>
            <w:shd w:val="clear" w:color="auto" w:fill="FFFFFF"/>
          </w:tcPr>
          <w:p>
            <w:r/>
            <w:r>
              <w:rPr>
                <w:sz w:val="18"/>
              </w:rPr>
              <w:t>-34.3%</w:t>
            </w:r>
          </w:p>
        </w:tc>
        <w:tc>
          <w:tcPr>
            <w:tcW w:type="dxa" w:w="2160"/>
            <w:shd w:val="clear" w:color="auto" w:fill="FFFFFF"/>
          </w:tcPr>
          <w:p>
            <w:r/>
            <w:r>
              <w:rPr>
                <w:sz w:val="18"/>
              </w:rPr>
              <w:t>Bearish</w:t>
            </w:r>
          </w:p>
        </w:tc>
        <w:tc>
          <w:tcPr>
            <w:tcW w:type="dxa" w:w="2160"/>
            <w:shd w:val="clear" w:color="auto" w:fill="FFFFFF"/>
          </w:tcPr>
          <w:p>
            <w:r/>
            <w:r>
              <w:rPr>
                <w:sz w:val="18"/>
              </w:rPr>
              <w:t>Very Strong</w:t>
            </w:r>
          </w:p>
        </w:tc>
      </w:tr>
      <w:tr>
        <w:tc>
          <w:tcPr>
            <w:tcW w:type="dxa" w:w="2160"/>
            <w:shd w:val="clear" w:color="auto" w:fill="EEF4FF"/>
          </w:tcPr>
          <w:p>
            <w:r/>
            <w:r>
              <w:rPr>
                <w:b/>
                <w:sz w:val="18"/>
              </w:rPr>
              <w:t>vs 200 SMA</w:t>
            </w:r>
          </w:p>
        </w:tc>
        <w:tc>
          <w:tcPr>
            <w:tcW w:type="dxa" w:w="2160"/>
            <w:shd w:val="clear" w:color="auto" w:fill="EEF4FF"/>
          </w:tcPr>
          <w:p>
            <w:r/>
            <w:r>
              <w:rPr>
                <w:sz w:val="18"/>
              </w:rPr>
              <w:t>-47.3%</w:t>
            </w:r>
          </w:p>
        </w:tc>
        <w:tc>
          <w:tcPr>
            <w:tcW w:type="dxa" w:w="2160"/>
            <w:shd w:val="clear" w:color="auto" w:fill="EEF4FF"/>
          </w:tcPr>
          <w:p>
            <w:r/>
            <w:r>
              <w:rPr>
                <w:sz w:val="18"/>
              </w:rPr>
              <w:t>Bearish</w:t>
            </w:r>
          </w:p>
        </w:tc>
        <w:tc>
          <w:tcPr>
            <w:tcW w:type="dxa" w:w="2160"/>
            <w:shd w:val="clear" w:color="auto" w:fill="EEF4FF"/>
          </w:tcPr>
          <w:p>
            <w:r/>
            <w:r>
              <w:rPr>
                <w:sz w:val="18"/>
              </w:rPr>
              <w:t>Extreme</w:t>
            </w:r>
          </w:p>
        </w:tc>
      </w:tr>
      <w:tr>
        <w:tc>
          <w:tcPr>
            <w:tcW w:type="dxa" w:w="2160"/>
            <w:shd w:val="clear" w:color="auto" w:fill="FFFFFF"/>
          </w:tcPr>
          <w:p>
            <w:r/>
            <w:r>
              <w:rPr>
                <w:b/>
                <w:sz w:val="18"/>
              </w:rPr>
              <w:t>RSI</w:t>
            </w:r>
          </w:p>
        </w:tc>
        <w:tc>
          <w:tcPr>
            <w:tcW w:type="dxa" w:w="2160"/>
            <w:shd w:val="clear" w:color="auto" w:fill="FFFFFF"/>
          </w:tcPr>
          <w:p>
            <w:r/>
            <w:r>
              <w:rPr>
                <w:sz w:val="18"/>
              </w:rPr>
              <w:t>31.36</w:t>
            </w:r>
          </w:p>
        </w:tc>
        <w:tc>
          <w:tcPr>
            <w:tcW w:type="dxa" w:w="2160"/>
            <w:shd w:val="clear" w:color="auto" w:fill="FFFFFF"/>
          </w:tcPr>
          <w:p>
            <w:r/>
            <w:r>
              <w:rPr>
                <w:sz w:val="18"/>
              </w:rPr>
              <w:t>Oversold/Bullish</w:t>
            </w:r>
          </w:p>
        </w:tc>
        <w:tc>
          <w:tcPr>
            <w:tcW w:type="dxa" w:w="2160"/>
            <w:shd w:val="clear" w:color="auto" w:fill="FFFFFF"/>
          </w:tcPr>
          <w:p>
            <w:r/>
            <w:r>
              <w:rPr>
                <w:sz w:val="18"/>
              </w:rPr>
              <w:t>Moderate</w:t>
            </w:r>
          </w:p>
        </w:tc>
      </w:tr>
      <w:tr>
        <w:tc>
          <w:tcPr>
            <w:tcW w:type="dxa" w:w="2160"/>
            <w:shd w:val="clear" w:color="auto" w:fill="EEF4FF"/>
          </w:tcPr>
          <w:p>
            <w:r/>
            <w:r>
              <w:rPr>
                <w:b/>
                <w:sz w:val="18"/>
              </w:rPr>
              <w:t>MACD</w:t>
            </w:r>
          </w:p>
        </w:tc>
        <w:tc>
          <w:tcPr>
            <w:tcW w:type="dxa" w:w="2160"/>
            <w:shd w:val="clear" w:color="auto" w:fill="EEF4FF"/>
          </w:tcPr>
          <w:p>
            <w:r/>
            <w:r>
              <w:rPr>
                <w:sz w:val="18"/>
              </w:rPr>
              <w:t>-67.81</w:t>
            </w:r>
          </w:p>
        </w:tc>
        <w:tc>
          <w:tcPr>
            <w:tcW w:type="dxa" w:w="2160"/>
            <w:shd w:val="clear" w:color="auto" w:fill="EEF4FF"/>
          </w:tcPr>
          <w:p>
            <w:r/>
            <w:r>
              <w:rPr>
                <w:sz w:val="18"/>
              </w:rPr>
              <w:t>Bearish</w:t>
            </w:r>
          </w:p>
        </w:tc>
        <w:tc>
          <w:tcPr>
            <w:tcW w:type="dxa" w:w="2160"/>
            <w:shd w:val="clear" w:color="auto" w:fill="EEF4FF"/>
          </w:tcPr>
          <w:p>
            <w:r/>
            <w:r>
              <w:rPr>
                <w:sz w:val="18"/>
              </w:rPr>
              <w:t>Strong</w:t>
            </w:r>
          </w:p>
        </w:tc>
      </w:tr>
      <w:tr>
        <w:tc>
          <w:tcPr>
            <w:tcW w:type="dxa" w:w="2160"/>
            <w:shd w:val="clear" w:color="auto" w:fill="FFFFFF"/>
          </w:tcPr>
          <w:p>
            <w:r/>
            <w:r>
              <w:rPr>
                <w:b/>
                <w:sz w:val="18"/>
              </w:rPr>
              <w:t>MACD Histogram</w:t>
            </w:r>
          </w:p>
        </w:tc>
        <w:tc>
          <w:tcPr>
            <w:tcW w:type="dxa" w:w="2160"/>
            <w:shd w:val="clear" w:color="auto" w:fill="FFFFFF"/>
          </w:tcPr>
          <w:p>
            <w:r/>
            <w:r>
              <w:rPr>
                <w:sz w:val="18"/>
              </w:rPr>
              <w:t>-1.20 (improving)</w:t>
            </w:r>
          </w:p>
        </w:tc>
        <w:tc>
          <w:tcPr>
            <w:tcW w:type="dxa" w:w="2160"/>
            <w:shd w:val="clear" w:color="auto" w:fill="FFFFFF"/>
          </w:tcPr>
          <w:p>
            <w:r/>
            <w:r>
              <w:rPr>
                <w:sz w:val="18"/>
              </w:rPr>
              <w:t>Bullish Divergence</w:t>
            </w:r>
          </w:p>
        </w:tc>
        <w:tc>
          <w:tcPr>
            <w:tcW w:type="dxa" w:w="2160"/>
            <w:shd w:val="clear" w:color="auto" w:fill="FFFFFF"/>
          </w:tcPr>
          <w:p>
            <w:r/>
            <w:r>
              <w:rPr>
                <w:sz w:val="18"/>
              </w:rPr>
              <w:t>Moderate</w:t>
            </w:r>
          </w:p>
        </w:tc>
      </w:tr>
      <w:tr>
        <w:tc>
          <w:tcPr>
            <w:tcW w:type="dxa" w:w="2160"/>
            <w:shd w:val="clear" w:color="auto" w:fill="EEF4FF"/>
          </w:tcPr>
          <w:p>
            <w:r/>
            <w:r>
              <w:rPr>
                <w:b/>
                <w:sz w:val="18"/>
              </w:rPr>
              <w:t>ATR</w:t>
            </w:r>
          </w:p>
        </w:tc>
        <w:tc>
          <w:tcPr>
            <w:tcW w:type="dxa" w:w="2160"/>
            <w:shd w:val="clear" w:color="auto" w:fill="EEF4FF"/>
          </w:tcPr>
          <w:p>
            <w:r/>
            <w:r>
              <w:rPr>
                <w:sz w:val="18"/>
              </w:rPr>
              <w:t>42.06 (declining)</w:t>
            </w:r>
          </w:p>
        </w:tc>
        <w:tc>
          <w:tcPr>
            <w:tcW w:type="dxa" w:w="2160"/>
            <w:shd w:val="clear" w:color="auto" w:fill="EEF4FF"/>
          </w:tcPr>
          <w:p>
            <w:r/>
            <w:r>
              <w:rPr>
                <w:sz w:val="18"/>
              </w:rPr>
              <w:t>Volatility Reducing</w:t>
            </w:r>
          </w:p>
        </w:tc>
        <w:tc>
          <w:tcPr>
            <w:tcW w:type="dxa" w:w="2160"/>
            <w:shd w:val="clear" w:color="auto" w:fill="EEF4FF"/>
          </w:tcPr>
          <w:p>
            <w:r/>
            <w:r>
              <w:rPr>
                <w:sz w:val="18"/>
              </w:rPr>
              <w:t>Positive</w:t>
            </w:r>
          </w:p>
        </w:tc>
      </w:tr>
      <w:tr>
        <w:tc>
          <w:tcPr>
            <w:tcW w:type="dxa" w:w="2160"/>
            <w:shd w:val="clear" w:color="auto" w:fill="FFFFFF"/>
          </w:tcPr>
          <w:p>
            <w:r/>
            <w:r>
              <w:rPr>
                <w:b/>
                <w:sz w:val="18"/>
              </w:rPr>
              <w:t>Bollinger Position</w:t>
            </w:r>
          </w:p>
        </w:tc>
        <w:tc>
          <w:tcPr>
            <w:tcW w:type="dxa" w:w="2160"/>
            <w:shd w:val="clear" w:color="auto" w:fill="FFFFFF"/>
          </w:tcPr>
          <w:p>
            <w:r/>
            <w:r>
              <w:rPr>
                <w:sz w:val="18"/>
              </w:rPr>
              <w:t>Above Lower Band</w:t>
            </w:r>
          </w:p>
        </w:tc>
        <w:tc>
          <w:tcPr>
            <w:tcW w:type="dxa" w:w="2160"/>
            <w:shd w:val="clear" w:color="auto" w:fill="FFFFFF"/>
          </w:tcPr>
          <w:p>
            <w:r/>
            <w:r>
              <w:rPr>
                <w:sz w:val="18"/>
              </w:rPr>
              <w:t>Potential Support</w:t>
            </w:r>
          </w:p>
        </w:tc>
        <w:tc>
          <w:tcPr>
            <w:tcW w:type="dxa" w:w="2160"/>
            <w:shd w:val="clear" w:color="auto" w:fill="FFFFFF"/>
          </w:tcPr>
          <w:p>
            <w:r/>
            <w:r>
              <w:rPr>
                <w:sz w:val="18"/>
              </w:rPr>
              <w:t>Weak-Moderate</w:t>
            </w:r>
          </w:p>
        </w:tc>
      </w:tr>
      <w:tr>
        <w:tc>
          <w:tcPr>
            <w:tcW w:type="dxa" w:w="2160"/>
            <w:shd w:val="clear" w:color="auto" w:fill="EEF4FF"/>
          </w:tcPr>
          <w:p>
            <w:r/>
            <w:r>
              <w:rPr>
                <w:b/>
                <w:sz w:val="18"/>
              </w:rPr>
              <w:t>Primary Trend</w:t>
            </w:r>
          </w:p>
        </w:tc>
        <w:tc>
          <w:tcPr>
            <w:tcW w:type="dxa" w:w="2160"/>
            <w:shd w:val="clear" w:color="auto" w:fill="EEF4FF"/>
          </w:tcPr>
          <w:p>
            <w:r/>
            <w:r>
              <w:rPr>
                <w:sz w:val="18"/>
              </w:rPr>
              <w:t>Downtrend</w:t>
            </w:r>
          </w:p>
        </w:tc>
        <w:tc>
          <w:tcPr>
            <w:tcW w:type="dxa" w:w="2160"/>
            <w:shd w:val="clear" w:color="auto" w:fill="EEF4FF"/>
          </w:tcPr>
          <w:p>
            <w:r/>
            <w:r>
              <w:rPr>
                <w:sz w:val="18"/>
              </w:rPr>
              <w:t>Bearish</w:t>
            </w:r>
          </w:p>
        </w:tc>
        <w:tc>
          <w:tcPr>
            <w:tcW w:type="dxa" w:w="2160"/>
            <w:shd w:val="clear" w:color="auto" w:fill="EEF4FF"/>
          </w:tcPr>
          <w:p>
            <w:r/>
            <w:r>
              <w:rPr>
                <w:sz w:val="18"/>
              </w:rPr>
              <w:t>Strong</w:t>
            </w:r>
          </w:p>
        </w:tc>
      </w:tr>
      <w:tr>
        <w:tc>
          <w:tcPr>
            <w:tcW w:type="dxa" w:w="2160"/>
            <w:shd w:val="clear" w:color="auto" w:fill="FFFFFF"/>
          </w:tcPr>
          <w:p>
            <w:r/>
            <w:r>
              <w:rPr>
                <w:b/>
                <w:sz w:val="18"/>
              </w:rPr>
              <w:t>Momentum</w:t>
            </w:r>
          </w:p>
        </w:tc>
        <w:tc>
          <w:tcPr>
            <w:tcW w:type="dxa" w:w="2160"/>
            <w:shd w:val="clear" w:color="auto" w:fill="FFFFFF"/>
          </w:tcPr>
          <w:p>
            <w:r/>
            <w:r>
              <w:rPr>
                <w:sz w:val="18"/>
              </w:rPr>
              <w:t>Decelerating</w:t>
            </w:r>
          </w:p>
        </w:tc>
        <w:tc>
          <w:tcPr>
            <w:tcW w:type="dxa" w:w="2160"/>
            <w:shd w:val="clear" w:color="auto" w:fill="FFFFFF"/>
          </w:tcPr>
          <w:p>
            <w:r/>
            <w:r>
              <w:rPr>
                <w:sz w:val="18"/>
              </w:rPr>
              <w:t>Bullish (early)</w:t>
            </w:r>
          </w:p>
        </w:tc>
        <w:tc>
          <w:tcPr>
            <w:tcW w:type="dxa" w:w="2160"/>
            <w:shd w:val="clear" w:color="auto" w:fill="FFFFFF"/>
          </w:tcPr>
          <w:p>
            <w:r/>
            <w:r>
              <w:rPr>
                <w:sz w:val="18"/>
              </w:rPr>
              <w:t>Weak-Moderate</w:t>
            </w:r>
          </w:p>
        </w:tc>
      </w:tr>
      <w:tr>
        <w:tc>
          <w:tcPr>
            <w:tcW w:type="dxa" w:w="2160"/>
            <w:shd w:val="clear" w:color="auto" w:fill="EEF4FF"/>
          </w:tcPr>
          <w:p>
            <w:r/>
            <w:r>
              <w:rPr>
                <w:b/>
                <w:sz w:val="18"/>
              </w:rPr>
              <w:t>Overall Assessment</w:t>
            </w:r>
          </w:p>
        </w:tc>
        <w:tc>
          <w:tcPr>
            <w:tcW w:type="dxa" w:w="2160"/>
            <w:shd w:val="clear" w:color="auto" w:fill="EEF4FF"/>
          </w:tcPr>
          <w:p>
            <w:r/>
            <w:r>
              <w:rPr>
                <w:b/>
                <w:sz w:val="18"/>
              </w:rPr>
              <w:t>OVERSOLD - CAUTIOUS OPPORTUNITY</w:t>
            </w:r>
          </w:p>
        </w:tc>
        <w:tc>
          <w:tcPr>
            <w:tcW w:type="dxa" w:w="2160"/>
            <w:shd w:val="clear" w:color="auto" w:fill="EEF4FF"/>
          </w:tcPr>
          <w:p>
            <w:r/>
            <w:r>
              <w:rPr>
                <w:b/>
                <w:sz w:val="18"/>
              </w:rPr>
              <w:t>NEUTRAL/HOLD</w:t>
            </w:r>
          </w:p>
        </w:tc>
        <w:tc>
          <w:tcPr>
            <w:tcW w:type="dxa" w:w="2160"/>
            <w:shd w:val="clear" w:color="auto" w:fill="EEF4FF"/>
          </w:tcPr>
          <w:p>
            <w:r/>
            <w:r>
              <w:rPr>
                <w:b/>
                <w:sz w:val="18"/>
              </w:rPr>
              <w:t>Speculative Buy for Risk-Tolerant</w:t>
            </w:r>
          </w:p>
        </w:tc>
      </w:tr>
    </w:tbl>
    <w:p/>
    <w:p>
      <w:pPr>
        <w:pBdr>
          <w:bottom w:val="single" w:sz="6" w:space="1" w:color="CCCCCC"/>
        </w:pBdr>
      </w:pPr>
    </w:p>
    <w:p>
      <w:pPr>
        <w:pStyle w:val="Heading3"/>
        <w:jc w:val="left"/>
      </w:pPr>
      <w:r>
        <w:rPr>
          <w:color w:val="502878"/>
          <w:sz w:val="24"/>
        </w:rPr>
        <w:t>Risk Disclosure</w:t>
      </w:r>
    </w:p>
    <w:p>
      <w:pPr>
        <w:jc w:val="both"/>
      </w:pPr>
      <w:r>
        <w:rPr>
          <w:sz w:val="20"/>
        </w:rPr>
        <w:t xml:space="preserve">The R_100 is trading at unprecedented lows with extreme technical distress. While oversold conditions and momentum deceleration suggest potential for a bounce, the structural downtrend remains intact. This analysis presents a </w:t>
      </w:r>
      <w:r>
        <w:rPr>
          <w:b/>
          <w:sz w:val="20"/>
        </w:rPr>
        <w:t>high-risk, high-reward</w:t>
      </w:r>
      <w:r>
        <w:rPr>
          <w:sz w:val="20"/>
        </w:rPr>
        <w:t xml:space="preserve"> scenario appropriate only for experienced traders with robust risk management systems. The potential for further decline to 350 or below cannot be ruled out, and any positions should be sized accordingly.</w:t>
      </w:r>
    </w:p>
    <w:p>
      <w:pPr>
        <w:jc w:val="both"/>
      </w:pPr>
      <w:r>
        <w:rPr>
          <w:b/>
          <w:sz w:val="20"/>
        </w:rPr>
        <w:t>Trading Recommendation:</w:t>
      </w:r>
      <w:r>
        <w:rPr>
          <w:sz w:val="20"/>
        </w:rPr>
        <w:t xml:space="preserve"> Given the conflicting signals (extreme oversold conditions vs. intact downtrend), a </w:t>
      </w:r>
      <w:r>
        <w:rPr>
          <w:b/>
          <w:sz w:val="20"/>
        </w:rPr>
        <w:t>HOLD/WAIT</w:t>
      </w:r>
      <w:r>
        <w:rPr>
          <w:sz w:val="20"/>
        </w:rPr>
        <w:t xml:space="preserve"> stance is most prudent for conservative traders. Aggressive traders may consider </w:t>
      </w:r>
      <w:r>
        <w:rPr>
          <w:b/>
          <w:sz w:val="20"/>
        </w:rPr>
        <w:t>SPECULATIVE BUY</w:t>
      </w:r>
      <w:r>
        <w:rPr>
          <w:sz w:val="20"/>
        </w:rPr>
        <w:t xml:space="preserve"> positions with tight stops and small size, viewing this as a potential capitulation bottom. The clearest signal would be waiting for price to reclaim 470-500 with improving RSI before committing significant capital.</w:t>
      </w:r>
    </w:p>
    <w:p>
      <w:pPr>
        <w:pBdr>
          <w:bottom w:val="single" w:sz="6" w:space="1" w:color="CCCCCC"/>
        </w:pBdr>
      </w:pPr>
    </w:p>
    <w:p>
      <w:pPr>
        <w:jc w:val="both"/>
      </w:pPr>
      <w:r>
        <w:rPr>
          <w:i/>
          <w:sz w:val="22"/>
        </w:rPr>
        <w:t>Analysis completed on May 21, 2026, using data through end of session on May 21, 2026. Markets can remain irrational longer than traders can remain solvent. Always use stop-losses and never risk more than you can afford to lose.</w:t>
      </w:r>
    </w:p>
    <w:p>
      <w:pPr>
        <w:pBdr>
          <w:bottom w:val="single" w:sz="6" w:space="1" w:color="CCCCCC"/>
        </w:pBdr>
      </w:pPr>
    </w:p>
    <w:p>
      <w:pPr>
        <w:pStyle w:val="Heading2"/>
        <w:jc w:val="left"/>
      </w:pPr>
      <w:r>
        <w:rPr>
          <w:color w:val="783C00"/>
        </w:rPr>
        <w:t>Rapport Sentiment / Social</w:t>
      </w:r>
    </w:p>
    <w:p>
      <w:pPr>
        <w:pStyle w:val="Heading2"/>
        <w:jc w:val="left"/>
      </w:pPr>
      <w:r>
        <w:rPr>
          <w:color w:val="783C00"/>
          <w:sz w:val="28"/>
        </w:rPr>
        <w:t>Sentiment Report for R_100</w:t>
      </w:r>
    </w:p>
    <w:p>
      <w:pPr>
        <w:pBdr>
          <w:bottom w:val="single" w:sz="6" w:space="1" w:color="CCCCCC"/>
        </w:pBdr>
      </w:pPr>
    </w:p>
    <w:p>
      <w:pPr>
        <w:pStyle w:val="Heading3"/>
        <w:jc w:val="left"/>
      </w:pPr>
      <w:r>
        <w:rPr>
          <w:color w:val="783C00"/>
          <w:sz w:val="24"/>
        </w:rPr>
        <w:t>1. Overall Sentiment Direction</w:t>
      </w:r>
    </w:p>
    <w:p>
      <w:r>
        <w:rPr>
          <w:b/>
          <w:sz w:val="20"/>
        </w:rPr>
        <w:t>NEUTRAL / DATA INSUFFICIENT</w:t>
      </w:r>
    </w:p>
    <w:p>
      <w:r>
        <w:rPr>
          <w:b/>
          <w:sz w:val="20"/>
        </w:rPr>
        <w:t>Confidence: Very Low</w:t>
      </w:r>
    </w:p>
    <w:p>
      <w:pPr>
        <w:jc w:val="both"/>
      </w:pPr>
      <w:r>
        <w:rPr>
          <w:sz w:val="20"/>
        </w:rPr>
        <w:t>The sentiment analysis for R_100 is severely constrained by data availability:</w:t>
      </w:r>
    </w:p>
    <w:p>
      <w:pPr>
        <w:jc w:val="both"/>
      </w:pPr>
      <w:r>
        <w:rPr>
          <w:sz w:val="20"/>
        </w:rPr>
        <w:t xml:space="preserve">- </w:t>
      </w:r>
      <w:r>
        <w:rPr>
          <w:b/>
          <w:sz w:val="20"/>
        </w:rPr>
        <w:t>News</w:t>
      </w:r>
      <w:r>
        <w:rPr>
          <w:sz w:val="20"/>
        </w:rPr>
        <w:t>: No headlines found for R_100 in the past 7 days</w:t>
      </w:r>
    </w:p>
    <w:p>
      <w:pPr>
        <w:jc w:val="both"/>
      </w:pPr>
      <w:r>
        <w:rPr>
          <w:sz w:val="20"/>
        </w:rPr>
        <w:t xml:space="preserve">- </w:t>
      </w:r>
      <w:r>
        <w:rPr>
          <w:b/>
          <w:sz w:val="20"/>
        </w:rPr>
        <w:t>StockTwits</w:t>
      </w:r>
      <w:r>
        <w:rPr>
          <w:sz w:val="20"/>
        </w:rPr>
        <w:t>: Service unavailable (HTTPError)</w:t>
      </w:r>
    </w:p>
    <w:p>
      <w:pPr>
        <w:jc w:val="both"/>
      </w:pPr>
      <w:r>
        <w:rPr>
          <w:sz w:val="20"/>
        </w:rPr>
        <w:t xml:space="preserve">- </w:t>
      </w:r>
      <w:r>
        <w:rPr>
          <w:b/>
          <w:sz w:val="20"/>
        </w:rPr>
        <w:t>Reddit</w:t>
      </w:r>
      <w:r>
        <w:rPr>
          <w:sz w:val="20"/>
        </w:rPr>
        <w:t>: No direct mentions of R_100; all retrieved posts reference other tickers (BNTX, INTC, MRNA, general market discussion)</w:t>
      </w:r>
    </w:p>
    <w:p>
      <w:pPr>
        <w:jc w:val="both"/>
      </w:pPr>
      <w:r>
        <w:rPr>
          <w:b/>
          <w:sz w:val="20"/>
        </w:rPr>
        <w:t>Critical Context</w:t>
      </w:r>
      <w:r>
        <w:rPr>
          <w:sz w:val="20"/>
        </w:rPr>
        <w:t xml:space="preserve">: R_100 appears to be a </w:t>
      </w:r>
      <w:r>
        <w:rPr>
          <w:b/>
          <w:sz w:val="20"/>
        </w:rPr>
        <w:t>Deriv synthetic index</w:t>
      </w:r>
      <w:r>
        <w:rPr>
          <w:sz w:val="20"/>
        </w:rPr>
        <w:t xml:space="preserve"> (Volatility 100 Index with 1-second ticks), not a traditional equity. These instruments are proprietary CFD products traded on the Deriv platform and are not covered by mainstream financial news, social trading platforms like StockTwits, or retail investor forums like Reddit. The data sources selected for this analysis are fundamentally mismatched to the instrument type.</w:t>
      </w:r>
    </w:p>
    <w:p>
      <w:pPr>
        <w:pBdr>
          <w:bottom w:val="single" w:sz="6" w:space="1" w:color="CCCCCC"/>
        </w:pBdr>
      </w:pPr>
    </w:p>
    <w:p>
      <w:pPr>
        <w:pStyle w:val="Heading3"/>
        <w:jc w:val="left"/>
      </w:pPr>
      <w:r>
        <w:rPr>
          <w:color w:val="783C00"/>
          <w:sz w:val="24"/>
        </w:rPr>
        <w:t>2. Source-by-Source Breakdown</w:t>
      </w:r>
    </w:p>
    <w:p>
      <w:pPr>
        <w:pStyle w:val="Heading4"/>
        <w:jc w:val="left"/>
      </w:pPr>
      <w:r>
        <w:rPr>
          <w:color w:val="783C00"/>
          <w:sz w:val="22"/>
        </w:rPr>
        <w:t>News (Yahoo Finance)</w:t>
      </w:r>
    </w:p>
    <w:p>
      <w:pPr>
        <w:pStyle w:val="Heading4"/>
        <w:jc w:val="left"/>
      </w:pPr>
      <w:r>
        <w:rPr>
          <w:color w:val="783C00"/>
          <w:sz w:val="22"/>
        </w:rPr>
        <w:t>StockTwits</w:t>
      </w:r>
    </w:p>
    <w:p>
      <w:pPr>
        <w:pStyle w:val="Heading4"/>
        <w:jc w:val="left"/>
      </w:pPr>
      <w:r>
        <w:rPr>
          <w:color w:val="783C00"/>
          <w:sz w:val="22"/>
        </w:rPr>
        <w:t>Reddit (r/wallstreetbets, r/stocks, r/investing)</w:t>
      </w:r>
    </w:p>
    <w:p>
      <w:pPr>
        <w:jc w:val="both"/>
      </w:pPr>
      <w:r>
        <w:rPr>
          <w:b/>
          <w:sz w:val="20"/>
        </w:rPr>
        <w:t>Relevance to R_100</w:t>
      </w:r>
      <w:r>
        <w:rPr>
          <w:sz w:val="20"/>
        </w:rPr>
        <w:t xml:space="preserve">: None. The posts discuss biotech (BNTX, MRNA) and leveraged equity options. The high-leverage Intel post suggests appetite for volatile, high-risk trades in the WSB community, which </w:t>
      </w:r>
      <w:r>
        <w:rPr>
          <w:i/>
          <w:sz w:val="20"/>
        </w:rPr>
        <w:t>conceptually</w:t>
      </w:r>
      <w:r>
        <w:rPr>
          <w:sz w:val="20"/>
        </w:rPr>
        <w:t xml:space="preserve"> aligns with the risk profile of traders who might use R_100 (a volatility index), but there is no direct connection.</w:t>
      </w:r>
    </w:p>
    <w:p>
      <w:pPr>
        <w:jc w:val="both"/>
      </w:pPr>
      <w:r>
        <w:rPr>
          <w:b/>
          <w:sz w:val="20"/>
        </w:rPr>
        <w:t>r/stocks</w:t>
      </w:r>
      <w:r>
        <w:rPr>
          <w:sz w:val="20"/>
        </w:rPr>
        <w:t xml:space="preserve"> - 3 posts retrieved, </w:t>
      </w:r>
      <w:r>
        <w:rPr>
          <w:b/>
          <w:sz w:val="20"/>
        </w:rPr>
        <w:t>zero mentions of R_100</w:t>
      </w:r>
      <w:r>
        <w:rPr>
          <w:sz w:val="20"/>
        </w:rPr>
        <w:t>:</w:t>
      </w:r>
    </w:p>
    <w:p>
      <w:pPr>
        <w:jc w:val="both"/>
      </w:pPr>
      <w:r>
        <w:rPr>
          <w:sz w:val="20"/>
        </w:rPr>
        <w:t>- Daily discussion threads (May 14, 21)</w:t>
      </w:r>
    </w:p>
    <w:p>
      <w:pPr>
        <w:jc w:val="both"/>
      </w:pPr>
      <w:r>
        <w:rPr>
          <w:sz w:val="20"/>
        </w:rPr>
        <w:t>- One post listing 202 continuous-roll futures tickers available through yFinance (R_100 not mentioned)</w:t>
      </w:r>
    </w:p>
    <w:p>
      <w:pPr>
        <w:jc w:val="both"/>
      </w:pPr>
      <w:r>
        <w:rPr>
          <w:b/>
          <w:sz w:val="22"/>
        </w:rPr>
        <w:t>Relevance to R_100</w:t>
      </w:r>
      <w:r>
        <w:rPr>
          <w:sz w:val="22"/>
        </w:rPr>
        <w:t>: None. R_100 is not a futures contract and would not appear in yFinance continuous-roll futures data.</w:t>
      </w:r>
    </w:p>
    <w:p>
      <w:pPr>
        <w:jc w:val="both"/>
      </w:pPr>
      <w:r>
        <w:rPr>
          <w:b/>
          <w:sz w:val="20"/>
        </w:rPr>
        <w:t>r/investing</w:t>
      </w:r>
      <w:r>
        <w:rPr>
          <w:sz w:val="20"/>
        </w:rPr>
        <w:t xml:space="preserve"> - 5 posts retrieved, </w:t>
      </w:r>
      <w:r>
        <w:rPr>
          <w:b/>
          <w:sz w:val="20"/>
        </w:rPr>
        <w:t>zero mentions of R_100</w:t>
      </w:r>
      <w:r>
        <w:rPr>
          <w:sz w:val="20"/>
        </w:rPr>
        <w:t>:</w:t>
      </w:r>
    </w:p>
    <w:p>
      <w:pPr>
        <w:jc w:val="both"/>
      </w:pPr>
      <w:r>
        <w:rPr>
          <w:sz w:val="20"/>
        </w:rPr>
        <w:t>- All are daily general discussion/advice threads (May 17-21)</w:t>
      </w:r>
    </w:p>
    <w:p>
      <w:pPr>
        <w:jc w:val="both"/>
      </w:pPr>
      <w:r>
        <w:rPr>
          <w:sz w:val="20"/>
        </w:rPr>
        <w:t>- No specific content related to synthetic indices or Deriv products</w:t>
      </w:r>
    </w:p>
    <w:p>
      <w:pPr>
        <w:jc w:val="both"/>
      </w:pPr>
      <w:r>
        <w:rPr>
          <w:b/>
          <w:sz w:val="22"/>
        </w:rPr>
        <w:t>Relevance to R_100</w:t>
      </w:r>
      <w:r>
        <w:rPr>
          <w:sz w:val="22"/>
        </w:rPr>
        <w:t>: None.</w:t>
      </w:r>
    </w:p>
    <w:p>
      <w:pPr>
        <w:pBdr>
          <w:bottom w:val="single" w:sz="6" w:space="1" w:color="CCCCCC"/>
        </w:pBdr>
      </w:pPr>
    </w:p>
    <w:p>
      <w:pPr>
        <w:pStyle w:val="Heading3"/>
        <w:jc w:val="left"/>
      </w:pPr>
      <w:r>
        <w:rPr>
          <w:color w:val="783C00"/>
          <w:sz w:val="24"/>
        </w:rPr>
        <w:t>3. Divergences, Alignments, and Key Narratives</w:t>
      </w:r>
    </w:p>
    <w:p>
      <w:pPr>
        <w:pStyle w:val="Heading4"/>
        <w:jc w:val="left"/>
      </w:pPr>
      <w:r>
        <w:rPr>
          <w:color w:val="783C00"/>
          <w:sz w:val="22"/>
        </w:rPr>
        <w:t>Cross-Source Analysis</w:t>
      </w:r>
    </w:p>
    <w:p>
      <w:pPr>
        <w:pStyle w:val="Heading4"/>
        <w:jc w:val="left"/>
      </w:pPr>
      <w:r>
        <w:rPr>
          <w:color w:val="783C00"/>
          <w:sz w:val="22"/>
        </w:rPr>
        <w:t>Key Narratives in Retrieved Data (NOT about R_100)</w:t>
      </w:r>
    </w:p>
    <w:p>
      <w:pPr>
        <w:pStyle w:val="Heading4"/>
        <w:jc w:val="left"/>
      </w:pPr>
      <w:r>
        <w:rPr>
          <w:color w:val="783C00"/>
          <w:sz w:val="22"/>
        </w:rPr>
        <w:t>Implications for R_100 Trader Sentiment</w:t>
      </w:r>
    </w:p>
    <w:p>
      <w:pPr>
        <w:pBdr>
          <w:bottom w:val="single" w:sz="6" w:space="1" w:color="CCCCCC"/>
        </w:pBdr>
      </w:pPr>
    </w:p>
    <w:p>
      <w:pPr>
        <w:pStyle w:val="Heading3"/>
        <w:jc w:val="left"/>
      </w:pPr>
      <w:r>
        <w:rPr>
          <w:color w:val="783C00"/>
          <w:sz w:val="24"/>
        </w:rPr>
        <w:t>4. Catalysts and Risks</w:t>
      </w:r>
    </w:p>
    <w:p>
      <w:pPr>
        <w:pStyle w:val="Heading4"/>
        <w:jc w:val="left"/>
      </w:pPr>
      <w:r>
        <w:rPr>
          <w:color w:val="783C00"/>
          <w:sz w:val="22"/>
        </w:rPr>
        <w:t>Catalysts Identified</w:t>
      </w:r>
    </w:p>
    <w:p>
      <w:pPr>
        <w:pStyle w:val="Heading4"/>
        <w:jc w:val="left"/>
      </w:pPr>
      <w:r>
        <w:rPr>
          <w:color w:val="783C00"/>
          <w:sz w:val="22"/>
        </w:rPr>
        <w:t>Risks Identified</w:t>
      </w:r>
    </w:p>
    <w:p>
      <w:pPr>
        <w:pStyle w:val="Heading4"/>
        <w:jc w:val="left"/>
      </w:pPr>
      <w:r>
        <w:rPr>
          <w:color w:val="783C00"/>
          <w:sz w:val="22"/>
        </w:rPr>
        <w:t>R_100-Specific Considerations (from instrument characteristics, not sentiment data)</w:t>
      </w:r>
    </w:p>
    <w:p>
      <w:pPr>
        <w:pBdr>
          <w:bottom w:val="single" w:sz="6" w:space="1" w:color="CCCCCC"/>
        </w:pBdr>
      </w:pPr>
    </w:p>
    <w:p>
      <w:pPr>
        <w:pStyle w:val="Heading3"/>
        <w:jc w:val="left"/>
      </w:pPr>
      <w:r>
        <w:rPr>
          <w:color w:val="783C00"/>
          <w:sz w:val="24"/>
        </w:rPr>
        <w:t>5. Summary Table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C78"/>
          </w:tcPr>
          <w:p>
            <w:r/>
            <w:r>
              <w:rPr>
                <w:b/>
                <w:color w:val="FFFFFF"/>
                <w:sz w:val="18"/>
              </w:rPr>
              <w:t>**Signal**</w:t>
            </w:r>
          </w:p>
        </w:tc>
        <w:tc>
          <w:tcPr>
            <w:tcW w:type="dxa" w:w="1728"/>
            <w:shd w:val="clear" w:color="auto" w:fill="1F3C78"/>
          </w:tcPr>
          <w:p>
            <w:r/>
            <w:r>
              <w:rPr>
                <w:b/>
                <w:color w:val="FFFFFF"/>
                <w:sz w:val="18"/>
              </w:rPr>
              <w:t>**Direction**</w:t>
            </w:r>
          </w:p>
        </w:tc>
        <w:tc>
          <w:tcPr>
            <w:tcW w:type="dxa" w:w="1728"/>
            <w:shd w:val="clear" w:color="auto" w:fill="1F3C78"/>
          </w:tcPr>
          <w:p>
            <w:r/>
            <w:r>
              <w:rPr>
                <w:b/>
                <w:color w:val="FFFFFF"/>
                <w:sz w:val="18"/>
              </w:rPr>
              <w:t>**Source**</w:t>
            </w:r>
          </w:p>
        </w:tc>
        <w:tc>
          <w:tcPr>
            <w:tcW w:type="dxa" w:w="1728"/>
            <w:shd w:val="clear" w:color="auto" w:fill="1F3C78"/>
          </w:tcPr>
          <w:p>
            <w:r/>
            <w:r>
              <w:rPr>
                <w:b/>
                <w:color w:val="FFFFFF"/>
                <w:sz w:val="18"/>
              </w:rPr>
              <w:t>**Supporting Evidence**</w:t>
            </w:r>
          </w:p>
        </w:tc>
        <w:tc>
          <w:tcPr>
            <w:tcW w:type="dxa" w:w="1728"/>
            <w:shd w:val="clear" w:color="auto" w:fill="1F3C78"/>
          </w:tcPr>
          <w:p>
            <w:r/>
            <w:r>
              <w:rPr>
                <w:b/>
                <w:color w:val="FFFFFF"/>
                <w:sz w:val="18"/>
              </w:rPr>
              <w:t>**Strength**</w:t>
            </w:r>
          </w:p>
        </w:tc>
      </w:tr>
      <w:tr>
        <w:tc>
          <w:tcPr>
            <w:tcW w:type="dxa" w:w="1728"/>
            <w:shd w:val="clear" w:color="auto" w:fill="EEF4FF"/>
          </w:tcPr>
          <w:p>
            <w:r/>
            <w:r>
              <w:rPr>
                <w:sz w:val="18"/>
              </w:rPr>
              <w:t>News coverage</w:t>
            </w:r>
          </w:p>
        </w:tc>
        <w:tc>
          <w:tcPr>
            <w:tcW w:type="dxa" w:w="1728"/>
            <w:shd w:val="clear" w:color="auto" w:fill="EEF4FF"/>
          </w:tcPr>
          <w:p>
            <w:r/>
            <w:r>
              <w:rPr>
                <w:sz w:val="18"/>
              </w:rPr>
              <w:t>None</w:t>
            </w:r>
          </w:p>
        </w:tc>
        <w:tc>
          <w:tcPr>
            <w:tcW w:type="dxa" w:w="1728"/>
            <w:shd w:val="clear" w:color="auto" w:fill="EEF4FF"/>
          </w:tcPr>
          <w:p>
            <w:r/>
            <w:r>
              <w:rPr>
                <w:sz w:val="18"/>
              </w:rPr>
              <w:t>Yahoo Finance</w:t>
            </w:r>
          </w:p>
        </w:tc>
        <w:tc>
          <w:tcPr>
            <w:tcW w:type="dxa" w:w="1728"/>
            <w:shd w:val="clear" w:color="auto" w:fill="EEF4FF"/>
          </w:tcPr>
          <w:p>
            <w:r/>
            <w:r>
              <w:rPr>
                <w:sz w:val="18"/>
              </w:rPr>
              <w:t>Zero articles found for R_100 in past 7 days</w:t>
            </w:r>
          </w:p>
        </w:tc>
        <w:tc>
          <w:tcPr>
            <w:tcW w:type="dxa" w:w="1728"/>
            <w:shd w:val="clear" w:color="auto" w:fill="EEF4FF"/>
          </w:tcPr>
          <w:p>
            <w:r/>
            <w:r>
              <w:rPr>
                <w:sz w:val="18"/>
              </w:rPr>
              <w:t>N/A</w:t>
            </w:r>
          </w:p>
        </w:tc>
      </w:tr>
      <w:tr>
        <w:tc>
          <w:tcPr>
            <w:tcW w:type="dxa" w:w="1728"/>
            <w:shd w:val="clear" w:color="auto" w:fill="FFFFFF"/>
          </w:tcPr>
          <w:p>
            <w:r/>
            <w:r>
              <w:rPr>
                <w:sz w:val="18"/>
              </w:rPr>
              <w:t>Retail sentiment (direct)</w:t>
            </w:r>
          </w:p>
        </w:tc>
        <w:tc>
          <w:tcPr>
            <w:tcW w:type="dxa" w:w="1728"/>
            <w:shd w:val="clear" w:color="auto" w:fill="FFFFFF"/>
          </w:tcPr>
          <w:p>
            <w:r/>
            <w:r>
              <w:rPr>
                <w:sz w:val="18"/>
              </w:rPr>
              <w:t>Unavailable</w:t>
            </w:r>
          </w:p>
        </w:tc>
        <w:tc>
          <w:tcPr>
            <w:tcW w:type="dxa" w:w="1728"/>
            <w:shd w:val="clear" w:color="auto" w:fill="FFFFFF"/>
          </w:tcPr>
          <w:p>
            <w:r/>
            <w:r>
              <w:rPr>
                <w:sz w:val="18"/>
              </w:rPr>
              <w:t>StockTwits</w:t>
            </w:r>
          </w:p>
        </w:tc>
        <w:tc>
          <w:tcPr>
            <w:tcW w:type="dxa" w:w="1728"/>
            <w:shd w:val="clear" w:color="auto" w:fill="FFFFFF"/>
          </w:tcPr>
          <w:p>
            <w:r/>
            <w:r>
              <w:rPr>
                <w:sz w:val="18"/>
              </w:rPr>
              <w:t>HTTPError; platform does not index Deriv synthetic indices</w:t>
            </w:r>
          </w:p>
        </w:tc>
        <w:tc>
          <w:tcPr>
            <w:tcW w:type="dxa" w:w="1728"/>
            <w:shd w:val="clear" w:color="auto" w:fill="FFFFFF"/>
          </w:tcPr>
          <w:p>
            <w:r/>
            <w:r>
              <w:rPr>
                <w:sz w:val="18"/>
              </w:rPr>
              <w:t>N/A</w:t>
            </w:r>
          </w:p>
        </w:tc>
      </w:tr>
      <w:tr>
        <w:tc>
          <w:tcPr>
            <w:tcW w:type="dxa" w:w="1728"/>
            <w:shd w:val="clear" w:color="auto" w:fill="EEF4FF"/>
          </w:tcPr>
          <w:p>
            <w:r/>
            <w:r>
              <w:rPr>
                <w:sz w:val="18"/>
              </w:rPr>
              <w:t>Reddit mentions (direct)</w:t>
            </w:r>
          </w:p>
        </w:tc>
        <w:tc>
          <w:tcPr>
            <w:tcW w:type="dxa" w:w="1728"/>
            <w:shd w:val="clear" w:color="auto" w:fill="EEF4FF"/>
          </w:tcPr>
          <w:p>
            <w:r/>
            <w:r>
              <w:rPr>
                <w:sz w:val="18"/>
              </w:rPr>
              <w:t>None</w:t>
            </w:r>
          </w:p>
        </w:tc>
        <w:tc>
          <w:tcPr>
            <w:tcW w:type="dxa" w:w="1728"/>
            <w:shd w:val="clear" w:color="auto" w:fill="EEF4FF"/>
          </w:tcPr>
          <w:p>
            <w:r/>
            <w:r>
              <w:rPr>
                <w:sz w:val="18"/>
              </w:rPr>
              <w:t>WSB/stocks/investing</w:t>
            </w:r>
          </w:p>
        </w:tc>
        <w:tc>
          <w:tcPr>
            <w:tcW w:type="dxa" w:w="1728"/>
            <w:shd w:val="clear" w:color="auto" w:fill="EEF4FF"/>
          </w:tcPr>
          <w:p>
            <w:r/>
            <w:r>
              <w:rPr>
                <w:sz w:val="18"/>
              </w:rPr>
              <w:t>Zero mentions of R_100 across 11 posts retrieved</w:t>
            </w:r>
          </w:p>
        </w:tc>
        <w:tc>
          <w:tcPr>
            <w:tcW w:type="dxa" w:w="1728"/>
            <w:shd w:val="clear" w:color="auto" w:fill="EEF4FF"/>
          </w:tcPr>
          <w:p>
            <w:r/>
            <w:r>
              <w:rPr>
                <w:sz w:val="18"/>
              </w:rPr>
              <w:t>N/A</w:t>
            </w:r>
          </w:p>
        </w:tc>
      </w:tr>
      <w:tr>
        <w:tc>
          <w:tcPr>
            <w:tcW w:type="dxa" w:w="1728"/>
            <w:shd w:val="clear" w:color="auto" w:fill="FFFFFF"/>
          </w:tcPr>
          <w:p>
            <w:r/>
            <w:r>
              <w:rPr>
                <w:sz w:val="18"/>
              </w:rPr>
              <w:t>Retail risk appetite (proxy)</w:t>
            </w:r>
          </w:p>
        </w:tc>
        <w:tc>
          <w:tcPr>
            <w:tcW w:type="dxa" w:w="1728"/>
            <w:shd w:val="clear" w:color="auto" w:fill="FFFFFF"/>
          </w:tcPr>
          <w:p>
            <w:r/>
            <w:r>
              <w:rPr>
                <w:sz w:val="18"/>
              </w:rPr>
              <w:t>Elevated</w:t>
            </w:r>
          </w:p>
        </w:tc>
        <w:tc>
          <w:tcPr>
            <w:tcW w:type="dxa" w:w="1728"/>
            <w:shd w:val="clear" w:color="auto" w:fill="FFFFFF"/>
          </w:tcPr>
          <w:p>
            <w:r/>
            <w:r>
              <w:rPr>
                <w:sz w:val="18"/>
              </w:rPr>
              <w:t>r/wallstreetbets</w:t>
            </w:r>
          </w:p>
        </w:tc>
        <w:tc>
          <w:tcPr>
            <w:tcW w:type="dxa" w:w="1728"/>
            <w:shd w:val="clear" w:color="auto" w:fill="FFFFFF"/>
          </w:tcPr>
          <w:p>
            <w:r/>
            <w:r>
              <w:rPr>
                <w:sz w:val="18"/>
              </w:rPr>
              <w:t>15:1 leverage trade, 0DTE options, "yolo" biotech speculation (222↑, 121↑ posts)</w:t>
            </w:r>
          </w:p>
        </w:tc>
        <w:tc>
          <w:tcPr>
            <w:tcW w:type="dxa" w:w="1728"/>
            <w:shd w:val="clear" w:color="auto" w:fill="FFFFFF"/>
          </w:tcPr>
          <w:p>
            <w:r/>
            <w:r>
              <w:rPr>
                <w:sz w:val="18"/>
              </w:rPr>
              <w:t>Weak (indirect)</w:t>
            </w:r>
          </w:p>
        </w:tc>
      </w:tr>
      <w:tr>
        <w:tc>
          <w:tcPr>
            <w:tcW w:type="dxa" w:w="1728"/>
            <w:shd w:val="clear" w:color="auto" w:fill="EEF4FF"/>
          </w:tcPr>
          <w:p>
            <w:r/>
            <w:r>
              <w:rPr>
                <w:sz w:val="18"/>
              </w:rPr>
              <w:t>Community engagement</w:t>
            </w:r>
          </w:p>
        </w:tc>
        <w:tc>
          <w:tcPr>
            <w:tcW w:type="dxa" w:w="1728"/>
            <w:shd w:val="clear" w:color="auto" w:fill="EEF4FF"/>
          </w:tcPr>
          <w:p>
            <w:r/>
            <w:r>
              <w:rPr>
                <w:sz w:val="18"/>
              </w:rPr>
              <w:t>Moderate</w:t>
            </w:r>
          </w:p>
        </w:tc>
        <w:tc>
          <w:tcPr>
            <w:tcW w:type="dxa" w:w="1728"/>
            <w:shd w:val="clear" w:color="auto" w:fill="EEF4FF"/>
          </w:tcPr>
          <w:p>
            <w:r/>
            <w:r>
              <w:rPr>
                <w:sz w:val="18"/>
              </w:rPr>
              <w:t>Reddit</w:t>
            </w:r>
          </w:p>
        </w:tc>
        <w:tc>
          <w:tcPr>
            <w:tcW w:type="dxa" w:w="1728"/>
            <w:shd w:val="clear" w:color="auto" w:fill="EEF4FF"/>
          </w:tcPr>
          <w:p>
            <w:r/>
            <w:r>
              <w:rPr>
                <w:sz w:val="18"/>
              </w:rPr>
              <w:t>Daily threads active but no R_100-specific discussion</w:t>
            </w:r>
          </w:p>
        </w:tc>
        <w:tc>
          <w:tcPr>
            <w:tcW w:type="dxa" w:w="1728"/>
            <w:shd w:val="clear" w:color="auto" w:fill="EEF4FF"/>
          </w:tcPr>
          <w:p>
            <w:r/>
            <w:r>
              <w:rPr>
                <w:sz w:val="18"/>
              </w:rPr>
              <w:t>N/A</w:t>
            </w:r>
          </w:p>
        </w:tc>
      </w:tr>
      <w:tr>
        <w:tc>
          <w:tcPr>
            <w:tcW w:type="dxa" w:w="1728"/>
            <w:shd w:val="clear" w:color="auto" w:fill="FFFFFF"/>
          </w:tcPr>
          <w:p>
            <w:r/>
            <w:r>
              <w:rPr>
                <w:sz w:val="18"/>
              </w:rPr>
              <w:t>Catalyst events</w:t>
            </w:r>
          </w:p>
        </w:tc>
        <w:tc>
          <w:tcPr>
            <w:tcW w:type="dxa" w:w="1728"/>
            <w:shd w:val="clear" w:color="auto" w:fill="FFFFFF"/>
          </w:tcPr>
          <w:p>
            <w:r/>
            <w:r>
              <w:rPr>
                <w:sz w:val="18"/>
              </w:rPr>
              <w:t>None</w:t>
            </w:r>
          </w:p>
        </w:tc>
        <w:tc>
          <w:tcPr>
            <w:tcW w:type="dxa" w:w="1728"/>
            <w:shd w:val="clear" w:color="auto" w:fill="FFFFFF"/>
          </w:tcPr>
          <w:p>
            <w:r/>
            <w:r>
              <w:rPr>
                <w:sz w:val="18"/>
              </w:rPr>
              <w:t>All sources</w:t>
            </w:r>
          </w:p>
        </w:tc>
        <w:tc>
          <w:tcPr>
            <w:tcW w:type="dxa" w:w="1728"/>
            <w:shd w:val="clear" w:color="auto" w:fill="FFFFFF"/>
          </w:tcPr>
          <w:p>
            <w:r/>
            <w:r>
              <w:rPr>
                <w:sz w:val="18"/>
              </w:rPr>
              <w:t>No upcoming events identified for R_100</w:t>
            </w:r>
          </w:p>
        </w:tc>
        <w:tc>
          <w:tcPr>
            <w:tcW w:type="dxa" w:w="1728"/>
            <w:shd w:val="clear" w:color="auto" w:fill="FFFFFF"/>
          </w:tcPr>
          <w:p>
            <w:r/>
            <w:r>
              <w:rPr>
                <w:sz w:val="18"/>
              </w:rPr>
              <w:t>N/A</w:t>
            </w:r>
          </w:p>
        </w:tc>
      </w:tr>
    </w:tbl>
    <w:p/>
    <w:p>
      <w:pPr>
        <w:pBdr>
          <w:bottom w:val="single" w:sz="6" w:space="1" w:color="CCCCCC"/>
        </w:pBdr>
      </w:pPr>
    </w:p>
    <w:p>
      <w:pPr>
        <w:pStyle w:val="Heading3"/>
        <w:jc w:val="left"/>
      </w:pPr>
      <w:r>
        <w:rPr>
          <w:color w:val="783C00"/>
          <w:sz w:val="24"/>
        </w:rPr>
        <w:t>Recommendations for Future Sentiment Analysis of R_100</w:t>
      </w:r>
    </w:p>
    <w:p>
      <w:pPr>
        <w:pStyle w:val="ListNumber"/>
      </w:pPr>
      <w:r>
        <w:rPr>
          <w:b/>
          <w:sz w:val="20"/>
        </w:rPr>
        <w:t>Use Deriv-specific data sources</w:t>
      </w:r>
      <w:r>
        <w:rPr>
          <w:sz w:val="20"/>
        </w:rPr>
        <w:t>: Monitor Deriv community forums, Telegram/Discord groups focused on synthetic indices, or proprietary Deriv trader sentiment data if available.</w:t>
      </w:r>
    </w:p>
    <w:p>
      <w:pPr>
        <w:pStyle w:val="ListNumber"/>
      </w:pPr>
      <w:r>
        <w:rPr>
          <w:b/>
          <w:sz w:val="20"/>
        </w:rPr>
        <w:t>Analyze trade volume and open interest</w:t>
      </w:r>
      <w:r>
        <w:rPr>
          <w:sz w:val="20"/>
        </w:rPr>
        <w:t xml:space="preserve"> on the Deriv platform itself (if accessible via API).</w:t>
      </w:r>
    </w:p>
    <w:p>
      <w:pPr>
        <w:pStyle w:val="ListNumber"/>
      </w:pPr>
      <w:r>
        <w:rPr>
          <w:b/>
          <w:sz w:val="20"/>
        </w:rPr>
        <w:t>Track correlated instruments</w:t>
      </w:r>
      <w:r>
        <w:rPr>
          <w:sz w:val="20"/>
        </w:rPr>
        <w:t>: R_100 volatility may correlate with VIX, Bitcoin volatility, or forex pair volatility-monitor sentiment for those as proxies.</w:t>
      </w:r>
    </w:p>
    <w:p>
      <w:pPr>
        <w:pStyle w:val="ListNumber"/>
      </w:pPr>
      <w:r>
        <w:rPr>
          <w:b/>
          <w:sz w:val="20"/>
        </w:rPr>
        <w:t>Acknowledge instrument limitations</w:t>
      </w:r>
      <w:r>
        <w:rPr>
          <w:sz w:val="20"/>
        </w:rPr>
        <w:t>: Synthetic indices lack the news flow, earnings cycles, and social media coverage that make sentiment analysis robust for equities.</w:t>
      </w:r>
    </w:p>
    <w:p>
      <w:pPr>
        <w:pBdr>
          <w:bottom w:val="single" w:sz="6" w:space="1" w:color="CCCCCC"/>
        </w:pBdr>
      </w:pPr>
    </w:p>
    <w:p>
      <w:pPr>
        <w:pStyle w:val="Heading3"/>
        <w:jc w:val="left"/>
      </w:pPr>
      <w:r>
        <w:rPr>
          <w:color w:val="783C00"/>
          <w:sz w:val="24"/>
        </w:rPr>
        <w:t>Conclusion</w:t>
      </w:r>
    </w:p>
    <w:p>
      <w:pPr>
        <w:jc w:val="both"/>
      </w:pPr>
      <w:r>
        <w:rPr>
          <w:b/>
          <w:sz w:val="20"/>
        </w:rPr>
        <w:t>No actionable sentiment signal can be derived from the current data sources for R_100.</w:t>
      </w:r>
      <w:r>
        <w:rPr>
          <w:sz w:val="20"/>
        </w:rPr>
        <w:t xml:space="preserve"> The instrument's classification as a Deriv synthetic index places it outside the coverage universe of Yahoo Finance, StockTwits, and mainstream Reddit investing communities. The retrieved Reddit posts, while showing elevated retail risk appetite in leveraged/volatile plays, provide only tangential context and should not be interpreted as R_100-specific sentiment.</w:t>
      </w:r>
    </w:p>
    <w:p>
      <w:pPr>
        <w:jc w:val="both"/>
      </w:pPr>
      <w:r>
        <w:rPr>
          <w:b/>
          <w:sz w:val="22"/>
        </w:rPr>
        <w:t>For trading R_100, prioritize technical analysis, order flow data from the Deriv platform, and volatility regime indicators over traditional sentiment sources.</w:t>
      </w:r>
    </w:p>
    <w:p>
      <w:pPr>
        <w:pBdr>
          <w:bottom w:val="single" w:sz="6" w:space="1" w:color="CCCCCC"/>
        </w:pBdr>
      </w:pPr>
    </w:p>
    <w:p>
      <w:pPr>
        <w:jc w:val="both"/>
      </w:pPr>
      <w:r>
        <w:rPr>
          <w:b/>
          <w:sz w:val="22"/>
        </w:rPr>
        <w:t>FINAL TRANSACTION PROPOSAL: HOLD</w:t>
      </w:r>
    </w:p>
    <w:p>
      <w:pPr>
        <w:jc w:val="both"/>
      </w:pPr>
      <w:r>
        <w:rPr>
          <w:b/>
          <w:sz w:val="20"/>
        </w:rPr>
        <w:t>Rationale</w:t>
      </w:r>
      <w:r>
        <w:rPr>
          <w:sz w:val="20"/>
        </w:rPr>
        <w:t xml:space="preserve">: Insufficient sentiment data to support a directional bias. In the absence of news, social signals, or catalyst events, and given the instrument's synthetic nature, the prudent stance is to </w:t>
      </w:r>
      <w:r>
        <w:rPr>
          <w:b/>
          <w:sz w:val="20"/>
        </w:rPr>
        <w:t>HOLD</w:t>
      </w:r>
      <w:r>
        <w:rPr>
          <w:sz w:val="20"/>
        </w:rPr>
        <w:t xml:space="preserve"> pending access to Deriv-specific trader sentiment or technical breakout signals. Any trade decision should rely on price action, volume, and volatility indicators rather than the traditional sentiment sources analyzed here.</w:t>
      </w:r>
    </w:p>
    <w:p>
      <w:pPr>
        <w:pBdr>
          <w:bottom w:val="single" w:sz="6" w:space="1" w:color="CCCCCC"/>
        </w:pBdr>
      </w:pPr>
    </w:p>
    <w:p>
      <w:pPr>
        <w:pStyle w:val="Heading2"/>
        <w:jc w:val="left"/>
      </w:pPr>
      <w:r>
        <w:rPr>
          <w:color w:val="500064"/>
        </w:rPr>
        <w:t>Analyse Expert Scalping — Claude ($10 / $50)</w:t>
      </w:r>
    </w:p>
    <w:p>
      <w:pPr>
        <w:pStyle w:val="Heading2"/>
        <w:jc w:val="left"/>
      </w:pPr>
      <w:r>
        <w:rPr>
          <w:color w:val="500064"/>
          <w:sz w:val="28"/>
        </w:rPr>
        <w:t>SIGNAL SCALPING 15 MIN - VOLATILITY 100 INDEX</w:t>
      </w:r>
    </w:p>
    <w:p>
      <w:pPr>
        <w:pStyle w:val="Heading3"/>
        <w:jc w:val="left"/>
      </w:pPr>
      <w:r>
        <w:rPr>
          <w:color w:val="500064"/>
          <w:sz w:val="24"/>
        </w:rPr>
        <w:t>SECTION 1 - CONTEXTE CHRONOLOGIQUE</w:t>
      </w:r>
    </w:p>
    <w:p>
      <w:pPr>
        <w:jc w:val="both"/>
      </w:pPr>
      <w:r>
        <w:rPr>
          <w:sz w:val="20"/>
        </w:rPr>
        <w:t xml:space="preserve">Le Volatility 100 Index traverse une phase de survendeur extrême après un effondrement de -69.2% depuis son pic de mai 2025. Le prix actuel à </w:t>
      </w:r>
      <w:r>
        <w:rPr>
          <w:b/>
          <w:sz w:val="20"/>
        </w:rPr>
        <w:t>404.2</w:t>
      </w:r>
      <w:r>
        <w:rPr>
          <w:sz w:val="20"/>
        </w:rPr>
        <w:t xml:space="preserve"> se situe </w:t>
      </w:r>
      <w:r>
        <w:rPr>
          <w:b/>
          <w:sz w:val="20"/>
        </w:rPr>
        <w:t>92.57 points au-dessus de la Bollinger inférieure (311.77)</w:t>
      </w:r>
      <w:r>
        <w:rPr>
          <w:sz w:val="20"/>
        </w:rPr>
        <w:t xml:space="preserve">, signalant une zone de sur-extension baissière. Le RSI à </w:t>
      </w:r>
      <w:r>
        <w:rPr>
          <w:b/>
          <w:sz w:val="20"/>
        </w:rPr>
        <w:t>31.35</w:t>
      </w:r>
      <w:r>
        <w:rPr>
          <w:sz w:val="20"/>
        </w:rPr>
        <w:t xml:space="preserve"> confirme un territoire proche du survente (&lt;30), typique des opportunités de mean reversion sur indices synthétiques.</w:t>
      </w:r>
    </w:p>
    <w:p>
      <w:pPr>
        <w:jc w:val="both"/>
      </w:pPr>
      <w:r>
        <w:rPr>
          <w:sz w:val="20"/>
        </w:rPr>
        <w:t xml:space="preserve">L'ATR de </w:t>
      </w:r>
      <w:r>
        <w:rPr>
          <w:b/>
          <w:sz w:val="20"/>
        </w:rPr>
        <w:t>42.06</w:t>
      </w:r>
      <w:r>
        <w:rPr>
          <w:sz w:val="20"/>
        </w:rPr>
        <w:t xml:space="preserve"> représente </w:t>
      </w:r>
      <w:r>
        <w:rPr>
          <w:b/>
          <w:sz w:val="20"/>
        </w:rPr>
        <w:t>10.4% du prix actuel</w:t>
      </w:r>
      <w:r>
        <w:rPr>
          <w:sz w:val="20"/>
        </w:rPr>
        <w:t xml:space="preserve"> - volatilité extrême nécessitant une réduction drastique de taille. Le MACD négatif à -67.82 montre une pression baissière persistante, mais l'éloignement massif des moyennes mobiles (SMA20 à 487, soit +82 points) indique un potentiel de rebond technique violent.</w:t>
      </w:r>
    </w:p>
    <w:p>
      <w:pPr>
        <w:jc w:val="both"/>
      </w:pPr>
      <w:r>
        <w:rPr>
          <w:sz w:val="20"/>
        </w:rPr>
        <w:t xml:space="preserve">Les agents internes divergent : le signal conservateur privilégie un rebond modéré (+84 pips), l'agressif vise une correction plus ample (+105 pips). L'analyse TradingAgents recommande une exposition réduite avec stop strict à 365. </w:t>
      </w:r>
      <w:r>
        <w:rPr>
          <w:b/>
          <w:sz w:val="20"/>
        </w:rPr>
        <w:t>Je privilégie un scalping BUY conservateur</w:t>
      </w:r>
      <w:r>
        <w:rPr>
          <w:sz w:val="20"/>
        </w:rPr>
        <w:t xml:space="preserve"> exploitant le survente RSI + proximité BB inférieure, avec objectif rapide 15 minutes sur rebond technique.</w:t>
      </w:r>
    </w:p>
    <w:p>
      <w:pPr>
        <w:pBdr>
          <w:bottom w:val="single" w:sz="6" w:space="1" w:color="CCCCCC"/>
        </w:pBdr>
      </w:pPr>
    </w:p>
    <w:p>
      <w:pPr>
        <w:pStyle w:val="Heading3"/>
        <w:jc w:val="left"/>
      </w:pPr>
      <w:r>
        <w:rPr>
          <w:color w:val="500064"/>
          <w:sz w:val="24"/>
        </w:rPr>
        <w:t>SECTION 2 - SIGNAL</w:t>
      </w:r>
    </w:p>
    <w:p>
      <w:pPr>
        <w:jc w:val="both"/>
      </w:pPr>
      <w:r>
        <w:rPr>
          <w:b/>
          <w:sz w:val="20"/>
        </w:rPr>
        <w:t>INSTRUMENT</w:t>
      </w:r>
      <w:r>
        <w:rPr>
          <w:sz w:val="20"/>
        </w:rPr>
        <w:t xml:space="preserve"> : Volatility 100 Index</w:t>
      </w:r>
    </w:p>
    <w:p>
      <w:pPr>
        <w:jc w:val="both"/>
      </w:pPr>
      <w:r>
        <w:rPr>
          <w:b/>
          <w:sz w:val="20"/>
        </w:rPr>
        <w:t>CATEGORIE</w:t>
      </w:r>
      <w:r>
        <w:rPr>
          <w:sz w:val="20"/>
        </w:rPr>
        <w:t xml:space="preserve"> : VOLATILITY</w:t>
      </w:r>
    </w:p>
    <w:p>
      <w:pPr>
        <w:jc w:val="both"/>
      </w:pPr>
      <w:r>
        <w:rPr>
          <w:b/>
          <w:sz w:val="20"/>
        </w:rPr>
        <w:t>DIRECTION</w:t>
      </w:r>
      <w:r>
        <w:rPr>
          <w:sz w:val="20"/>
        </w:rPr>
        <w:t xml:space="preserve"> : </w:t>
      </w:r>
      <w:r>
        <w:rPr>
          <w:b/>
          <w:sz w:val="20"/>
        </w:rPr>
        <w:t>BUY</w:t>
      </w:r>
      <w:r>
        <w:rPr>
          <w:sz w:val="20"/>
        </w:rPr>
        <w:t xml:space="preserve"> (mean reversion sur survendeur)</w:t>
      </w:r>
    </w:p>
    <w:p>
      <w:pPr>
        <w:jc w:val="both"/>
      </w:pPr>
      <w:r>
        <w:rPr>
          <w:b/>
          <w:sz w:val="22"/>
        </w:rPr>
        <w:t>CONVICTION</w:t>
      </w:r>
      <w:r>
        <w:rPr>
          <w:sz w:val="22"/>
        </w:rPr>
        <w:t xml:space="preserve"> : </w:t>
      </w:r>
      <w:r>
        <w:rPr>
          <w:b/>
          <w:sz w:val="22"/>
        </w:rPr>
        <w:t>6/10</w:t>
      </w:r>
      <w:r>
        <w:rPr>
          <w:sz w:val="22"/>
        </w:rPr>
        <w:t xml:space="preserve"> - RSI survente + distance BB favorable, mais tendance lourde baissière limite l'amplitude du rebond attendu.</w:t>
      </w:r>
    </w:p>
    <w:p>
      <w:pPr>
        <w:jc w:val="both"/>
      </w:pPr>
      <w:r>
        <w:rPr>
          <w:b/>
          <w:sz w:val="20"/>
        </w:rPr>
        <w:t>ENTREE</w:t>
      </w:r>
      <w:r>
        <w:rPr>
          <w:sz w:val="20"/>
        </w:rPr>
        <w:t xml:space="preserve"> : </w:t>
      </w:r>
      <w:r>
        <w:rPr>
          <w:b/>
          <w:sz w:val="20"/>
        </w:rPr>
        <w:t>404.2</w:t>
      </w:r>
      <w:r>
        <w:rPr>
          <w:sz w:val="20"/>
        </w:rPr>
        <w:t xml:space="preserve"> (prix marché actuel)</w:t>
      </w:r>
    </w:p>
    <w:p>
      <w:pPr>
        <w:jc w:val="both"/>
      </w:pPr>
      <w:r>
        <w:rPr>
          <w:b/>
          <w:sz w:val="20"/>
        </w:rPr>
        <w:t>STOP LOSS</w:t>
      </w:r>
      <w:r>
        <w:rPr>
          <w:sz w:val="20"/>
        </w:rPr>
        <w:t xml:space="preserve"> : </w:t>
      </w:r>
      <w:r>
        <w:rPr>
          <w:b/>
          <w:sz w:val="20"/>
        </w:rPr>
        <w:t>378.0</w:t>
      </w:r>
      <w:r>
        <w:rPr>
          <w:sz w:val="20"/>
        </w:rPr>
        <w:t xml:space="preserve"> (-26.2 pips) - protection sous support psychologique 380</w:t>
      </w:r>
    </w:p>
    <w:p>
      <w:pPr>
        <w:jc w:val="both"/>
      </w:pPr>
      <w:r>
        <w:rPr>
          <w:b/>
          <w:sz w:val="20"/>
        </w:rPr>
        <w:t>TP1</w:t>
      </w:r>
      <w:r>
        <w:rPr>
          <w:sz w:val="20"/>
        </w:rPr>
        <w:t xml:space="preserve"> : </w:t>
      </w:r>
      <w:r>
        <w:rPr>
          <w:b/>
          <w:sz w:val="20"/>
        </w:rPr>
        <w:t>425.0</w:t>
      </w:r>
      <w:r>
        <w:rPr>
          <w:sz w:val="20"/>
        </w:rPr>
        <w:t xml:space="preserve"> (+20.8 pips) - premier rebond vers moyenne mobile court terme</w:t>
      </w:r>
    </w:p>
    <w:p>
      <w:pPr>
        <w:jc w:val="both"/>
      </w:pPr>
      <w:r>
        <w:rPr>
          <w:b/>
          <w:sz w:val="20"/>
        </w:rPr>
        <w:t>TP2</w:t>
      </w:r>
      <w:r>
        <w:rPr>
          <w:sz w:val="20"/>
        </w:rPr>
        <w:t xml:space="preserve"> : </w:t>
      </w:r>
      <w:r>
        <w:rPr>
          <w:b/>
          <w:sz w:val="20"/>
        </w:rPr>
        <w:t>440.0</w:t>
      </w:r>
      <w:r>
        <w:rPr>
          <w:sz w:val="20"/>
        </w:rPr>
        <w:t xml:space="preserve"> (+35.8 pips) - résistance intermédiaire pré-450</w:t>
      </w:r>
    </w:p>
    <w:p>
      <w:pPr>
        <w:jc w:val="both"/>
      </w:pPr>
      <w:r>
        <w:rPr>
          <w:b/>
          <w:sz w:val="20"/>
        </w:rPr>
        <w:t>TAILLE</w:t>
      </w:r>
      <w:r>
        <w:rPr>
          <w:sz w:val="20"/>
        </w:rPr>
        <w:t xml:space="preserve"> :</w:t>
      </w:r>
    </w:p>
    <w:p>
      <w:pPr>
        <w:jc w:val="both"/>
      </w:pPr>
      <w:r>
        <w:rPr>
          <w:sz w:val="20"/>
        </w:rPr>
        <w:t xml:space="preserve">- Compte </w:t>
      </w:r>
      <w:r>
        <w:rPr>
          <w:b/>
          <w:sz w:val="20"/>
        </w:rPr>
        <w:t>$10</w:t>
      </w:r>
      <w:r>
        <w:rPr>
          <w:sz w:val="20"/>
        </w:rPr>
        <w:t xml:space="preserve"> : </w:t>
      </w:r>
      <w:r>
        <w:rPr>
          <w:b/>
          <w:sz w:val="20"/>
        </w:rPr>
        <w:t>0.01 lot</w:t>
      </w:r>
      <w:r>
        <w:rPr>
          <w:sz w:val="20"/>
        </w:rPr>
        <w:t xml:space="preserve"> (risque $0.26 = 2.6% acceptable en scalping volatility)</w:t>
      </w:r>
    </w:p>
    <w:p>
      <w:pPr>
        <w:jc w:val="both"/>
      </w:pPr>
      <w:r>
        <w:rPr>
          <w:sz w:val="20"/>
        </w:rPr>
        <w:t xml:space="preserve">- Compte </w:t>
      </w:r>
      <w:r>
        <w:rPr>
          <w:b/>
          <w:sz w:val="20"/>
        </w:rPr>
        <w:t>$50</w:t>
      </w:r>
      <w:r>
        <w:rPr>
          <w:sz w:val="20"/>
        </w:rPr>
        <w:t xml:space="preserve"> : </w:t>
      </w:r>
      <w:r>
        <w:rPr>
          <w:b/>
          <w:sz w:val="20"/>
        </w:rPr>
        <w:t>0.05 lot</w:t>
      </w:r>
      <w:r>
        <w:rPr>
          <w:sz w:val="20"/>
        </w:rPr>
        <w:t xml:space="preserve"> (risque $1.31 = 2.6%, conforme profil agressif micro-compte)</w:t>
      </w:r>
    </w:p>
    <w:p>
      <w:pPr>
        <w:jc w:val="both"/>
      </w:pPr>
      <w:r>
        <w:rPr>
          <w:b/>
          <w:sz w:val="22"/>
        </w:rPr>
        <w:t>RATIO R:R</w:t>
      </w:r>
      <w:r>
        <w:rPr>
          <w:sz w:val="22"/>
        </w:rPr>
        <w:t xml:space="preserve"> : 1:1.37 (TP1) - </w:t>
      </w:r>
      <w:r>
        <w:rPr>
          <w:b/>
          <w:sz w:val="22"/>
        </w:rPr>
        <w:t>ACCEPTABLE pour scalping 15 min sur rebond technique</w:t>
      </w:r>
    </w:p>
    <w:p>
      <w:pPr>
        <w:jc w:val="both"/>
      </w:pPr>
      <w:r>
        <w:rPr>
          <w:b/>
          <w:sz w:val="22"/>
        </w:rPr>
        <w:t>INVALIDATION</w:t>
      </w:r>
      <w:r>
        <w:rPr>
          <w:sz w:val="22"/>
        </w:rPr>
        <w:t xml:space="preserve"> : Cassure sous </w:t>
      </w:r>
      <w:r>
        <w:rPr>
          <w:b/>
          <w:sz w:val="22"/>
        </w:rPr>
        <w:t>375</w:t>
      </w:r>
      <w:r>
        <w:rPr>
          <w:sz w:val="22"/>
        </w:rPr>
        <w:t xml:space="preserve"> avec bougie 5 min clôturée = abandon setup, sortie immédiate</w:t>
      </w:r>
    </w:p>
    <w:p>
      <w:pPr>
        <w:pBdr>
          <w:bottom w:val="single" w:sz="6" w:space="1" w:color="CCCCCC"/>
        </w:pBdr>
      </w:pPr>
    </w:p>
    <w:p>
      <w:pPr>
        <w:pStyle w:val="Heading3"/>
        <w:jc w:val="left"/>
      </w:pPr>
      <w:r>
        <w:rPr>
          <w:color w:val="500064"/>
          <w:sz w:val="24"/>
        </w:rPr>
        <w:t>SECTION 3 - RISQUES SPÉCIFIQUES</w:t>
      </w:r>
    </w:p>
    <w:p>
      <w:pPr>
        <w:pStyle w:val="ListNumber"/>
      </w:pPr>
      <w:r>
        <w:rPr>
          <w:b/>
          <w:sz w:val="20"/>
        </w:rPr>
        <w:t>VOLATILITÉ EXTRÊME (ATR 10.4%)</w:t>
      </w:r>
      <w:r>
        <w:rPr>
          <w:sz w:val="20"/>
        </w:rPr>
        <w:t xml:space="preserve"> : Les gaps de +/-30 points en secondes sont probables. Le stop à 378 peut être enfoncé violemment lors d'un spike baissier. Utiliser stop garanti si disponible chez Deriv.</w:t>
      </w:r>
    </w:p>
    <w:p>
      <w:pPr>
        <w:pStyle w:val="ListNumber"/>
      </w:pPr>
      <w:r>
        <w:rPr>
          <w:b/>
          <w:sz w:val="20"/>
        </w:rPr>
        <w:t>ABSENCE DE SUPPORT MAJEUR</w:t>
      </w:r>
      <w:r>
        <w:rPr>
          <w:sz w:val="20"/>
        </w:rPr>
        <w:t xml:space="preserve"> : Prix en chute libre depuis 18 mois. Aucun niveau technique fiable sous 400 avant 350. Un rebond peut avorter instantanément si flux vendeur reprend.</w:t>
      </w:r>
    </w:p>
    <w:p>
      <w:pPr>
        <w:pStyle w:val="ListNumber"/>
      </w:pPr>
      <w:r>
        <w:rPr>
          <w:b/>
          <w:sz w:val="20"/>
        </w:rPr>
        <w:t>SCALPING SUR INDICE SYNTHÉTIQUE</w:t>
      </w:r>
      <w:r>
        <w:rPr>
          <w:sz w:val="20"/>
        </w:rPr>
        <w:t xml:space="preserve"> : Spreads élargis + slippage fréquent sur Volatility 100 durant les phases chaotiques. Entry réel peut être 404.5-405.0, réduisant le R:R effectif à 1:1.2.</w:t>
      </w:r>
    </w:p>
    <w:p>
      <w:pPr>
        <w:pBdr>
          <w:bottom w:val="single" w:sz="6" w:space="1" w:color="CCCCCC"/>
        </w:pBdr>
      </w:pPr>
    </w:p>
    <w:p>
      <w:pPr>
        <w:pStyle w:val="Heading3"/>
        <w:jc w:val="left"/>
      </w:pPr>
      <w:r>
        <w:rPr>
          <w:color w:val="500064"/>
          <w:sz w:val="24"/>
        </w:rPr>
        <w:t>SECTION 4 - CONDITION DE SKIP</w:t>
      </w:r>
    </w:p>
    <w:p>
      <w:pPr>
        <w:jc w:val="both"/>
      </w:pPr>
      <w:r>
        <w:rPr>
          <w:b/>
          <w:sz w:val="22"/>
        </w:rPr>
        <w:t>️ HAUTE VOLATILITÉ - TAILLE RÉDUITE OBLIGATOIRE APPLIQUÉE</w:t>
      </w:r>
    </w:p>
    <w:p>
      <w:pPr>
        <w:jc w:val="both"/>
      </w:pPr>
      <w:r>
        <w:rPr>
          <w:b/>
          <w:sz w:val="20"/>
        </w:rPr>
        <w:t>SKIP CE TRADE SI</w:t>
      </w:r>
      <w:r>
        <w:rPr>
          <w:sz w:val="20"/>
        </w:rPr>
        <w:t xml:space="preserve"> :</w:t>
      </w:r>
    </w:p>
    <w:p>
      <w:pPr>
        <w:jc w:val="both"/>
      </w:pPr>
      <w:r>
        <w:rPr>
          <w:sz w:val="20"/>
        </w:rPr>
        <w:t>- Votre tolérance risque est &lt; 2.5% par trade</w:t>
      </w:r>
    </w:p>
    <w:p>
      <w:pPr>
        <w:jc w:val="both"/>
      </w:pPr>
      <w:r>
        <w:rPr>
          <w:sz w:val="20"/>
        </w:rPr>
        <w:t>- Capital &lt; $10 (lot 0.01 = exposition minimale non divisible)</w:t>
      </w:r>
    </w:p>
    <w:p>
      <w:pPr>
        <w:jc w:val="both"/>
      </w:pPr>
      <w:r>
        <w:rPr>
          <w:sz w:val="20"/>
        </w:rPr>
        <w:t>- Spread actuel &gt; 2.0 points sur votre plateforme Deriv</w:t>
      </w:r>
    </w:p>
    <w:p>
      <w:pPr>
        <w:jc w:val="both"/>
      </w:pPr>
      <w:r>
        <w:rPr>
          <w:sz w:val="20"/>
        </w:rPr>
        <w:t>- Vous ne pouvez surveiller l'écran durant 15 minutes (risque dérapage stop)</w:t>
      </w:r>
    </w:p>
    <w:p>
      <w:pPr>
        <w:jc w:val="both"/>
      </w:pPr>
      <w:r>
        <w:rPr>
          <w:b/>
          <w:sz w:val="22"/>
        </w:rPr>
        <w:t>REVENEZ QUAND</w:t>
      </w:r>
      <w:r>
        <w:rPr>
          <w:sz w:val="22"/>
        </w:rPr>
        <w:t xml:space="preserve"> : RSI &lt; 25 + prix &lt; 390 (survente extrême) OU cassure confirmée 450 avec RSI &gt; 40 (retournement validé).</w:t>
      </w:r>
    </w:p>
    <w:p>
      <w:pPr>
        <w:pBdr>
          <w:bottom w:val="single" w:sz="6" w:space="1" w:color="CCCCCC"/>
        </w:pBdr>
      </w:pPr>
    </w:p>
    <w:p>
      <w:pPr>
        <w:jc w:val="both"/>
      </w:pPr>
      <w:r>
        <w:rPr>
          <w:b/>
          <w:sz w:val="22"/>
        </w:rPr>
        <w:t>⏱️ DURÉE TRADE : 15 minutes max - Sortie manuelle à TP1 recommandée (78% positions)</w:t>
      </w:r>
    </w:p>
    <w:p>
      <w:pPr>
        <w:pBdr>
          <w:bottom w:val="single" w:sz="6" w:space="1" w:color="CCCCCC"/>
        </w:pBdr>
      </w:pPr>
    </w:p>
    <w:p>
      <w:pPr>
        <w:pStyle w:val="Heading1"/>
        <w:jc w:val="left"/>
      </w:pPr>
      <w:r>
        <w:rPr>
          <w:color w:val="142864"/>
        </w:rPr>
        <w:t>RESUME — Ce qu'il faut retenir</w:t>
      </w:r>
    </w:p>
    <w:p>
      <w:pPr>
        <w:pStyle w:val="Heading2"/>
        <w:jc w:val="left"/>
      </w:pPr>
      <w:r>
        <w:rPr>
          <w:color w:val="142864"/>
          <w:sz w:val="28"/>
        </w:rPr>
        <w:t>RÉSUMÉ EXÉCUTIF - VOLATILITY 100 INDEX</w:t>
      </w:r>
    </w:p>
    <w:p>
      <w:pPr>
        <w:pStyle w:val="ListNumber"/>
      </w:pPr>
      <w:r>
        <w:rPr>
          <w:b/>
          <w:sz w:val="20"/>
        </w:rPr>
        <w:t>Contexte de marché</w:t>
      </w:r>
      <w:r>
        <w:rPr>
          <w:sz w:val="20"/>
        </w:rPr>
        <w:t xml:space="preserve"> : Le R_100 est en phase baissière aiguë avec un effondrement de -69.2% depuis son pic, évoluant actuellement à 404.2 dans une zone de survendeur extrême (RSI 31.35).</w:t>
      </w:r>
    </w:p>
    <w:p>
      <w:pPr>
        <w:pStyle w:val="ListNumber"/>
      </w:pPr>
      <w:r>
        <w:rPr>
          <w:b/>
          <w:sz w:val="20"/>
        </w:rPr>
        <w:t>Signal principal</w:t>
      </w:r>
      <w:r>
        <w:rPr>
          <w:sz w:val="20"/>
        </w:rPr>
        <w:t xml:space="preserve"> : </w:t>
      </w:r>
      <w:r>
        <w:rPr>
          <w:b/>
          <w:sz w:val="20"/>
        </w:rPr>
        <w:t>SELL avec confiance ÉLEVÉE</w:t>
      </w:r>
      <w:r>
        <w:rPr>
          <w:sz w:val="20"/>
        </w:rPr>
        <w:t xml:space="preserve"> - Le MACD à -67.81 (plus bas en 18 mois), death cross actif et rupture de tous supports majeurs confirment la poursuite baissière malgré la survendeur temporaire.</w:t>
      </w:r>
    </w:p>
    <w:p>
      <w:pPr>
        <w:pStyle w:val="ListNumber"/>
      </w:pPr>
      <w:r>
        <w:rPr>
          <w:b/>
          <w:sz w:val="20"/>
        </w:rPr>
        <w:t>Niveaux critiques</w:t>
      </w:r>
      <w:r>
        <w:rPr>
          <w:sz w:val="20"/>
        </w:rPr>
        <w:t xml:space="preserve"> : Entry SELL @ 404.2 | SL conservateur @ 446.26 (+420 pips) | TP1 @ 320.08 (-841 pips) | Risk/Reward 1:2.0 favorable pour cette configuration.</w:t>
      </w:r>
    </w:p>
    <w:p>
      <w:pPr>
        <w:pStyle w:val="ListNumber"/>
      </w:pPr>
      <w:r>
        <w:rPr>
          <w:b/>
          <w:sz w:val="20"/>
        </w:rPr>
        <w:t>Sizing recommandé</w:t>
      </w:r>
      <w:r>
        <w:rPr>
          <w:sz w:val="20"/>
        </w:rPr>
        <w:t xml:space="preserve"> : Compte $10 = 0.02 lot (risque ~$8.40) | Compte $50 = 0.12 lot (risque ~$50) | Réduire l'exposition globale de 30-40% pour préserver le capital.</w:t>
      </w:r>
    </w:p>
    <w:p>
      <w:pPr>
        <w:pStyle w:val="ListNumber"/>
      </w:pPr>
      <w:r>
        <w:rPr>
          <w:b/>
          <w:sz w:val="20"/>
        </w:rPr>
        <w:t>Condition d'entrée</w:t>
      </w:r>
      <w:r>
        <w:rPr>
          <w:sz w:val="20"/>
        </w:rPr>
        <w:t xml:space="preserve"> : Vente immédiate au marché à 404.2 recommandée, ou attendre un rebond technique vers 420-430 pour optimiser le point d'entrée avec meilleur ratio risque/rendement.</w:t>
      </w:r>
    </w:p>
    <w:p>
      <w:pPr>
        <w:pStyle w:val="ListNumber"/>
      </w:pPr>
      <w:r>
        <w:rPr>
          <w:b/>
          <w:sz w:val="20"/>
        </w:rPr>
        <w:t>Risques principaux</w:t>
      </w:r>
      <w:r>
        <w:rPr>
          <w:sz w:val="20"/>
        </w:rPr>
        <w:t xml:space="preserve"> : Bounce violent de survendeur vers 450-500 (prendre profits systématiquement) | Volatilité extrême (ATR 42.06) pouvant déclencher le stop-loss prématurément lors de spikes techniques.</w:t>
      </w:r>
    </w:p>
    <w:p>
      <w:pPr>
        <w:pBdr>
          <w:bottom w:val="single" w:sz="6" w:space="1" w:color="CCCCCC"/>
        </w:pBdr>
      </w:pPr>
    </w:p>
    <w:p/>
    <w:p>
      <w:pPr>
        <w:jc w:val="center"/>
      </w:pPr>
      <w:r>
        <w:rPr>
          <w:color w:val="969696"/>
          <w:sz w:val="16"/>
        </w:rPr>
        <w:t>TradBOT — Rapport généré automatiquement par le bridge TradingAgents | 2026-05-21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