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RiyalPay Tracking Plan</w:t>
      </w:r>
    </w:p>
    <w:p>
      <w:pPr>
        <w:spacing w:after="160"/>
      </w:pPr>
      <w:r>
        <w:rPr>
          <w:i/>
          <w:iCs/>
          <w:color w:val="555555"/>
          <w:sz w:val="24"/>
          <w:szCs w:val="24"/>
        </w:rPr>
        <w:t xml:space="preserve">v3 — current spec, maintained by Analytics Engineering</w:t>
      </w:r>
    </w:p>
    <w:p>
      <w:pPr>
        <w:spacing w:after="160"/>
      </w:pPr>
      <w:r>
        <w:t xml:space="preserve">This is the intended event schema going forward (post-migration, Segment-style pipeline). Use it as the source of truth when validating what actually landed in the raw exports.</w:t>
      </w:r>
    </w:p>
    <w:p>
      <w:pPr>
        <w:pStyle w:val="Heading1"/>
        <w:spacing w:after="160" w:before="280"/>
      </w:pPr>
      <w:r>
        <w:t xml:space="preserve">Standard Fields (Every Event)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700"/>
      </w:tblGrid>
      <w:tr>
        <w:tc>
          <w:tcPr>
            <w:tcW w:type="dxa" w:w="2000"/>
            <w:shd w:fill="2F3E52" w:color="auto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300"/>
            <w:shd w:fill="2F3E52" w:color="auto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6700"/>
            <w:shd w:fill="2F3E52" w:color="auto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color w:val="AA1155"/>
                <w:sz w:val="20"/>
                <w:szCs w:val="20"/>
              </w:rPr>
              <w:t xml:space="preserve">event_name</w:t>
            </w:r>
          </w:p>
        </w:tc>
        <w:tc>
          <w:tcPr>
            <w:tcW w:type="dxa" w:w="1300"/>
          </w:tcPr>
          <w:p>
            <w:r>
              <w:t xml:space="preserve">string</w:t>
            </w:r>
          </w:p>
        </w:tc>
        <w:tc>
          <w:tcPr>
            <w:tcW w:type="dxa" w:w="6700"/>
          </w:tcPr>
          <w:p>
            <w:r>
              <w:t xml:space="preserve">snake_case, from the taxonomy below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color w:val="AA1155"/>
                <w:sz w:val="20"/>
                <w:szCs w:val="20"/>
              </w:rPr>
              <w:t xml:space="preserve">user_id</w:t>
            </w:r>
          </w:p>
        </w:tc>
        <w:tc>
          <w:tcPr>
            <w:tcW w:type="dxa" w:w="1300"/>
          </w:tcPr>
          <w:p>
            <w:r>
              <w:t xml:space="preserve">string, nullable</w:t>
            </w:r>
          </w:p>
        </w:tc>
        <w:tc>
          <w:tcPr>
            <w:tcW w:type="dxa" w:w="6700"/>
          </w:tcPr>
          <w:p>
            <w:r>
              <w:t xml:space="preserve">null only for pre-signup/anonymous events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color w:val="AA1155"/>
                <w:sz w:val="20"/>
                <w:szCs w:val="20"/>
              </w:rPr>
              <w:t xml:space="preserve">event_timestamp</w:t>
            </w:r>
          </w:p>
        </w:tc>
        <w:tc>
          <w:tcPr>
            <w:tcW w:type="dxa" w:w="1300"/>
          </w:tcPr>
          <w:p>
            <w:r>
              <w:t xml:space="preserve">ISO-8601 UTC</w:t>
            </w:r>
          </w:p>
        </w:tc>
        <w:tc>
          <w:tcPr>
            <w:tcW w:type="dxa" w:w="6700"/>
          </w:tcPr>
          <w:p>
            <w:r>
              <w:t xml:space="preserve">e.g. 2026-03-04T13:22:01Z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color w:val="AA1155"/>
                <w:sz w:val="20"/>
                <w:szCs w:val="20"/>
              </w:rPr>
              <w:t xml:space="preserve">platform</w:t>
            </w:r>
          </w:p>
        </w:tc>
        <w:tc>
          <w:tcPr>
            <w:tcW w:type="dxa" w:w="1300"/>
          </w:tcPr>
          <w:p>
            <w:r>
              <w:t xml:space="preserve">string</w:t>
            </w:r>
          </w:p>
        </w:tc>
        <w:tc>
          <w:tcPr>
            <w:tcW w:type="dxa" w:w="6700"/>
          </w:tcPr>
          <w:p>
            <w:r>
              <w:t xml:space="preserve">iOS or Android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color w:val="AA1155"/>
                <w:sz w:val="20"/>
                <w:szCs w:val="20"/>
              </w:rPr>
              <w:t xml:space="preserve">app_version</w:t>
            </w:r>
          </w:p>
        </w:tc>
        <w:tc>
          <w:tcPr>
            <w:tcW w:type="dxa" w:w="1300"/>
          </w:tcPr>
          <w:p>
            <w:r>
              <w:t xml:space="preserve">string</w:t>
            </w:r>
          </w:p>
        </w:tc>
        <w:tc>
          <w:tcPr>
            <w:tcW w:type="dxa" w:w="6700"/>
          </w:tcPr>
          <w:p>
            <w:r>
              <w:t xml:space="preserve">semver, e.g. 3.5.0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color w:val="AA1155"/>
                <w:sz w:val="20"/>
                <w:szCs w:val="20"/>
              </w:rPr>
              <w:t xml:space="preserve">event_properties</w:t>
            </w:r>
          </w:p>
        </w:tc>
        <w:tc>
          <w:tcPr>
            <w:tcW w:type="dxa" w:w="1300"/>
          </w:tcPr>
          <w:p>
            <w:r>
              <w:t xml:space="preserve">JSON object</w:t>
            </w:r>
          </w:p>
        </w:tc>
        <w:tc>
          <w:tcPr>
            <w:tcW w:type="dxa" w:w="6700"/>
          </w:tcPr>
          <w:p>
            <w:r>
              <w:t xml:space="preserve">event-specific fields, see taxonomy below</w:t>
            </w:r>
          </w:p>
        </w:tc>
      </w:tr>
      <w:tr>
        <w:tc>
          <w:tcPr>
            <w:tcW w:type="dxa" w:w="2000"/>
          </w:tcPr>
          <w:p>
            <w:r>
              <w:rPr>
                <w:rFonts w:ascii="Consolas" w:cs="Consolas" w:eastAsia="Consolas" w:hAnsi="Consolas"/>
                <w:color w:val="AA1155"/>
                <w:sz w:val="20"/>
                <w:szCs w:val="20"/>
              </w:rPr>
              <w:t xml:space="preserve">ingested_at</w:t>
            </w:r>
          </w:p>
        </w:tc>
        <w:tc>
          <w:tcPr>
            <w:tcW w:type="dxa" w:w="1300"/>
          </w:tcPr>
          <w:p>
            <w:r>
              <w:t xml:space="preserve">ISO-8601 UTC</w:t>
            </w:r>
          </w:p>
        </w:tc>
        <w:tc>
          <w:tcPr>
            <w:tcW w:type="dxa" w:w="6700"/>
          </w:tcPr>
          <w:p>
            <w:r>
              <w:t xml:space="preserve">pipeline arrival time; should closely track event_timestamp</w:t>
            </w:r>
          </w:p>
        </w:tc>
      </w:tr>
    </w:tbl>
    <w:p>
      <w:pPr>
        <w:spacing w:after="200"/>
      </w:pPr>
    </w:p>
    <w:p>
      <w:pPr>
        <w:pStyle w:val="Heading1"/>
        <w:spacing w:after="160" w:before="280"/>
      </w:pPr>
      <w:r>
        <w:t xml:space="preserve">Event Taxonomy</w:t>
      </w:r>
    </w:p>
    <w:p>
      <w:pPr>
        <w:pStyle w:val="Heading2"/>
        <w:spacing w:after="120" w:before="240"/>
      </w:pPr>
      <w:r>
        <w:t xml:space="preserve">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app_open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signup_start</w:t>
      </w:r>
      <w:r>
        <w:t xml:space="preserve"> —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{channel}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signup_otp_verify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signup_complete</w:t>
      </w:r>
    </w:p>
    <w:p>
      <w:pPr>
        <w:pStyle w:val="Heading2"/>
        <w:spacing w:after="120" w:before="240"/>
      </w:pPr>
      <w:r>
        <w:t xml:space="preserve">KYC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kyc_start</w:t>
      </w:r>
      <w:r>
        <w:t xml:space="preserve"> —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{experiment_variant} (present only if user is in an active KYC experiment)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kyc_document_upload</w:t>
      </w:r>
      <w:r>
        <w:t xml:space="preserve"> —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{document_type: national_id | iqama | passport}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kyc_approved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kyc_rejected</w:t>
      </w:r>
    </w:p>
    <w:p>
      <w:pPr>
        <w:pStyle w:val="Heading2"/>
        <w:spacing w:after="120" w:before="240"/>
      </w:pPr>
      <w:r>
        <w:t xml:space="preserve">Core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home_view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notification_received</w:t>
      </w:r>
      <w:r>
        <w:t xml:space="preserve"> —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{campaign_id}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notification_opened</w:t>
      </w:r>
      <w:r>
        <w:t xml:space="preserve"> —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{campaign_id}</w:t>
      </w:r>
    </w:p>
    <w:p>
      <w:pPr>
        <w:pStyle w:val="Heading2"/>
        <w:spacing w:after="120" w:before="240"/>
      </w:pPr>
      <w:r>
        <w:t xml:space="preserve">Money Movement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add_money_start / add_money_success / add_money_failed</w:t>
      </w:r>
      <w:r>
        <w:t xml:space="preserve"> —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{amount, currency, method?, reason?}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send_money_start / send_money_success / send_money_failed</w:t>
      </w:r>
      <w:r>
        <w:t xml:space="preserve"> —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{amount, currency, recipient_type?, reason?}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bill_pay_view</w:t>
      </w:r>
      <w:r>
        <w:t xml:space="preserve"> —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{biller_category}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bill_pay_success</w:t>
      </w:r>
      <w:r>
        <w:t xml:space="preserve"> —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{amount, currency, biller_category}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cashback_claim</w:t>
      </w:r>
      <w:r>
        <w:t xml:space="preserve"> —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{amount, currency}</w:t>
      </w:r>
    </w:p>
    <w:p>
      <w:pPr>
        <w:pStyle w:val="Heading1"/>
        <w:spacing w:after="160" w:before="280"/>
      </w:pPr>
      <w:r>
        <w:t xml:space="preserve">Known Migration Note</w:t>
      </w:r>
    </w:p>
    <w:p>
      <w:pPr>
        <w:spacing w:after="160"/>
      </w:pPr>
      <w:r>
        <w:t xml:space="preserve">Analytics Engineering migrated the event pipeline from a legacy in-house SDK to Segment on </w:t>
      </w:r>
      <w:r>
        <w:rPr>
          <w:b/>
          <w:bCs/>
        </w:rPr>
        <w:t xml:space="preserve">2026-01-05</w:t>
      </w:r>
      <w:r>
        <w:t xml:space="preserve">. Events emitted before that date came from the old SDK and were exported separately by the legacy system — that export was not necessarily re-mapped to this spec before being handed off. Validate accordingly.</w:t>
      </w:r>
    </w:p>
    <w:p>
      <w:pPr>
        <w:pStyle w:val="Heading1"/>
        <w:spacing w:after="160" w:before="280"/>
      </w:pPr>
      <w:r>
        <w:t xml:space="preserve">Experiment Reference</w:t>
      </w:r>
    </w:p>
    <w:p>
      <w:pPr>
        <w:spacing w:after="160"/>
      </w:pPr>
      <w:r>
        <w:rPr>
          <w:rFonts w:ascii="Consolas" w:cs="Consolas" w:eastAsia="Consolas" w:hAnsi="Consolas"/>
          <w:color w:val="AA1155"/>
          <w:sz w:val="20"/>
          <w:szCs w:val="20"/>
        </w:rPr>
        <w:t xml:space="preserve">exp_kyc_streamline_2026</w:t>
      </w:r>
      <w:r>
        <w:t xml:space="preserve"> — eligible population: users reaching the KYC step between 2026-02-02 and 2026-03-16. Intended split: 50/50 control/treatment, randomized independently per platform. Assignment log: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experiment_assignments_raw.csv</w:t>
      </w:r>
      <w: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2026-08-18T11:41:45.315Z</dcterms:created>
  <dcterms:modified xsi:type="dcterms:W3CDTF">2026-08-18T11:41:45.315Z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