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CANIS: safety and welfare risk assessment</w:t>
      </w:r>
    </w:p>
    <w:p>
      <w:pPr>
        <w:pStyle w:val="BodyText"/>
        <w:bidi w:val="0"/>
        <w:jc w:val="left"/>
        <w:rPr/>
      </w:pPr>
      <w:r>
        <w:rPr/>
        <w:t xml:space="preserve">Supporting evidence for CREST Gold criterion </w:t>
      </w:r>
      <w:r>
        <w:rPr>
          <w:rStyle w:val="Strong"/>
        </w:rPr>
        <w:t>4.2</w:t>
      </w:r>
      <w:r>
        <w:rPr/>
        <w:t xml:space="preserve"> (decisions taking account of ethical and safety issues).</w:t>
      </w:r>
    </w:p>
    <w:p>
      <w:pPr>
        <w:pStyle w:val="BodyText"/>
        <w:bidi w:val="0"/>
        <w:jc w:val="left"/>
        <w:rPr/>
      </w:pPr>
      <w:r>
        <w:rPr/>
        <w:t xml:space="preserve">This is a formalisation, not a new analysis: </w:t>
      </w:r>
      <w:r>
        <w:rPr>
          <w:rStyle w:val="SourceText"/>
        </w:rPr>
        <w:t>optimized/PROBLEMS.md</w:t>
      </w:r>
      <w:r>
        <w:rPr/>
        <w:t xml:space="preserve"> already carries a severity-ranked inventory including a welfare section (W1 to W7), and paper §8 carries the ethics statement. This document restates those in a standard likelihood × severity register and adds the workshop and electrical hazards that a build-safety assessment requires.</w:t>
      </w:r>
    </w:p>
    <w:p>
      <w:pPr>
        <w:pStyle w:val="BodyText"/>
        <w:bidi w:val="0"/>
        <w:jc w:val="left"/>
        <w:rPr/>
      </w:pPr>
      <w:r>
        <w:rPr/>
        <w:t xml:space="preserve">Scoring: </w:t>
      </w:r>
      <w:r>
        <w:rPr>
          <w:rStyle w:val="Strong"/>
        </w:rPr>
        <w:t>Likelihood</w:t>
      </w:r>
      <w:r>
        <w:rPr/>
        <w:t xml:space="preserve"> and </w:t>
      </w:r>
      <w:r>
        <w:rPr>
          <w:rStyle w:val="Strong"/>
        </w:rPr>
        <w:t>Severity</w:t>
      </w:r>
      <w:r>
        <w:rPr/>
        <w:t xml:space="preserve"> each 1 (low) to 5 (high); </w:t>
      </w:r>
      <w:r>
        <w:rPr>
          <w:rStyle w:val="Strong"/>
        </w:rPr>
        <w:t>Risk</w:t>
      </w:r>
      <w:r>
        <w:rPr/>
        <w:t xml:space="preserve"> = L × S. Residual risk is the score after the stated control is in place.</w:t>
      </w:r>
    </w:p>
    <w:p>
      <w:pPr>
        <w:pStyle w:val="BodyText"/>
        <w:bidi w:val="0"/>
        <w:jc w:val="left"/>
        <w:rPr/>
      </w:pPr>
      <w:r>
        <w:rPr>
          <w:rStyle w:val="Strong"/>
        </w:rPr>
        <w:t>Ordering note:</w:t>
      </w:r>
      <w:r>
        <w:rPr/>
        <w:t xml:space="preserve"> animal-welfare hazards are listed first, and that ordering is deliberate. The project's first design constraint (C1, paper §3.1) is </w:t>
      </w:r>
      <w:r>
        <w:rPr>
          <w:rStyle w:val="Emphasis"/>
        </w:rPr>
        <w:t>do no harm to a fearful animal</w:t>
      </w:r>
      <w:r>
        <w:rPr/>
        <w:t>, and it outranks capability everywhere in the system.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Animal welfare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5"/>
        <w:gridCol w:w="2668"/>
        <w:gridCol w:w="551"/>
        <w:gridCol w:w="220"/>
        <w:gridCol w:w="220"/>
        <w:gridCol w:w="485"/>
        <w:gridCol w:w="5816"/>
        <w:gridCol w:w="944"/>
      </w:tblGrid>
      <w:tr>
        <w:trPr>
          <w:tblHeader w:val="true"/>
        </w:trPr>
        <w:tc>
          <w:tcPr>
            <w:tcW w:w="43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266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Hazard</w:t>
            </w:r>
          </w:p>
        </w:tc>
        <w:tc>
          <w:tcPr>
            <w:tcW w:w="55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Who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L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S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Risk</w:t>
            </w:r>
          </w:p>
        </w:tc>
        <w:tc>
          <w:tcPr>
            <w:tcW w:w="581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Control</w:t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Residual</w:t>
            </w:r>
          </w:p>
        </w:tc>
      </w:tr>
      <w:tr>
        <w:trPr/>
        <w:tc>
          <w:tcPr>
            <w:tcW w:w="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W1</w:t>
            </w:r>
          </w:p>
        </w:tc>
        <w:tc>
          <w:tcPr>
            <w:tcW w:w="26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Robot motion frightens a fear-reactive dog.</w:t>
            </w:r>
            <w:r>
              <w:rPr/>
              <w:t xml:space="preserve"> The subject is measurably afraid of moving objects; a roaming robot is close to the worst case</w:t>
            </w:r>
          </w:p>
        </w:tc>
        <w:tc>
          <w:tcPr>
            <w:tcW w:w="5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Dog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16</w:t>
            </w:r>
          </w:p>
        </w:tc>
        <w:tc>
          <w:tcPr>
            <w:tcW w:w="5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EXPOSURE_LEVEL</w:t>
            </w:r>
            <w:r>
              <w:rPr/>
              <w:t xml:space="preserve"> defaults to </w:t>
            </w:r>
            <w:r>
              <w:rPr>
                <w:rStyle w:val="Strong"/>
              </w:rPr>
              <w:t>0, no movement at all</w:t>
            </w:r>
            <w:r>
              <w:rPr/>
              <w:t xml:space="preserve">, and the system is fully functional at Level 0 (buzzer + reward only). Levels advance one step at a time, only on logged evidence of comfort, and are reversible. </w:t>
            </w:r>
            <w:r>
              <w:rPr>
                <w:rStyle w:val="SourceText"/>
              </w:rPr>
              <w:t>NEVER_APPROACH</w:t>
            </w:r>
            <w:r>
              <w:rPr/>
              <w:t xml:space="preserve"> means the robot can't close distance on the dog in any mode. Escalation requires a two-key arm-then-confirm, not one keypress. Exposure resets to 0 on boot</w:t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</w:tr>
      <w:tr>
        <w:trPr/>
        <w:tc>
          <w:tcPr>
            <w:tcW w:w="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W2</w:t>
            </w:r>
          </w:p>
        </w:tc>
        <w:tc>
          <w:tcPr>
            <w:tcW w:w="26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Aversive conditioning by design.</w:t>
            </w:r>
            <w:r>
              <w:rPr/>
              <w:t xml:space="preserve"> An automated "corrector" pairing a zone with a frightening machine</w:t>
            </w:r>
          </w:p>
        </w:tc>
        <w:tc>
          <w:tcPr>
            <w:tcW w:w="5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Dog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12</w:t>
            </w:r>
          </w:p>
        </w:tc>
        <w:tc>
          <w:tcPr>
            <w:tcW w:w="5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The conditioning primitive is inverted: CANIS </w:t>
            </w:r>
            <w:r>
              <w:rPr>
                <w:rStyle w:val="Strong"/>
              </w:rPr>
              <w:t>marks and rewards leaving</w:t>
            </w:r>
            <w:r>
              <w:rPr/>
              <w:t>, and never punishes entering. This is a design decision (C2), not a setting; there's no punishment path in the state machine to misconfigure</w:t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W3</w:t>
            </w:r>
          </w:p>
        </w:tc>
        <w:tc>
          <w:tcPr>
            <w:tcW w:w="26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Buzzer cue is itself aversive</w:t>
            </w:r>
          </w:p>
        </w:tc>
        <w:tc>
          <w:tcPr>
            <w:tcW w:w="5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Dog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5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Mild 800 Hz / 150 ms tone, restricted to GUARD mode only. Redesign the cue on any pattern of fear response</w:t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</w:tr>
      <w:tr>
        <w:trPr/>
        <w:tc>
          <w:tcPr>
            <w:tcW w:w="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W4</w:t>
            </w:r>
          </w:p>
        </w:tc>
        <w:tc>
          <w:tcPr>
            <w:tcW w:w="26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Marker tone with no treat behind it.</w:t>
            </w:r>
            <w:r>
              <w:rPr/>
              <w:t xml:space="preserve"> A jam or empty hopper erodes the conditioning by teaching the dog the marker is a lie</w:t>
            </w:r>
          </w:p>
        </w:tc>
        <w:tc>
          <w:tcPr>
            <w:tcW w:w="5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Dog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5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Rewards counted on the Arduino's confirmed delivery ACK, not on the ESP32's request; correlation id per dispense so a manual button press can't be miscredited; after two jams the dispenser goes silent rather than keep beeping over an empty hopper. </w:t>
            </w:r>
            <w:r>
              <w:rPr>
                <w:rStyle w:val="Strong"/>
              </w:rPr>
              <w:t>Partial:</w:t>
            </w:r>
            <w:r>
              <w:rPr/>
              <w:t xml:space="preserve"> the beam-break jam detector has no CAD mount and ships disabled, so verification is gate-cycle-only</w:t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</w:tr>
      <w:tr>
        <w:trPr/>
        <w:tc>
          <w:tcPr>
            <w:tcW w:w="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W5</w:t>
            </w:r>
          </w:p>
        </w:tc>
        <w:tc>
          <w:tcPr>
            <w:tcW w:w="26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Over-feeding</w:t>
            </w:r>
          </w:p>
        </w:tc>
        <w:tc>
          <w:tcPr>
            <w:tcW w:w="5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Dog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5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 s cooldown, 30-per-session cap, enforced in all modes with a compile-time guard. Treats used are a vet-recommended training treat; the per-session count varies with session length rather than being fixed, and the daily total is confirmed to fit comfortably inside a safe allowance</w:t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W6</w:t>
            </w:r>
          </w:p>
        </w:tc>
        <w:tc>
          <w:tcPr>
            <w:tcW w:w="26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Physical contact with the dog</w:t>
            </w:r>
          </w:p>
        </w:tc>
        <w:tc>
          <w:tcPr>
            <w:tcW w:w="5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Dog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5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NEVER_APPROACH</w:t>
            </w:r>
            <w:r>
              <w:rPr/>
              <w:t xml:space="preserve"> in every mode; correction motions duration-bounded and halted immediately on disengagement; sessions supervised</w:t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W7</w:t>
            </w:r>
          </w:p>
        </w:tc>
        <w:tc>
          <w:tcPr>
            <w:tcW w:w="26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Over-arousal rather than fear.</w:t>
            </w:r>
            <w:r>
              <w:rPr/>
              <w:t xml:space="preserve"> Chasing a fleeing object winds some dogs up</w:t>
            </w:r>
          </w:p>
        </w:tc>
        <w:tc>
          <w:tcPr>
            <w:tcW w:w="5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Dog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5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Confirmed protocol: the session ends immediately on any sign of over-arousal</w:t>
            </w:r>
            <w:r>
              <w:rPr/>
              <w:t>, watched for alongside (not instead of) the distress signs in §6. This is a supervision-enforced rule, not an automated one; the robot itself has no over-arousal sensing</w:t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</w:tr>
      <w:tr>
        <w:trPr/>
        <w:tc>
          <w:tcPr>
            <w:tcW w:w="4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W8</w:t>
            </w:r>
          </w:p>
        </w:tc>
        <w:tc>
          <w:tcPr>
            <w:tcW w:w="26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Reward latency conditions the wrong behaviour.</w:t>
            </w:r>
            <w:r>
              <w:rPr/>
              <w:t xml:space="preserve"> A ~5 to 9 s delay between the act and the treat may reinforce whatever the dog did in between</w:t>
            </w:r>
          </w:p>
        </w:tc>
        <w:tc>
          <w:tcPr>
            <w:tcW w:w="5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Dog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5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Recognised and recorded as a validity risk in </w:t>
            </w:r>
            <w:r>
              <w:rPr>
                <w:rStyle w:val="SourceText"/>
              </w:rPr>
              <w:t>PROBLEMS.md</w:t>
            </w:r>
            <w:r>
              <w:rPr/>
              <w:t xml:space="preserve"> §H. The marker tone fires immediately and bridges the gap, which is the standard mitigation; latency reduction is open work</w:t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</w:tr>
    </w:tbl>
    <w:p>
      <w:pPr>
        <w:pStyle w:val="Heading2"/>
        <w:bidi w:val="0"/>
        <w:jc w:val="left"/>
        <w:rPr/>
      </w:pPr>
      <w:r>
        <w:rPr/>
        <w:t>2. Physical and electrical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1"/>
        <w:gridCol w:w="2307"/>
        <w:gridCol w:w="1383"/>
        <w:gridCol w:w="220"/>
        <w:gridCol w:w="220"/>
        <w:gridCol w:w="485"/>
        <w:gridCol w:w="5428"/>
        <w:gridCol w:w="945"/>
      </w:tblGrid>
      <w:tr>
        <w:trPr>
          <w:tblHeader w:val="true"/>
        </w:trPr>
        <w:tc>
          <w:tcPr>
            <w:tcW w:w="35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230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Hazard</w:t>
            </w:r>
          </w:p>
        </w:tc>
        <w:tc>
          <w:tcPr>
            <w:tcW w:w="138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Who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L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S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Risk</w:t>
            </w:r>
          </w:p>
        </w:tc>
        <w:tc>
          <w:tcPr>
            <w:tcW w:w="542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Control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Residual</w:t>
            </w:r>
          </w:p>
        </w:tc>
      </w:tr>
      <w:tr>
        <w:trPr/>
        <w:tc>
          <w:tcPr>
            <w:tcW w:w="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P1</w:t>
            </w:r>
          </w:p>
        </w:tc>
        <w:tc>
          <w:tcPr>
            <w:tcW w:w="23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Uncontrolled motion from an electrical or software fault</w:t>
            </w:r>
            <w:r>
              <w:rPr/>
              <w:t xml:space="preserve"> (brownout, motor-noise glitch, crashed controller)</w:t>
            </w:r>
          </w:p>
        </w:tc>
        <w:tc>
          <w:tcPr>
            <w:tcW w:w="13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Dog, household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15</w:t>
            </w:r>
          </w:p>
        </w:tc>
        <w:tc>
          <w:tcPr>
            <w:tcW w:w="5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Hardware motion watchdog on the real-time Arduino halts motors within ~1 s of command-link silence, so a crashed ESP32, a dead network, or a pulled cable all fail to </w:t>
            </w:r>
            <w:r>
              <w:rPr>
                <w:rStyle w:val="Emphasis"/>
              </w:rPr>
              <w:t>stopped</w:t>
            </w:r>
            <w:r>
              <w:rPr/>
              <w:t xml:space="preserve">, not to </w:t>
            </w:r>
            <w:r>
              <w:rPr>
                <w:rStyle w:val="Emphasis"/>
              </w:rPr>
              <w:t>moving</w:t>
            </w:r>
            <w:r>
              <w:rPr/>
              <w:t xml:space="preserve">. Watchdog stops motors on any reset; exposure resets to 0 on boot; noise-suppression capacitors specified. </w:t>
            </w:r>
            <w:r>
              <w:rPr>
                <w:rStyle w:val="Strong"/>
              </w:rPr>
              <w:t>Run the brownout test before any untethered session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</w:tr>
      <w:tr>
        <w:trPr/>
        <w:tc>
          <w:tcPr>
            <w:tcW w:w="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P2</w:t>
            </w:r>
          </w:p>
        </w:tc>
        <w:tc>
          <w:tcPr>
            <w:tcW w:w="23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Blind reversing / wall-lock.</w:t>
            </w:r>
            <w:r>
              <w:rPr/>
              <w:t xml:space="preserve"> PLAY flee backs up with no rear sensor and can corner-lock</w:t>
            </w:r>
          </w:p>
        </w:tc>
        <w:tc>
          <w:tcPr>
            <w:tcW w:w="13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Furniture, robot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5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Open.</w:t>
            </w:r>
            <w:r>
              <w:rPr/>
              <w:t xml:space="preserve"> Accepted with supervision; a rear ultrasonic is the fix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</w:tr>
      <w:tr>
        <w:trPr/>
        <w:tc>
          <w:tcPr>
            <w:tcW w:w="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P3</w:t>
            </w:r>
          </w:p>
        </w:tc>
        <w:tc>
          <w:tcPr>
            <w:tcW w:w="23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Falls down stairs.</w:t>
            </w:r>
            <w:r>
              <w:rPr/>
              <w:t xml:space="preserve"> No cliff sensor</w:t>
            </w:r>
          </w:p>
        </w:tc>
        <w:tc>
          <w:tcPr>
            <w:tcW w:w="13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Robot, anyone below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5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By design, single-floor only.</w:t>
            </w:r>
            <w:r>
              <w:rPr/>
              <w:t xml:space="preserve"> Deliberate omission, documented. Keep the robot on one floor; it's unsafe off it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</w:tr>
      <w:tr>
        <w:trPr/>
        <w:tc>
          <w:tcPr>
            <w:tcW w:w="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P4</w:t>
            </w:r>
          </w:p>
        </w:tc>
        <w:tc>
          <w:tcPr>
            <w:tcW w:w="23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Buck converter mis-set.</w:t>
            </w:r>
            <w:r>
              <w:rPr/>
              <w:t xml:space="preserve"> More than 10 V into the logic rail or the Pi destroys boards</w:t>
            </w:r>
          </w:p>
        </w:tc>
        <w:tc>
          <w:tcPr>
            <w:tcW w:w="13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Equipment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5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Standing safety rule: meter the buck output to 5.0 to 5.1 V </w:t>
            </w:r>
            <w:r>
              <w:rPr>
                <w:rStyle w:val="Emphasis"/>
              </w:rPr>
              <w:t>before</w:t>
            </w:r>
            <w:r>
              <w:rPr/>
              <w:t xml:space="preserve"> connecting anything to it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P5</w:t>
            </w:r>
          </w:p>
        </w:tc>
        <w:tc>
          <w:tcPr>
            <w:tcW w:w="23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Servo stall spike browns out the Arduino mid-dispense</w:t>
            </w:r>
            <w:r>
              <w:rPr/>
              <w:t xml:space="preserve"> (SG90 and buzzer share the Uno's 5 V rail)</w:t>
            </w:r>
          </w:p>
        </w:tc>
        <w:tc>
          <w:tcPr>
            <w:tcW w:w="13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Equipment, conditioning integrity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5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Motors stopped before dispensing (convention-guarded); feed the servo from the buck if resets appear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</w:tr>
      <w:tr>
        <w:trPr/>
        <w:tc>
          <w:tcPr>
            <w:tcW w:w="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P6</w:t>
            </w:r>
          </w:p>
        </w:tc>
        <w:tc>
          <w:tcPr>
            <w:tcW w:w="23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3.3 V ESP32 RX exposed to 5 V Arduino TX</w:t>
            </w:r>
          </w:p>
        </w:tc>
        <w:tc>
          <w:tcPr>
            <w:tcW w:w="13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Equipment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5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 kΩ/2 kΩ divider (or level shifter) on the link; 1 kΩ series resistor on ultrasonic ECHO lines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</w:tr>
      <w:tr>
        <w:trPr/>
        <w:tc>
          <w:tcPr>
            <w:tcW w:w="3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P7</w:t>
            </w:r>
          </w:p>
        </w:tc>
        <w:tc>
          <w:tcPr>
            <w:tcW w:w="23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Marginal 6 V motor pack through the L298N</w:t>
            </w:r>
            <w:r>
              <w:rPr/>
              <w:t xml:space="preserve"> (~2 V drop): stall or weak drive</w:t>
            </w:r>
          </w:p>
        </w:tc>
        <w:tc>
          <w:tcPr>
            <w:tcW w:w="13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Robot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5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Recognised; uprate to a 9 V pack if drive is weak. A stalled motor near a fearful dog is a welfare issue as well as a mechanical one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 Workshop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7"/>
        <w:gridCol w:w="2482"/>
        <w:gridCol w:w="988"/>
        <w:gridCol w:w="220"/>
        <w:gridCol w:w="220"/>
        <w:gridCol w:w="485"/>
        <w:gridCol w:w="5642"/>
        <w:gridCol w:w="945"/>
      </w:tblGrid>
      <w:tr>
        <w:trPr>
          <w:tblHeader w:val="true"/>
        </w:trPr>
        <w:tc>
          <w:tcPr>
            <w:tcW w:w="35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Hazard</w:t>
            </w:r>
          </w:p>
        </w:tc>
        <w:tc>
          <w:tcPr>
            <w:tcW w:w="98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Who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L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S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Risk</w:t>
            </w:r>
          </w:p>
        </w:tc>
        <w:tc>
          <w:tcPr>
            <w:tcW w:w="564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Control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Residual</w:t>
            </w:r>
          </w:p>
        </w:tc>
      </w:tr>
      <w:tr>
        <w:trPr/>
        <w:tc>
          <w:tcPr>
            <w:tcW w:w="3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B1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Soldering iron burns</w:t>
            </w:r>
          </w:p>
        </w:tc>
        <w:tc>
          <w:tcPr>
            <w:tcW w:w="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Builder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56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Iron in a stand, never put down loose; bench clear; switched off and confirmed cooling before leaving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</w:tr>
      <w:tr>
        <w:trPr/>
        <w:tc>
          <w:tcPr>
            <w:tcW w:w="3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B2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Solder fume inhalation</w:t>
            </w:r>
          </w:p>
        </w:tc>
        <w:tc>
          <w:tcPr>
            <w:tcW w:w="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Builder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56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Ventilated room, head out of the plume, short sessions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3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B3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3D printer hot end / heated bed burns</w:t>
            </w:r>
            <w:r>
              <w:rPr/>
              <w:t xml:space="preserve"> (Bambu P1S)</w:t>
            </w:r>
          </w:p>
        </w:tc>
        <w:tc>
          <w:tcPr>
            <w:tcW w:w="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Builder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56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Enclosed printer; no reaching into the build volume during or straight after a print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3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B4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3D printing emissions</w:t>
            </w:r>
            <w:r>
              <w:rPr/>
              <w:t xml:space="preserve"> (VOCs, ultrafine particles)</w:t>
            </w:r>
          </w:p>
        </w:tc>
        <w:tc>
          <w:tcPr>
            <w:tcW w:w="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Builder, household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56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Lid closed, ventilated room, not sited in a sleeping area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3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B5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Knife injury during part clean-up</w:t>
            </w:r>
            <w:r>
              <w:rPr/>
              <w:t>, including the hand-cut servo window in the sealed v4 dispenser</w:t>
            </w:r>
          </w:p>
        </w:tc>
        <w:tc>
          <w:tcPr>
            <w:tcW w:w="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Builder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56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Part clamped rather than hand-held; cutting stroke directed away from the supporting hand. This cut exists </w:t>
            </w:r>
            <w:r>
              <w:rPr>
                <w:rStyle w:val="Emphasis"/>
              </w:rPr>
              <w:t>because</w:t>
            </w:r>
            <w:r>
              <w:rPr/>
              <w:t xml:space="preserve"> a CAD defect shipped (E1); the clean fix is the two-piece </w:t>
            </w:r>
            <w:r>
              <w:rPr>
                <w:rStyle w:val="SourceText"/>
              </w:rPr>
              <w:t>dispenser_split.scad</w:t>
            </w:r>
            <w:r>
              <w:rPr/>
              <w:t xml:space="preserve"> reprint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</w:tr>
      <w:tr>
        <w:trPr/>
        <w:tc>
          <w:tcPr>
            <w:tcW w:w="3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B6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Sharp edges on the perforated metal chassis</w:t>
            </w:r>
          </w:p>
        </w:tc>
        <w:tc>
          <w:tcPr>
            <w:tcW w:w="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Builder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56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Cut edges deburred before assembly; the chassis is handled during every wiring change</w:t>
            </w:r>
          </w:p>
        </w:tc>
        <w:tc>
          <w:tcPr>
            <w:tcW w:w="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Data, privacy and security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3"/>
        <w:gridCol w:w="1554"/>
        <w:gridCol w:w="1126"/>
        <w:gridCol w:w="220"/>
        <w:gridCol w:w="220"/>
        <w:gridCol w:w="485"/>
        <w:gridCol w:w="6417"/>
        <w:gridCol w:w="944"/>
      </w:tblGrid>
      <w:tr>
        <w:trPr>
          <w:tblHeader w:val="true"/>
        </w:trPr>
        <w:tc>
          <w:tcPr>
            <w:tcW w:w="37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Hazard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Who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L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S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Risk</w:t>
            </w:r>
          </w:p>
        </w:tc>
        <w:tc>
          <w:tcPr>
            <w:tcW w:w="641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Control</w:t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Residual</w:t>
            </w:r>
          </w:p>
        </w:tc>
      </w:tr>
      <w:tr>
        <w:trPr/>
        <w:tc>
          <w:tcPr>
            <w:tcW w:w="3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D1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Camera in a home.</w:t>
            </w:r>
            <w:r>
              <w:rPr/>
              <w:t xml:space="preserve"> Imagery capture or retention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Household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12</w:t>
            </w:r>
          </w:p>
        </w:tc>
        <w:tc>
          <w:tcPr>
            <w:tcW w:w="64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The camera is used only for on-device fiducial detection: a </w:t>
            </w:r>
            <w:r>
              <w:rPr>
                <w:rStyle w:val="Strong"/>
              </w:rPr>
              <w:t>zone label is posted, not imagery</w:t>
            </w:r>
            <w:r>
              <w:rPr/>
              <w:t xml:space="preserve">. Detect.py has a </w:t>
            </w:r>
            <w:r>
              <w:rPr>
                <w:rStyle w:val="SourceText"/>
              </w:rPr>
              <w:t>--snap</w:t>
            </w:r>
            <w:r>
              <w:rPr/>
              <w:t xml:space="preserve"> flag (</w:t>
            </w:r>
            <w:r>
              <w:rPr>
                <w:rStyle w:val="SourceText"/>
              </w:rPr>
              <w:t>vision/detect.py:144</w:t>
            </w:r>
            <w:r>
              <w:rPr/>
              <w:t>) that can save a still frame, and the tracked systemd unit (</w:t>
            </w:r>
            <w:r>
              <w:rPr>
                <w:rStyle w:val="SourceText"/>
              </w:rPr>
              <w:t>optimized/vision/canis-detect.service:50</w:t>
            </w:r>
            <w:r>
              <w:rPr/>
              <w:t xml:space="preserve">) doesn't pass it, but that only says how the </w:t>
            </w:r>
            <w:r>
              <w:rPr>
                <w:rStyle w:val="Emphasis"/>
              </w:rPr>
              <w:t>tracked</w:t>
            </w:r>
            <w:r>
              <w:rPr/>
              <w:t xml:space="preserve"> launcher starts it, not how it's actually run day to day. </w:t>
            </w:r>
            <w:r>
              <w:rPr>
                <w:rStyle w:val="Strong"/>
              </w:rPr>
              <w:t xml:space="preserve">Confirm the </w:t>
            </w:r>
            <w:r>
              <w:rPr>
                <w:rStyle w:val="SourceText"/>
              </w:rPr>
              <w:t>--snap</w:t>
            </w:r>
            <w:r>
              <w:rPr>
                <w:rStyle w:val="Strong"/>
              </w:rPr>
              <w:t xml:space="preserve"> diagnostic has never written frames to disk in practice, or state the retention policy</w:t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</w:tr>
      <w:tr>
        <w:trPr/>
        <w:tc>
          <w:tcPr>
            <w:tcW w:w="3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D2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LAN attacker steers the robot or poisons its data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Dog, household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64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Authentication token required on all mutating routes, plus input validation and a sandbox. The token </w:t>
            </w:r>
            <w:r>
              <w:rPr>
                <w:rStyle w:val="Strong"/>
              </w:rPr>
              <w:t>must</w:t>
            </w:r>
            <w:r>
              <w:rPr/>
              <w:t xml:space="preserve"> be set for any non-bench run. Assumes home-LAN trust. Open: the token is passed as a query parameter and can land in access logs; move it to an </w:t>
            </w:r>
            <w:r>
              <w:rPr>
                <w:rStyle w:val="SourceText"/>
              </w:rPr>
              <w:t>X-CANIS-Token</w:t>
            </w:r>
            <w:r>
              <w:rPr/>
              <w:t xml:space="preserve"> header</w:t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</w:tr>
      <w:tr>
        <w:trPr/>
        <w:tc>
          <w:tcPr>
            <w:tcW w:w="3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D3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Home network credentials leaked in a public repository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Household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64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Credentials moved to an untracked </w:t>
            </w:r>
            <w:r>
              <w:rPr>
                <w:rStyle w:val="SourceText"/>
              </w:rPr>
              <w:t>arduino_secrets.h</w:t>
            </w:r>
            <w:r>
              <w:rPr/>
              <w:t>; the home SSID was found in tracked test sketches and scrubbed, including from the audit file that recorded it. A provenance convention was added so stale claims can't drift unnoticed</w:t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3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D4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Dashboard or Pi failure mid-session loses data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Project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64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Append-per-write JSONL with a torn-line-tolerant reader; the ESP32 runs offline, so safety is unaffected by dashboard loss</w:t>
            </w:r>
          </w:p>
        </w:tc>
        <w:tc>
          <w:tcPr>
            <w:tcW w:w="9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Highest residual risks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W1, motion frightening the dog (residual 4).</w:t>
      </w:r>
      <w:r>
        <w:rPr/>
        <w:t xml:space="preserve"> Irreducible by engineering: the only real control is the gradual-exposure protocol run patiently, with the dog's logged response gating every advance. Everything else is a backstop.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W4, W8 (residual 6 each), still open.</w:t>
      </w:r>
      <w:r>
        <w:rPr/>
        <w:t xml:space="preserve"> The disabled beam-break jam detector, and reward latency. W7 (over-arousal) is no longer in this category: I've confirmed an explicit stop-on-over-arousal protocol (§1), bringing its residual down to 3.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P1, uncontrolled motion (residual 4).</w:t>
      </w:r>
      <w:r>
        <w:rPr/>
        <w:t xml:space="preserve"> The watchdog is the strongest single safety property in the system, but the brownout test hasn't been run yet. That test is a precondition for untethered operation. </w:t>
      </w:r>
    </w:p>
    <w:p>
      <w:pPr>
        <w:pStyle w:val="Heading2"/>
        <w:bidi w:val="0"/>
        <w:jc w:val="left"/>
        <w:rPr/>
      </w:pPr>
      <w:r>
        <w:rPr/>
        <w:t>6. Ethical position on scope</w:t>
      </w:r>
    </w:p>
    <w:p>
      <w:pPr>
        <w:pStyle w:val="BodyText"/>
        <w:bidi w:val="0"/>
        <w:jc w:val="left"/>
        <w:rPr/>
      </w:pPr>
      <w:r>
        <w:rPr/>
        <w:t xml:space="preserve">The project does </w:t>
      </w:r>
      <w:r>
        <w:rPr>
          <w:rStyle w:val="Strong"/>
        </w:rPr>
        <w:t>not</w:t>
      </w:r>
      <w:r>
        <w:rPr/>
        <w:t xml:space="preserve"> claim to change the dog's behaviour, and this assessment doesn't assume it does. No institutional animal-ethics approval was obtained, because no behavioural result is being reported. The work is scoped as a systems and design contribution with engineering validation. If it's ever reframed toward an efficacy claim, prior review from an animal-research ethics body and/or a qualified veterinary behaviourist is required first, and the gradual-exposure protocol's fear-response coding scheme would need pre-registering rather than being defined after the data is in.</w:t>
      </w:r>
    </w:p>
    <w:p>
      <w:pPr>
        <w:pStyle w:val="BodyText"/>
        <w:bidi w:val="0"/>
        <w:jc w:val="left"/>
        <w:rPr/>
      </w:pPr>
      <w:r>
        <w:rPr/>
        <w:t>The animal's owner (me) consents to participation and can end any session at will. Sessions are supervised throughout.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Resolved:</w:t>
      </w:r>
      <w:r>
        <w:rPr/>
        <w:t xml:space="preserve"> no mentor was used for this project, confirmed. The stop-session criterion is confirmed as: the session ends immediately on any sign of over-arousal, watched for alongside distress. The treat budget is confirmed as fitting comfortably within a safe daily amount, using a vet-recommended treat, with the per-session count varying by session length rather than fixed.</w:t>
      </w:r>
    </w:p>
    <w:p>
      <w:pPr>
        <w:pStyle w:val="BlockQuotation"/>
        <w:bidi w:val="0"/>
        <w:jc w:val="left"/>
        <w:rPr/>
      </w:pPr>
      <w:r>
        <w:rPr>
          <w:rStyle w:val="Strong"/>
        </w:rPr>
        <w:t>Still open:</w:t>
      </w:r>
      <w:r>
        <w:rPr/>
        <w:t xml:space="preserve"> the </w:t>
      </w:r>
      <w:r>
        <w:rPr>
          <w:rStyle w:val="SourceText"/>
        </w:rPr>
        <w:t>--snap</w:t>
      </w:r>
      <w:r>
        <w:rPr/>
        <w:t xml:space="preserve"> camera-retention question (§4, D1). Whether it's ever written frames to disk outside the one bring-up test depends on how the device has actually been run, not on what the tracked launcher says, so only I can close it.</w:t>
      </w:r>
    </w:p>
    <w:p>
      <w:pPr>
        <w:pStyle w:val="Heading2"/>
        <w:bidi w:val="0"/>
        <w:jc w:val="left"/>
        <w:rPr/>
      </w:pPr>
      <w:r>
        <w:rPr/>
        <w:t>7. Review</w:t>
      </w:r>
    </w:p>
    <w:p>
      <w:pPr>
        <w:pStyle w:val="BodyText"/>
        <w:bidi w:val="0"/>
        <w:spacing w:before="0" w:after="283"/>
        <w:jc w:val="left"/>
        <w:rPr/>
      </w:pPr>
      <w:r>
        <w:rPr/>
        <w:t>This assessment covers the system in its current state: bench-validated subsystems, metal chassis, supervised sessions, exposure Level 0. It must be reviewed before advancing the exposure level, before any untethered run, and before any session that isn't directly supervised.</w:t>
      </w:r>
    </w:p>
    <w:sectPr>
      <w:type w:val="nextPage"/>
      <w:pgSz w:w="11906" w:h="16838"/>
      <w:pgMar w:left="1247" w:right="1247" w:gutter="0" w:header="0" w:top="1247" w:footer="0" w:bottom="124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Helvetica"/>
    <w:charset w:val="01"/>
    <w:family w:val="auto"/>
    <w:pitch w:val="default"/>
  </w:font>
  <w:font w:name="monospace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Calibri;Helvetica;sans-serif" w:hAnsi="Calibri;Helvetica;sans-serif" w:eastAsia="Calibri;Helvetica;sans-serif" w:cs="Calibri;Helvetica;sans-serif"/>
      <w:color w:val="111111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999999"/>
      </w:pBdr>
      <w:spacing w:before="440" w:after="120"/>
      <w:outlineLvl w:val="1"/>
    </w:pPr>
    <w:rPr>
      <w:rFonts w:ascii="Liberation Serif" w:hAnsi="Liberation Serif" w:eastAsia="Songti SC" w:cs="Arial Unicode MS"/>
      <w:b/>
      <w:bCs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320" w:after="120"/>
      <w:outlineLvl w:val="2"/>
    </w:pPr>
    <w:rPr>
      <w:rFonts w:ascii="Liberation Serif" w:hAnsi="Liberation Serif" w:eastAsia="Songti SC" w:cs="Arial Unicode MS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monospace" w:hAnsi="monospace" w:eastAsia="monospace" w:cs="monospace"/>
      <w:shd w:fill="F2F2F2" w:val="clear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/>
      <w:shd w:fill="F2F2F2" w:val="clear"/>
      <w:spacing w:before="0" w:after="0"/>
    </w:pPr>
    <w:rPr>
      <w:rFonts w:ascii="Liberation Mono" w:hAnsi="Liberation Mono" w:eastAsia="Liberation Mono" w:cs="Liberation Mono"/>
      <w:sz w:val="18"/>
      <w:szCs w:val="18"/>
    </w:rPr>
  </w:style>
  <w:style w:type="paragraph" w:styleId="BlockQuotation">
    <w:name w:val="Block Quotation"/>
    <w:basedOn w:val="Normal"/>
    <w:qFormat/>
    <w:pPr>
      <w:pBdr>
        <w:left w:val="single" w:sz="18" w:space="10" w:color="999999"/>
      </w:pBdr>
      <w:spacing w:before="160" w:after="160"/>
      <w:ind w:hanging="0" w:left="160" w:right="160"/>
    </w:pPr>
    <w:rPr>
      <w:color w:val="444444"/>
    </w:rPr>
  </w:style>
  <w:style w:type="paragraph" w:styleId="TableHeading">
    <w:name w:val="Table Heading"/>
    <w:basedOn w:val="TableContents"/>
    <w:qFormat/>
    <w:pPr>
      <w:suppressLineNumbers/>
      <w:shd w:fill="EEEEEE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CANIS RISK_ASSESSMENT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