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B1E3D"/>
          <w:sz w:val="34"/>
          <w:szCs w:val="34"/>
        </w:rPr>
        <w:t xml:space="preserve">ProtocolAI</w:t>
      </w:r>
    </w:p>
    <w:p>
      <w:pPr>
        <w:spacing w:after="10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21 CFR Part 11 Compliance Capability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Purpose: this document describes ProtocolAI's technical capabilities in support of the recipient organization's own 21 CFR Part 11 compliance program, for reference by the recipient's quality/validation function when assembling their system validation file.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There is no such thing as “Part 11-certified” software — Part 11 places the compliance obligation on the regulated entity operating the system, not the vendor. This is a factual capability description, not a certificate or guarantee of compliance; full compliance additionally requires the recipient's own procedural controls (see “Out of Scope”).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Requirement-by-Requirement Capability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900"/>
        <w:gridCol w:w="5210"/>
      </w:tblGrid>
      <w:tr>
        <w:tc>
          <w:tcPr>
            <w:tcW w:type="dxa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B1E3D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§ Ref.</w:t>
            </w:r>
          </w:p>
        </w:tc>
        <w:tc>
          <w:tcPr>
            <w:tcW w:type="dxa" w:w="2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B1E3D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 (paraphrased)</w:t>
            </w:r>
          </w:p>
        </w:tc>
        <w:tc>
          <w:tcPr>
            <w:tcW w:type="dxa" w:w="521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B1E3D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How ProtocolAI Supports It</w:t>
            </w:r>
          </w:p>
        </w:tc>
      </w:tr>
      <w:tr>
        <w:tc>
          <w:tcPr>
            <w:tcW w:type="dxa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§11.10(d)</w:t>
            </w:r>
          </w:p>
        </w:tc>
        <w:tc>
          <w:tcPr>
            <w:tcW w:type="dxa" w:w="2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Limit system access to authorized individuals.</w:t>
            </w:r>
          </w:p>
        </w:tc>
        <w:tc>
          <w:tcPr>
            <w:tcW w:type="dxa" w:w="521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Every write and protocol-scoped request requires an authenticated session resolved to a verified account email, not a client-supplied value. Three enforced roles — Author, Reviewer, Approver — gate creation, editing, and signing; only Approvers can sign.</w:t>
            </w:r>
          </w:p>
        </w:tc>
      </w:tr>
      <w:tr>
        <w:tc>
          <w:tcPr>
            <w:tcW w:type="dxa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§11.10(d)</w:t>
            </w:r>
          </w:p>
        </w:tc>
        <w:tc>
          <w:tcPr>
            <w:tcW w:type="dxa" w:w="2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Prevent cross-organization access (multi-tenant).</w:t>
            </w:r>
          </w:p>
        </w:tc>
        <w:tc>
          <w:tcPr>
            <w:tcW w:type="dxa" w:w="521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Every protocol-scoped read/write is checked against the acting user's organization; a request for another organization's protocol, export, or audit trail is rejected (403), not just hidden in the UI.</w:t>
            </w:r>
          </w:p>
        </w:tc>
      </w:tr>
      <w:tr>
        <w:tc>
          <w:tcPr>
            <w:tcW w:type="dxa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§11.10(e)</w:t>
            </w:r>
          </w:p>
        </w:tc>
        <w:tc>
          <w:tcPr>
            <w:tcW w:type="dxa" w:w="2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Secure, computer-generated, time-stamped audit trails that don't obscure prior entries.</w:t>
            </w:r>
          </w:p>
        </w:tc>
        <w:tc>
          <w:tcPr>
            <w:tcW w:type="dxa" w:w="521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Every create, edit, export, and signature is written to an append-only audit log (actor, action, resource, IP, UTC timestamp, diff). No endpoint updates or deletes an audit entry.</w:t>
            </w:r>
          </w:p>
        </w:tc>
      </w:tr>
      <w:tr>
        <w:tc>
          <w:tcPr>
            <w:tcW w:type="dxa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§11.10(k)(2)</w:t>
            </w:r>
          </w:p>
        </w:tc>
        <w:tc>
          <w:tcPr>
            <w:tcW w:type="dxa" w:w="2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Maintain a documented, dated change history.</w:t>
            </w:r>
          </w:p>
        </w:tc>
        <w:tc>
          <w:tcPr>
            <w:tcW w:type="dxa" w:w="521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Every create/edit is a full version snapshot; a diff view compares any two versions section-by-section, and exports include an Amendment History appendix citing version, date, section, and page number.</w:t>
            </w:r>
          </w:p>
        </w:tc>
      </w:tr>
      <w:tr>
        <w:tc>
          <w:tcPr>
            <w:tcW w:type="dxa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§11.50(a)</w:t>
            </w:r>
          </w:p>
        </w:tc>
        <w:tc>
          <w:tcPr>
            <w:tcW w:type="dxa" w:w="2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Signatures show printed name, date/time, and meaning (e.g., approval).</w:t>
            </w:r>
          </w:p>
        </w:tc>
        <w:tc>
          <w:tcPr>
            <w:tcW w:type="dxa" w:w="521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 signature captures the signatory's name, verified email, and UTC timestamp. Its “meaning” (e.g., “Approved”) is derived server-side from the signer's role — never client-set.</w:t>
            </w:r>
          </w:p>
        </w:tc>
      </w:tr>
      <w:tr>
        <w:tc>
          <w:tcPr>
            <w:tcW w:type="dxa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§11.70</w:t>
            </w:r>
          </w:p>
        </w:tc>
        <w:tc>
          <w:tcPr>
            <w:tcW w:type="dxa" w:w="2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Signatures must be linked to their record, not transferable to falsify another.</w:t>
            </w:r>
          </w:p>
        </w:tc>
        <w:tc>
          <w:tcPr>
            <w:tcW w:type="dxa" w:w="521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At signing, a SHA-256 hash of the exact document content is stored with the signature in an immutable snapshot — the signature is cryptographically bound to that document state.</w:t>
            </w:r>
          </w:p>
        </w:tc>
      </w:tr>
      <w:tr>
        <w:tc>
          <w:tcPr>
            <w:tcW w:type="dxa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§11.200(a)(1)</w:t>
            </w:r>
          </w:p>
        </w:tc>
        <w:tc>
          <w:tcPr>
            <w:tcW w:type="dxa" w:w="2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Signing requires re-execution of an identity-verification step, not just a session.</w:t>
            </w:r>
          </w:p>
        </w:tc>
        <w:tc>
          <w:tcPr>
            <w:tcW w:type="dxa" w:w="521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At signing, the signer must re-enter their password, verified server-side against a bcrypt hash — independent of their existing session.</w:t>
            </w:r>
          </w:p>
        </w:tc>
      </w:tr>
      <w:tr>
        <w:tc>
          <w:tcPr>
            <w:tcW w:type="dxa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§11.10(a)</w:t>
            </w:r>
          </w:p>
        </w:tc>
        <w:tc>
          <w:tcPr>
            <w:tcW w:type="dxa" w:w="2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 validated for accuracy, reliability, and detecting invalid/altered records.</w:t>
            </w:r>
          </w:p>
        </w:tc>
        <w:tc>
          <w:tcPr>
            <w:tcW w:type="dxa" w:w="521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 deterministic QC engine checks every protocol against a defined checklist before review; results travel with the export. Formal IQ/OQ/PQ validation remains the recipient's responsibility.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Explicitly Out of Scope</w:t>
      </w:r>
    </w:p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>The following remain the recipient's responsibility and are not addressed by this software or document: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Formal computer system validation (IQ/OQ/PQ) of this application in the recipient's environment.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SOPs for account provisioning, de-provisioning, and periodic access review; personnel training records.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Data backup, disaster recovery, and long-term records-retention policy for the underlying database.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Any regulatory submission decision — this software assists drafting; it does not approve for adequacy.</w:t>
      </w:r>
    </w:p>
    <w:p>
      <w:pPr>
        <w:pBdr>
          <w:top w:val="single" w:color="CBD5E1" w:sz="4" w:space="4"/>
        </w:pBdr>
        <w:spacing w:before="80"/>
      </w:pPr>
      <w:r>
        <w:rPr>
          <w:rFonts w:ascii="Arial" w:cs="Arial" w:eastAsia="Arial" w:hAnsi="Arial"/>
          <w:i/>
          <w:iCs/>
          <w:color w:val="64748B"/>
          <w:sz w:val="14"/>
          <w:szCs w:val="14"/>
        </w:rPr>
        <w:t xml:space="preserve">Prepared for the recipient's quality/validation file. Questions about a specific capability may be directed to the ProtocolAI team.</w:t>
      </w:r>
    </w:p>
    <w:sectPr>
      <w:headerReference w:type="default" r:id="rId7"/>
      <w:footerReference w:type="default" r:id="rId8"/>
      <w:pgSz w:w="12240" w:h="15840" w:orient="portrait"/>
      <w:pgMar w:top="620" w:right="1080" w:bottom="5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2"/>
        <w:szCs w:val="12"/>
      </w:rPr>
      <w:t xml:space="preserve">Confidential — for the recipient's internal use in system validation. Page </w:t>
    </w:r>
    <w:r>
      <w:rPr>
        <w:rFonts w:ascii="Arial" w:cs="Arial" w:eastAsia="Arial" w:hAnsi="Arial"/>
        <w:color w:val="94A3B8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2"/>
        <w:szCs w:val="12"/>
      </w:rPr>
      <w:t xml:space="preserve"> of </w:t>
    </w:r>
    <w:r>
      <w:rPr>
        <w:rFonts w:ascii="Arial" w:cs="Arial" w:eastAsia="Arial" w:hAnsi="Arial"/>
        <w:color w:val="94A3B8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rFonts w:ascii="Arial" w:cs="Arial" w:eastAsia="Arial" w:hAnsi="Arial"/>
        <w:color w:val="64748B"/>
        <w:sz w:val="14"/>
        <w:szCs w:val="14"/>
      </w:rPr>
      <w:t xml:space="preserve">ProtocolAI — Part 11 Compliance Capability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/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0B1E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2026-07-02T13:54:15.917Z</dcterms:created>
  <dcterms:modified xsi:type="dcterms:W3CDTF">2026-07-02T13:54:15.918Z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