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0B1E3D"/>
          <w:sz w:val="34"/>
          <w:szCs w:val="34"/>
        </w:rPr>
        <w:t xml:space="preserve">QuarkClinical</w:t>
      </w:r>
    </w:p>
    <w:p>
      <w:pPr>
        <w:spacing w:after="100"/>
        <w:jc w:val="center"/>
      </w:pPr>
      <w:r>
        <w:rPr>
          <w:rFonts w:ascii="Arial" w:cs="Arial" w:eastAsia="Arial" w:hAnsi="Arial"/>
          <w:color w:val="334155"/>
          <w:sz w:val="22"/>
          <w:szCs w:val="22"/>
        </w:rPr>
        <w:t xml:space="preserve">21 CFR Part 11 Compliance Capability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Purpose: this document describes QuarkClinical's technical capabilities in support of the recipient organization's own 21 CFR Part 11 compliance program, for reference by the recipient's quality/validation function when assembling their system validation file.</w:t>
            </w:r>
          </w:p>
          <w:p>
            <w:r>
              <w:rPr>
                <w:rFonts w:ascii="Arial" w:cs="Arial" w:eastAsia="Arial" w:hAnsi="Arial"/>
                <w:i/>
                <w:iCs/>
                <w:color w:val="475569"/>
                <w:sz w:val="16"/>
                <w:szCs w:val="16"/>
              </w:rPr>
              <w:t xml:space="preserve">There is no such thing as “Part 11-certified” software — Part 11 places the compliance obligation on the regulated entity operating the system, not the vendor. This is a factual capability description, not a certificate or guarantee of compliance; full compliance additionally requires the recipient's own procedural controls (see “Out of Scope”).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Requirement-by-Requirement Capability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900"/>
        <w:gridCol w:w="5210"/>
      </w:tblGrid>
      <w:tr>
        <w:tc>
          <w:tcPr>
            <w:tcW w:type="dxa" w:w="125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0B1E3D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§ Ref.</w:t>
            </w:r>
          </w:p>
        </w:tc>
        <w:tc>
          <w:tcPr>
            <w:tcW w:type="dxa" w:w="29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0B1E3D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Requirement (paraphrased)</w:t>
            </w:r>
          </w:p>
        </w:tc>
        <w:tc>
          <w:tcPr>
            <w:tcW w:type="dxa" w:w="521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shd w:fill="0B1E3D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How QuarkClinical Supports It</w:t>
            </w:r>
          </w:p>
        </w:tc>
      </w:tr>
      <w:tr>
        <w:tc>
          <w:tcPr>
            <w:tcW w:type="dxa" w:w="125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§11.10(d)</w:t>
            </w:r>
          </w:p>
        </w:tc>
        <w:tc>
          <w:tcPr>
            <w:tcW w:type="dxa" w:w="29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Limit system access to authorized individuals.</w:t>
            </w:r>
          </w:p>
        </w:tc>
        <w:tc>
          <w:tcPr>
            <w:tcW w:type="dxa" w:w="521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Every write and protocol-scoped request requires an authenticated session resolved to a verified account email, not a client-supplied value. Three enforced roles — Author, Reviewer, Approver — gate creation, editing, and signing; only Approvers can sign.</w:t>
            </w:r>
          </w:p>
        </w:tc>
      </w:tr>
      <w:tr>
        <w:tc>
          <w:tcPr>
            <w:tcW w:type="dxa" w:w="125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§11.10(d)</w:t>
            </w:r>
          </w:p>
        </w:tc>
        <w:tc>
          <w:tcPr>
            <w:tcW w:type="dxa" w:w="29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Prevent cross-organization access (multi-tenant).</w:t>
            </w:r>
          </w:p>
        </w:tc>
        <w:tc>
          <w:tcPr>
            <w:tcW w:type="dxa" w:w="521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Every protocol-scoped read/write is checked against the acting user's organization; a request for another organization's protocol, export, or audit trail is rejected (403), not just hidden in the UI.</w:t>
            </w:r>
          </w:p>
        </w:tc>
      </w:tr>
      <w:tr>
        <w:tc>
          <w:tcPr>
            <w:tcW w:type="dxa" w:w="125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§11.10(e)</w:t>
            </w:r>
          </w:p>
        </w:tc>
        <w:tc>
          <w:tcPr>
            <w:tcW w:type="dxa" w:w="29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Secure, computer-generated, time-stamped audit trails that don't obscure prior entries.</w:t>
            </w:r>
          </w:p>
        </w:tc>
        <w:tc>
          <w:tcPr>
            <w:tcW w:type="dxa" w:w="521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Every create, edit, export, and signature is written to an append-only audit log (actor, action, resource, IP, UTC timestamp, diff). No endpoint updates or deletes an audit entry.</w:t>
            </w:r>
          </w:p>
        </w:tc>
      </w:tr>
      <w:tr>
        <w:tc>
          <w:tcPr>
            <w:tcW w:type="dxa" w:w="125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§11.10(k)(2)</w:t>
            </w:r>
          </w:p>
        </w:tc>
        <w:tc>
          <w:tcPr>
            <w:tcW w:type="dxa" w:w="29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Maintain a documented, dated change history.</w:t>
            </w:r>
          </w:p>
        </w:tc>
        <w:tc>
          <w:tcPr>
            <w:tcW w:type="dxa" w:w="521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Every create/edit is a full version snapshot; a diff view compares any two versions section-by-section, and exports include an Amendment History appendix citing version, date, section, and page number.</w:t>
            </w:r>
          </w:p>
        </w:tc>
      </w:tr>
      <w:tr>
        <w:tc>
          <w:tcPr>
            <w:tcW w:type="dxa" w:w="125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§11.50(a)</w:t>
            </w:r>
          </w:p>
        </w:tc>
        <w:tc>
          <w:tcPr>
            <w:tcW w:type="dxa" w:w="29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Signatures show printed name, date/time, and meaning (e.g., approval).</w:t>
            </w:r>
          </w:p>
        </w:tc>
        <w:tc>
          <w:tcPr>
            <w:tcW w:type="dxa" w:w="521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 signature captures the signatory's name, verified email, and UTC timestamp. Its “meaning” (e.g., “Approved”) is derived server-side from the signer's role — never client-set.</w:t>
            </w:r>
          </w:p>
        </w:tc>
      </w:tr>
      <w:tr>
        <w:tc>
          <w:tcPr>
            <w:tcW w:type="dxa" w:w="125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§11.70</w:t>
            </w:r>
          </w:p>
        </w:tc>
        <w:tc>
          <w:tcPr>
            <w:tcW w:type="dxa" w:w="29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Signatures must be linked to their record, not transferable to falsify another.</w:t>
            </w:r>
          </w:p>
        </w:tc>
        <w:tc>
          <w:tcPr>
            <w:tcW w:type="dxa" w:w="521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At signing, a SHA-256 hash of the exact document content is stored with the signature in an immutable snapshot — the signature is cryptographically bound to that document state.</w:t>
            </w:r>
          </w:p>
        </w:tc>
      </w:tr>
      <w:tr>
        <w:tc>
          <w:tcPr>
            <w:tcW w:type="dxa" w:w="125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§11.200(a)(1)</w:t>
            </w:r>
          </w:p>
        </w:tc>
        <w:tc>
          <w:tcPr>
            <w:tcW w:type="dxa" w:w="29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Signing requires re-execution of an identity-verification step, not just a session.</w:t>
            </w:r>
          </w:p>
        </w:tc>
        <w:tc>
          <w:tcPr>
            <w:tcW w:type="dxa" w:w="521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At signing, the signer must re-enter their password, verified server-side against a bcrypt hash — independent of their existing session.</w:t>
            </w:r>
          </w:p>
        </w:tc>
      </w:tr>
      <w:tr>
        <w:tc>
          <w:tcPr>
            <w:tcW w:type="dxa" w:w="125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§11.10(a)</w:t>
            </w:r>
          </w:p>
        </w:tc>
        <w:tc>
          <w:tcPr>
            <w:tcW w:type="dxa" w:w="290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System validated for accuracy, reliability, and detecting invalid/altered records.</w:t>
            </w:r>
          </w:p>
        </w:tc>
        <w:tc>
          <w:tcPr>
            <w:tcW w:type="dxa" w:w="5210"/>
            <w:tcBorders>
              <w:top w:val="single" w:color="CBD5E1" w:sz="2"/>
              <w:left w:val="single" w:color="CBD5E1" w:sz="2"/>
              <w:bottom w:val="single" w:color="CBD5E1" w:sz="2"/>
              <w:right w:val="single" w:color="CBD5E1" w:sz="2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 deterministic QC engine checks every protocol against a defined checklist before review; results travel with the export. Formal IQ/OQ/PQ validation remains the recipient's responsibility.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Explicitly Out of Scope</w:t>
      </w:r>
    </w:p>
    <w:p>
      <w:pPr>
        <w:spacing w:after="40"/>
      </w:pPr>
      <w:r>
        <w:rPr>
          <w:rFonts w:ascii="Arial" w:cs="Arial" w:eastAsia="Arial" w:hAnsi="Arial"/>
          <w:sz w:val="16"/>
          <w:szCs w:val="16"/>
        </w:rPr>
        <w:t xml:space="preserve">The following remain the recipient's responsibility and are not addressed by this software or document: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6"/>
          <w:szCs w:val="16"/>
        </w:rPr>
        <w:t xml:space="preserve">Formal computer system validation (IQ/OQ/PQ) of this application in the recipient's environment.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6"/>
          <w:szCs w:val="16"/>
        </w:rPr>
        <w:t xml:space="preserve">SOPs for account provisioning, de-provisioning, and periodic access review; personnel training records.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6"/>
          <w:szCs w:val="16"/>
        </w:rPr>
        <w:t xml:space="preserve">Data backup, disaster recovery, and long-term records-retention policy for the underlying database.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16"/>
          <w:szCs w:val="16"/>
        </w:rPr>
        <w:t xml:space="preserve">Any regulatory submission decision — this software assists drafting; it does not approve for adequacy.</w:t>
      </w:r>
    </w:p>
    <w:p>
      <w:pPr>
        <w:pBdr>
          <w:top w:val="single" w:color="CBD5E1" w:sz="4" w:space="4"/>
        </w:pBdr>
        <w:spacing w:before="80"/>
      </w:pPr>
      <w:r>
        <w:rPr>
          <w:rFonts w:ascii="Arial" w:cs="Arial" w:eastAsia="Arial" w:hAnsi="Arial"/>
          <w:i/>
          <w:iCs/>
          <w:color w:val="64748B"/>
          <w:sz w:val="14"/>
          <w:szCs w:val="14"/>
        </w:rPr>
        <w:t xml:space="preserve">Prepared for the recipient's quality/validation file. Questions about a specific capability may be directed to the QuarkClinical team.</w:t>
      </w:r>
    </w:p>
    <w:sectPr>
      <w:headerReference w:type="default" r:id="rId7"/>
      <w:footerReference w:type="default" r:id="rId8"/>
      <w:pgSz w:w="12240" w:h="15840" w:orient="portrait"/>
      <w:pgMar w:top="620" w:right="1080" w:bottom="56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2"/>
        <w:szCs w:val="12"/>
      </w:rPr>
      <w:t xml:space="preserve">Confidential — for the recipient's internal use in system validation. Page </w:t>
    </w:r>
    <w:r>
      <w:rPr>
        <w:rFonts w:ascii="Arial" w:cs="Arial" w:eastAsia="Arial" w:hAnsi="Arial"/>
        <w:color w:val="94A3B8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2"/>
        <w:szCs w:val="12"/>
      </w:rPr>
      <w:t xml:space="preserve"> of </w:t>
    </w:r>
    <w:r>
      <w:rPr>
        <w:rFonts w:ascii="Arial" w:cs="Arial" w:eastAsia="Arial" w:hAnsi="Arial"/>
        <w:color w:val="94A3B8"/>
        <w:sz w:val="12"/>
        <w:szCs w:val="12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rFonts w:ascii="Arial" w:cs="Arial" w:eastAsia="Arial" w:hAnsi="Arial"/>
        <w:color w:val="64748B"/>
        <w:sz w:val="14"/>
        <w:szCs w:val="14"/>
      </w:rPr>
      <w:t xml:space="preserve">QuarkClinical — Part 11 Compliance Capability Statement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20"/>
        <w:ind w:left="32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40"/>
      <w:outlineLvl w:val="0"/>
    </w:pPr>
    <w:rPr>
      <w:rFonts w:ascii="Arial" w:cs="Arial" w:eastAsia="Arial" w:hAnsi="Arial"/>
      <w:b/>
      <w:bCs/>
      <w:color w:val="0B1E3D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2026-07-02T13:54:15.917Z</dcterms:created>
  <dcterms:modified xsi:type="dcterms:W3CDTF">2026-07-02T13:54:15.918Z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