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67D7F"/>
          <w:sz w:val="22"/>
        </w:rPr>
        <w:t>NYU Tandon School of Engineering</w:t>
      </w:r>
    </w:p>
    <w:p>
      <w:r>
        <w:rPr>
          <w:b w:val="0"/>
          <w:i w:val="0"/>
          <w:color w:val="5D6B75"/>
          <w:sz w:val="20"/>
        </w:rPr>
        <w:t>Financial Engineering • Master’s Research Project</w:t>
      </w:r>
    </w:p>
    <w:p>
      <w:pPr>
        <w:pStyle w:val="Title"/>
      </w:pPr>
      <w:r>
        <w:rPr>
          <w:b w:val="0"/>
          <w:i w:val="0"/>
        </w:rPr>
        <w:br/>
        <w:t>Digital Asset Valuation</w:t>
      </w:r>
    </w:p>
    <w:p>
      <w:pPr>
        <w:pStyle w:val="Subtitle"/>
      </w:pPr>
      <w:r>
        <w:rPr>
          <w:b w:val="0"/>
          <w:i w:val="0"/>
        </w:rPr>
        <w:t>Economic Taxonomy, Measurement Codebook, and Empirical Research Design</w:t>
      </w:r>
    </w:p>
    <w:p>
      <w:r>
        <w:rPr>
          <w:b/>
          <w:i w:val="0"/>
          <w:color w:val="B68A35"/>
          <w:sz w:val="28"/>
        </w:rPr>
        <w:t>Living Research Notebook</w:t>
      </w:r>
    </w:p>
    <w:p>
      <w:r>
        <w:rPr>
          <w:b w:val="0"/>
          <w:i w:val="0"/>
          <w:sz w:val="22"/>
        </w:rPr>
        <w:br/>
        <w:t>A reproducible framework for distinguishing money-like stablecoins, network-native cryptoassets, protocol tokens, governance instruments, and digital claims—and for testing how design, usage, liquidity, and risk map into observed value.</w:t>
      </w:r>
    </w:p>
    <w:tbl>
      <w:tblPr>
        <w:tblW w:type="auto" w:w="0"/>
        <w:tblLayout w:type="fixed"/>
        <w:tblLook w:firstColumn="1" w:firstRow="1" w:lastColumn="0" w:lastRow="0" w:noHBand="0" w:noVBand="1" w:val="04A0"/>
      </w:tblPr>
      <w:tblGrid>
        <w:gridCol w:w="9648"/>
      </w:tblGrid>
      <w:tr>
        <w:tc>
          <w:tcPr>
            <w:tcW w:type="dxa" w:w="9878"/>
            <w:shd w:fill="EAF1F5"/>
            <w:tcMar>
              <w:top w:w="130" w:type="dxa"/>
              <w:start w:w="170" w:type="dxa"/>
              <w:bottom w:w="130" w:type="dxa"/>
              <w:end w:w="170" w:type="dxa"/>
            </w:tcMar>
          </w:tcPr>
          <w:p>
            <w:pPr>
              <w:spacing w:after="0"/>
            </w:pPr>
            <w:r>
              <w:rPr>
                <w:b/>
                <w:color w:val="167D7F"/>
              </w:rPr>
              <w:t xml:space="preserve">Research premise  </w:t>
            </w:r>
            <w:r>
              <w:t>“Stablecoin” describes a target outcome; “cryptocurrency” describes a technical form. Valuation begins with economic function, enforceable rights, and the channels through which demand or cash flow can accrue to the token.</w:t>
            </w:r>
          </w:p>
        </w:tc>
      </w:tr>
    </w:tbl>
    <w:p>
      <w:pPr>
        <w:spacing w:after="20"/>
      </w:pP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448"/>
            <w:shd w:fill="183A5A"/>
            <w:tcMar>
              <w:top w:w="80" w:type="dxa"/>
              <w:start w:w="105" w:type="dxa"/>
              <w:bottom w:w="80" w:type="dxa"/>
              <w:end w:w="105" w:type="dxa"/>
            </w:tcMar>
            <w:vAlign w:val="center"/>
          </w:tcPr>
          <w:p>
            <w:pPr>
              <w:spacing w:after="0"/>
            </w:pPr>
            <w:r>
              <w:rPr>
                <w:b/>
                <w:color w:val="FFFFFF"/>
                <w:sz w:val="17"/>
              </w:rPr>
              <w:t>Document control</w:t>
            </w:r>
          </w:p>
        </w:tc>
        <w:tc>
          <w:tcPr>
            <w:tcW w:type="dxa" w:w="7200"/>
            <w:shd w:fill="183A5A"/>
            <w:tcMar>
              <w:top w:w="80" w:type="dxa"/>
              <w:start w:w="105" w:type="dxa"/>
              <w:bottom w:w="80" w:type="dxa"/>
              <w:end w:w="105" w:type="dxa"/>
            </w:tcMar>
            <w:vAlign w:val="center"/>
          </w:tcPr>
          <w:p>
            <w:pPr>
              <w:spacing w:after="0"/>
            </w:pPr>
            <w:r>
              <w:rPr>
                <w:b/>
                <w:color w:val="FFFFFF"/>
                <w:sz w:val="17"/>
              </w:rPr>
              <w:t>Current entry</w:t>
            </w:r>
          </w:p>
        </w:tc>
      </w:tr>
      <w:tr>
        <w:tc>
          <w:tcPr>
            <w:tcW w:type="dxa" w:w="2448"/>
            <w:tcMar>
              <w:top w:w="80" w:type="dxa"/>
              <w:start w:w="105" w:type="dxa"/>
              <w:bottom w:w="80" w:type="dxa"/>
              <w:end w:w="105" w:type="dxa"/>
            </w:tcMar>
            <w:vAlign w:val="center"/>
          </w:tcPr>
          <w:p>
            <w:pPr>
              <w:spacing w:after="0" w:line="240" w:lineRule="auto"/>
            </w:pPr>
            <w:r>
              <w:rPr>
                <w:color w:val="17242E"/>
                <w:sz w:val="17"/>
              </w:rPr>
              <w:t>Version</w:t>
            </w:r>
          </w:p>
        </w:tc>
        <w:tc>
          <w:tcPr>
            <w:tcW w:type="dxa" w:w="7200"/>
            <w:tcMar>
              <w:top w:w="80" w:type="dxa"/>
              <w:start w:w="105" w:type="dxa"/>
              <w:bottom w:w="80" w:type="dxa"/>
              <w:end w:w="105" w:type="dxa"/>
            </w:tcMar>
            <w:vAlign w:val="center"/>
          </w:tcPr>
          <w:p>
            <w:pPr>
              <w:spacing w:after="0" w:line="240" w:lineRule="auto"/>
            </w:pPr>
            <w:r>
              <w:rPr>
                <w:color w:val="17242E"/>
                <w:sz w:val="17"/>
              </w:rPr>
              <w:t>1.0 — baseline consolidation and Phase 2 design</w:t>
            </w:r>
          </w:p>
        </w:tc>
      </w:tr>
      <w:tr>
        <w:tc>
          <w:tcPr>
            <w:tcW w:type="dxa" w:w="2448"/>
            <w:tcMar>
              <w:top w:w="80" w:type="dxa"/>
              <w:start w:w="105" w:type="dxa"/>
              <w:bottom w:w="80" w:type="dxa"/>
              <w:end w:w="105" w:type="dxa"/>
            </w:tcMar>
            <w:vAlign w:val="center"/>
            <w:shd w:fill="F4F7F9"/>
          </w:tcPr>
          <w:p>
            <w:pPr>
              <w:spacing w:after="0" w:line="240" w:lineRule="auto"/>
            </w:pPr>
            <w:r>
              <w:rPr>
                <w:color w:val="17242E"/>
                <w:sz w:val="17"/>
              </w:rPr>
              <w:t>Status</w:t>
            </w:r>
          </w:p>
        </w:tc>
        <w:tc>
          <w:tcPr>
            <w:tcW w:type="dxa" w:w="7200"/>
            <w:tcMar>
              <w:top w:w="80" w:type="dxa"/>
              <w:start w:w="105" w:type="dxa"/>
              <w:bottom w:w="80" w:type="dxa"/>
              <w:end w:w="105" w:type="dxa"/>
            </w:tcMar>
            <w:vAlign w:val="center"/>
            <w:shd w:fill="F4F7F9"/>
          </w:tcPr>
          <w:p>
            <w:pPr>
              <w:spacing w:after="0" w:line="240" w:lineRule="auto"/>
            </w:pPr>
            <w:r>
              <w:rPr>
                <w:color w:val="17242E"/>
                <w:sz w:val="17"/>
              </w:rPr>
              <w:t>Working notebook; classifications are research codes, not legal conclusions</w:t>
            </w:r>
          </w:p>
        </w:tc>
      </w:tr>
      <w:tr>
        <w:tc>
          <w:tcPr>
            <w:tcW w:type="dxa" w:w="2448"/>
            <w:tcMar>
              <w:top w:w="80" w:type="dxa"/>
              <w:start w:w="105" w:type="dxa"/>
              <w:bottom w:w="80" w:type="dxa"/>
              <w:end w:w="105" w:type="dxa"/>
            </w:tcMar>
            <w:vAlign w:val="center"/>
          </w:tcPr>
          <w:p>
            <w:pPr>
              <w:spacing w:after="0" w:line="240" w:lineRule="auto"/>
            </w:pPr>
            <w:r>
              <w:rPr>
                <w:color w:val="17242E"/>
                <w:sz w:val="17"/>
              </w:rPr>
              <w:t>As-of date</w:t>
            </w:r>
          </w:p>
        </w:tc>
        <w:tc>
          <w:tcPr>
            <w:tcW w:type="dxa" w:w="7200"/>
            <w:tcMar>
              <w:top w:w="80" w:type="dxa"/>
              <w:start w:w="105" w:type="dxa"/>
              <w:bottom w:w="80" w:type="dxa"/>
              <w:end w:w="105" w:type="dxa"/>
            </w:tcMar>
            <w:vAlign w:val="center"/>
          </w:tcPr>
          <w:p>
            <w:pPr>
              <w:spacing w:after="0" w:line="240" w:lineRule="auto"/>
            </w:pPr>
            <w:r>
              <w:rPr>
                <w:color w:val="17242E"/>
                <w:sz w:val="17"/>
              </w:rPr>
              <w:t>22 August 2026</w:t>
            </w:r>
          </w:p>
        </w:tc>
      </w:tr>
      <w:tr>
        <w:tc>
          <w:tcPr>
            <w:tcW w:type="dxa" w:w="2448"/>
            <w:tcMar>
              <w:top w:w="80" w:type="dxa"/>
              <w:start w:w="105" w:type="dxa"/>
              <w:bottom w:w="80" w:type="dxa"/>
              <w:end w:w="105" w:type="dxa"/>
            </w:tcMar>
            <w:vAlign w:val="center"/>
            <w:shd w:fill="F4F7F9"/>
          </w:tcPr>
          <w:p>
            <w:pPr>
              <w:spacing w:after="0" w:line="240" w:lineRule="auto"/>
            </w:pPr>
            <w:r>
              <w:rPr>
                <w:color w:val="17242E"/>
                <w:sz w:val="17"/>
              </w:rPr>
              <w:t>Primary unit of analysis</w:t>
            </w:r>
          </w:p>
        </w:tc>
        <w:tc>
          <w:tcPr>
            <w:tcW w:type="dxa" w:w="7200"/>
            <w:tcMar>
              <w:top w:w="80" w:type="dxa"/>
              <w:start w:w="105" w:type="dxa"/>
              <w:bottom w:w="80" w:type="dxa"/>
              <w:end w:w="105" w:type="dxa"/>
            </w:tcMar>
            <w:vAlign w:val="center"/>
            <w:shd w:fill="F4F7F9"/>
          </w:tcPr>
          <w:p>
            <w:pPr>
              <w:spacing w:after="0" w:line="240" w:lineRule="auto"/>
            </w:pPr>
            <w:r>
              <w:rPr>
                <w:color w:val="17242E"/>
                <w:sz w:val="17"/>
              </w:rPr>
              <w:t>Asset × date; stablecoin × venue × timestamp where available</w:t>
            </w:r>
          </w:p>
        </w:tc>
      </w:tr>
      <w:tr>
        <w:tc>
          <w:tcPr>
            <w:tcW w:type="dxa" w:w="2448"/>
            <w:tcMar>
              <w:top w:w="80" w:type="dxa"/>
              <w:start w:w="105" w:type="dxa"/>
              <w:bottom w:w="80" w:type="dxa"/>
              <w:end w:w="105" w:type="dxa"/>
            </w:tcMar>
            <w:vAlign w:val="center"/>
          </w:tcPr>
          <w:p>
            <w:pPr>
              <w:spacing w:after="0" w:line="240" w:lineRule="auto"/>
            </w:pPr>
            <w:r>
              <w:rPr>
                <w:color w:val="17242E"/>
                <w:sz w:val="17"/>
              </w:rPr>
              <w:t>Reproducibility standard</w:t>
            </w:r>
          </w:p>
        </w:tc>
        <w:tc>
          <w:tcPr>
            <w:tcW w:type="dxa" w:w="7200"/>
            <w:tcMar>
              <w:top w:w="80" w:type="dxa"/>
              <w:start w:w="105" w:type="dxa"/>
              <w:bottom w:w="80" w:type="dxa"/>
              <w:end w:w="105" w:type="dxa"/>
            </w:tcMar>
            <w:vAlign w:val="center"/>
          </w:tcPr>
          <w:p>
            <w:pPr>
              <w:spacing w:after="0" w:line="240" w:lineRule="auto"/>
            </w:pPr>
            <w:r>
              <w:rPr>
                <w:color w:val="17242E"/>
                <w:sz w:val="17"/>
              </w:rPr>
              <w:t>Rules, source date, evidence URL, coder, confidence, and revision history retained</w:t>
            </w:r>
          </w:p>
        </w:tc>
      </w:tr>
    </w:tbl>
    <w:p>
      <w:pPr>
        <w:spacing w:after="20"/>
      </w:pPr>
    </w:p>
    <w:p>
      <w:pPr>
        <w:pStyle w:val="Heading2"/>
      </w:pPr>
      <w:r>
        <w:rPr>
          <w:b w:val="0"/>
          <w:i w:val="0"/>
        </w:rPr>
        <w:t>How to maintain this notebook</w:t>
      </w:r>
    </w:p>
    <w:p>
      <w:pPr>
        <w:pStyle w:val="ListBullet"/>
      </w:pPr>
      <w:r>
        <w:rPr>
          <w:b w:val="0"/>
          <w:i w:val="0"/>
        </w:rPr>
        <w:t>Freeze each empirical extract with a retrieval timestamp and raw-file checksum.</w:t>
      </w:r>
    </w:p>
    <w:p>
      <w:pPr>
        <w:pStyle w:val="ListBullet"/>
      </w:pPr>
      <w:r>
        <w:rPr>
          <w:b w:val="0"/>
          <w:i w:val="0"/>
        </w:rPr>
        <w:t>Treat protocol upgrades, issuer terms, and legal rights as time-varying—not permanent asset attributes.</w:t>
      </w:r>
    </w:p>
    <w:p>
      <w:pPr>
        <w:pStyle w:val="ListBullet"/>
      </w:pPr>
      <w:r>
        <w:rPr>
          <w:b w:val="0"/>
          <w:i w:val="0"/>
        </w:rPr>
        <w:t>Record classification disagreements and adjudication; never overwrite a prior code without a dated change log.</w:t>
      </w:r>
    </w:p>
    <w:p>
      <w:pPr>
        <w:pStyle w:val="ListBullet"/>
      </w:pPr>
      <w:r>
        <w:rPr>
          <w:b w:val="0"/>
          <w:i w:val="0"/>
        </w:rPr>
        <w:t>Pre-register primary outcomes, sample, exclusions, and model variants before estimating headline results.</w:t>
      </w:r>
    </w:p>
    <w:p>
      <w:r>
        <w:br w:type="page"/>
      </w:r>
    </w:p>
    <w:p>
      <w:pPr>
        <w:pStyle w:val="Heading1"/>
      </w:pPr>
      <w:r>
        <w:rPr>
          <w:b w:val="0"/>
          <w:i w:val="0"/>
        </w:rPr>
        <w:t>Notebook map</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008"/>
            <w:shd w:fill="183A5A"/>
            <w:tcMar>
              <w:top w:w="80" w:type="dxa"/>
              <w:start w:w="105" w:type="dxa"/>
              <w:bottom w:w="80" w:type="dxa"/>
              <w:end w:w="105" w:type="dxa"/>
            </w:tcMar>
            <w:vAlign w:val="center"/>
          </w:tcPr>
          <w:p>
            <w:pPr>
              <w:spacing w:after="0"/>
            </w:pPr>
            <w:r>
              <w:rPr>
                <w:b/>
                <w:color w:val="FFFFFF"/>
                <w:sz w:val="18"/>
              </w:rPr>
              <w:t>Part</w:t>
            </w:r>
          </w:p>
        </w:tc>
        <w:tc>
          <w:tcPr>
            <w:tcW w:type="dxa" w:w="8640"/>
            <w:shd w:fill="183A5A"/>
            <w:tcMar>
              <w:top w:w="80" w:type="dxa"/>
              <w:start w:w="105" w:type="dxa"/>
              <w:bottom w:w="80" w:type="dxa"/>
              <w:end w:w="105" w:type="dxa"/>
            </w:tcMar>
            <w:vAlign w:val="center"/>
          </w:tcPr>
          <w:p>
            <w:pPr>
              <w:spacing w:after="0"/>
            </w:pPr>
            <w:r>
              <w:rPr>
                <w:b/>
                <w:color w:val="FFFFFF"/>
                <w:sz w:val="18"/>
              </w:rPr>
              <w:t>Purpose</w:t>
            </w:r>
          </w:p>
        </w:tc>
      </w:tr>
      <w:tr>
        <w:tc>
          <w:tcPr>
            <w:tcW w:type="dxa" w:w="1008"/>
            <w:tcMar>
              <w:top w:w="80" w:type="dxa"/>
              <w:start w:w="105" w:type="dxa"/>
              <w:bottom w:w="80" w:type="dxa"/>
              <w:end w:w="105" w:type="dxa"/>
            </w:tcMar>
            <w:vAlign w:val="center"/>
          </w:tcPr>
          <w:p>
            <w:pPr>
              <w:spacing w:after="0" w:line="240" w:lineRule="auto"/>
            </w:pPr>
            <w:r>
              <w:rPr>
                <w:color w:val="17242E"/>
                <w:sz w:val="18"/>
              </w:rPr>
              <w:t>1</w:t>
            </w:r>
          </w:p>
        </w:tc>
        <w:tc>
          <w:tcPr>
            <w:tcW w:type="dxa" w:w="8640"/>
            <w:tcMar>
              <w:top w:w="80" w:type="dxa"/>
              <w:start w:w="105" w:type="dxa"/>
              <w:bottom w:w="80" w:type="dxa"/>
              <w:end w:w="105" w:type="dxa"/>
            </w:tcMar>
            <w:vAlign w:val="center"/>
          </w:tcPr>
          <w:p>
            <w:pPr>
              <w:spacing w:after="0" w:line="240" w:lineRule="auto"/>
            </w:pPr>
            <w:r>
              <w:rPr>
                <w:color w:val="17242E"/>
                <w:sz w:val="18"/>
              </w:rPr>
              <w:t>Objective, scope, and research principles</w:t>
            </w:r>
          </w:p>
        </w:tc>
      </w:tr>
      <w:tr>
        <w:tc>
          <w:tcPr>
            <w:tcW w:type="dxa" w:w="1008"/>
            <w:tcMar>
              <w:top w:w="80" w:type="dxa"/>
              <w:start w:w="105" w:type="dxa"/>
              <w:bottom w:w="80" w:type="dxa"/>
              <w:end w:w="105" w:type="dxa"/>
            </w:tcMar>
            <w:vAlign w:val="center"/>
            <w:shd w:fill="F4F7F9"/>
          </w:tcPr>
          <w:p>
            <w:pPr>
              <w:spacing w:after="0" w:line="240" w:lineRule="auto"/>
            </w:pPr>
            <w:r>
              <w:rPr>
                <w:color w:val="17242E"/>
                <w:sz w:val="18"/>
              </w:rPr>
              <w:t>2</w:t>
            </w:r>
          </w:p>
        </w:tc>
        <w:tc>
          <w:tcPr>
            <w:tcW w:type="dxa" w:w="8640"/>
            <w:tcMar>
              <w:top w:w="80" w:type="dxa"/>
              <w:start w:w="105" w:type="dxa"/>
              <w:bottom w:w="80" w:type="dxa"/>
              <w:end w:w="105" w:type="dxa"/>
            </w:tcMar>
            <w:vAlign w:val="center"/>
            <w:shd w:fill="F4F7F9"/>
          </w:tcPr>
          <w:p>
            <w:pPr>
              <w:spacing w:after="0" w:line="240" w:lineRule="auto"/>
            </w:pPr>
            <w:r>
              <w:rPr>
                <w:color w:val="17242E"/>
                <w:sz w:val="18"/>
              </w:rPr>
              <w:t>Phase 1 economic taxonomy and classification architecture</w:t>
            </w:r>
          </w:p>
        </w:tc>
      </w:tr>
      <w:tr>
        <w:tc>
          <w:tcPr>
            <w:tcW w:type="dxa" w:w="1008"/>
            <w:tcMar>
              <w:top w:w="80" w:type="dxa"/>
              <w:start w:w="105" w:type="dxa"/>
              <w:bottom w:w="80" w:type="dxa"/>
              <w:end w:w="105" w:type="dxa"/>
            </w:tcMar>
            <w:vAlign w:val="center"/>
          </w:tcPr>
          <w:p>
            <w:pPr>
              <w:spacing w:after="0" w:line="240" w:lineRule="auto"/>
            </w:pPr>
            <w:r>
              <w:rPr>
                <w:color w:val="17242E"/>
                <w:sz w:val="18"/>
              </w:rPr>
              <w:t>3</w:t>
            </w:r>
          </w:p>
        </w:tc>
        <w:tc>
          <w:tcPr>
            <w:tcW w:type="dxa" w:w="8640"/>
            <w:tcMar>
              <w:top w:w="80" w:type="dxa"/>
              <w:start w:w="105" w:type="dxa"/>
              <w:bottom w:w="80" w:type="dxa"/>
              <w:end w:w="105" w:type="dxa"/>
            </w:tcMar>
            <w:vAlign w:val="center"/>
          </w:tcPr>
          <w:p>
            <w:pPr>
              <w:spacing w:after="0" w:line="240" w:lineRule="auto"/>
            </w:pPr>
            <w:r>
              <w:rPr>
                <w:color w:val="17242E"/>
                <w:sz w:val="18"/>
              </w:rPr>
              <w:t>Stablecoin and cryptoasset design categories</w:t>
            </w:r>
          </w:p>
        </w:tc>
      </w:tr>
      <w:tr>
        <w:tc>
          <w:tcPr>
            <w:tcW w:type="dxa" w:w="1008"/>
            <w:tcMar>
              <w:top w:w="80" w:type="dxa"/>
              <w:start w:w="105" w:type="dxa"/>
              <w:bottom w:w="80" w:type="dxa"/>
              <w:end w:w="105" w:type="dxa"/>
            </w:tcMar>
            <w:vAlign w:val="center"/>
            <w:shd w:fill="F4F7F9"/>
          </w:tcPr>
          <w:p>
            <w:pPr>
              <w:spacing w:after="0" w:line="240" w:lineRule="auto"/>
            </w:pPr>
            <w:r>
              <w:rPr>
                <w:color w:val="17242E"/>
                <w:sz w:val="18"/>
              </w:rPr>
              <w:t>4</w:t>
            </w:r>
          </w:p>
        </w:tc>
        <w:tc>
          <w:tcPr>
            <w:tcW w:type="dxa" w:w="8640"/>
            <w:tcMar>
              <w:top w:w="80" w:type="dxa"/>
              <w:start w:w="105" w:type="dxa"/>
              <w:bottom w:w="80" w:type="dxa"/>
              <w:end w:w="105" w:type="dxa"/>
            </w:tcMar>
            <w:vAlign w:val="center"/>
            <w:shd w:fill="F4F7F9"/>
          </w:tcPr>
          <w:p>
            <w:pPr>
              <w:spacing w:after="0" w:line="240" w:lineRule="auto"/>
            </w:pPr>
            <w:r>
              <w:rPr>
                <w:color w:val="17242E"/>
                <w:sz w:val="18"/>
              </w:rPr>
              <w:t>Value-accrual and rights/claims codebooks</w:t>
            </w:r>
          </w:p>
        </w:tc>
      </w:tr>
      <w:tr>
        <w:tc>
          <w:tcPr>
            <w:tcW w:type="dxa" w:w="1008"/>
            <w:tcMar>
              <w:top w:w="80" w:type="dxa"/>
              <w:start w:w="105" w:type="dxa"/>
              <w:bottom w:w="80" w:type="dxa"/>
              <w:end w:w="105" w:type="dxa"/>
            </w:tcMar>
            <w:vAlign w:val="center"/>
          </w:tcPr>
          <w:p>
            <w:pPr>
              <w:spacing w:after="0" w:line="240" w:lineRule="auto"/>
            </w:pPr>
            <w:r>
              <w:rPr>
                <w:color w:val="17242E"/>
                <w:sz w:val="18"/>
              </w:rPr>
              <w:t>5</w:t>
            </w:r>
          </w:p>
        </w:tc>
        <w:tc>
          <w:tcPr>
            <w:tcW w:type="dxa" w:w="8640"/>
            <w:tcMar>
              <w:top w:w="80" w:type="dxa"/>
              <w:start w:w="105" w:type="dxa"/>
              <w:bottom w:w="80" w:type="dxa"/>
              <w:end w:w="105" w:type="dxa"/>
            </w:tcMar>
            <w:vAlign w:val="center"/>
          </w:tcPr>
          <w:p>
            <w:pPr>
              <w:spacing w:after="0" w:line="240" w:lineRule="auto"/>
            </w:pPr>
            <w:r>
              <w:rPr>
                <w:color w:val="17242E"/>
                <w:sz w:val="18"/>
              </w:rPr>
              <w:t>Quantitative variables, empirical targets, and H1–H8</w:t>
            </w:r>
          </w:p>
        </w:tc>
      </w:tr>
      <w:tr>
        <w:tc>
          <w:tcPr>
            <w:tcW w:type="dxa" w:w="1008"/>
            <w:tcMar>
              <w:top w:w="80" w:type="dxa"/>
              <w:start w:w="105" w:type="dxa"/>
              <w:bottom w:w="80" w:type="dxa"/>
              <w:end w:w="105" w:type="dxa"/>
            </w:tcMar>
            <w:vAlign w:val="center"/>
            <w:shd w:fill="F4F7F9"/>
          </w:tcPr>
          <w:p>
            <w:pPr>
              <w:spacing w:after="0" w:line="240" w:lineRule="auto"/>
            </w:pPr>
            <w:r>
              <w:rPr>
                <w:color w:val="17242E"/>
                <w:sz w:val="18"/>
              </w:rPr>
              <w:t>6</w:t>
            </w:r>
          </w:p>
        </w:tc>
        <w:tc>
          <w:tcPr>
            <w:tcW w:type="dxa" w:w="8640"/>
            <w:tcMar>
              <w:top w:w="80" w:type="dxa"/>
              <w:start w:w="105" w:type="dxa"/>
              <w:bottom w:w="80" w:type="dxa"/>
              <w:end w:w="105" w:type="dxa"/>
            </w:tcMar>
            <w:vAlign w:val="center"/>
            <w:shd w:fill="F4F7F9"/>
          </w:tcPr>
          <w:p>
            <w:pPr>
              <w:spacing w:after="0" w:line="240" w:lineRule="auto"/>
            </w:pPr>
            <w:r>
              <w:rPr>
                <w:color w:val="17242E"/>
                <w:sz w:val="18"/>
              </w:rPr>
              <w:t>Data schemas: asset_master, economic_design, stablecoin_design</w:t>
            </w:r>
          </w:p>
        </w:tc>
      </w:tr>
      <w:tr>
        <w:tc>
          <w:tcPr>
            <w:tcW w:type="dxa" w:w="1008"/>
            <w:tcMar>
              <w:top w:w="80" w:type="dxa"/>
              <w:start w:w="105" w:type="dxa"/>
              <w:bottom w:w="80" w:type="dxa"/>
              <w:end w:w="105" w:type="dxa"/>
            </w:tcMar>
            <w:vAlign w:val="center"/>
          </w:tcPr>
          <w:p>
            <w:pPr>
              <w:spacing w:after="0" w:line="240" w:lineRule="auto"/>
            </w:pPr>
            <w:r>
              <w:rPr>
                <w:color w:val="17242E"/>
                <w:sz w:val="18"/>
              </w:rPr>
              <w:t>7</w:t>
            </w:r>
          </w:p>
        </w:tc>
        <w:tc>
          <w:tcPr>
            <w:tcW w:type="dxa" w:w="8640"/>
            <w:tcMar>
              <w:top w:w="80" w:type="dxa"/>
              <w:start w:w="105" w:type="dxa"/>
              <w:bottom w:w="80" w:type="dxa"/>
              <w:end w:w="105" w:type="dxa"/>
            </w:tcMar>
            <w:vAlign w:val="center"/>
          </w:tcPr>
          <w:p>
            <w:pPr>
              <w:spacing w:after="0" w:line="240" w:lineRule="auto"/>
            </w:pPr>
            <w:r>
              <w:rPr>
                <w:color w:val="17242E"/>
                <w:sz w:val="18"/>
              </w:rPr>
              <w:t>Reserve-quality and depeg-risk frameworks</w:t>
            </w:r>
          </w:p>
        </w:tc>
      </w:tr>
      <w:tr>
        <w:tc>
          <w:tcPr>
            <w:tcW w:type="dxa" w:w="1008"/>
            <w:tcMar>
              <w:top w:w="80" w:type="dxa"/>
              <w:start w:w="105" w:type="dxa"/>
              <w:bottom w:w="80" w:type="dxa"/>
              <w:end w:w="105" w:type="dxa"/>
            </w:tcMar>
            <w:vAlign w:val="center"/>
            <w:shd w:fill="F4F7F9"/>
          </w:tcPr>
          <w:p>
            <w:pPr>
              <w:spacing w:after="0" w:line="240" w:lineRule="auto"/>
            </w:pPr>
            <w:r>
              <w:rPr>
                <w:color w:val="17242E"/>
                <w:sz w:val="18"/>
              </w:rPr>
              <w:t>8</w:t>
            </w:r>
          </w:p>
        </w:tc>
        <w:tc>
          <w:tcPr>
            <w:tcW w:type="dxa" w:w="8640"/>
            <w:tcMar>
              <w:top w:w="80" w:type="dxa"/>
              <w:start w:w="105" w:type="dxa"/>
              <w:bottom w:w="80" w:type="dxa"/>
              <w:end w:w="105" w:type="dxa"/>
            </w:tcMar>
            <w:vAlign w:val="center"/>
            <w:shd w:fill="F4F7F9"/>
          </w:tcPr>
          <w:p>
            <w:pPr>
              <w:spacing w:after="0" w:line="240" w:lineRule="auto"/>
            </w:pPr>
            <w:r>
              <w:rPr>
                <w:color w:val="17242E"/>
                <w:sz w:val="18"/>
              </w:rPr>
              <w:t>Phase 2 data engineering and empirical analysis</w:t>
            </w:r>
          </w:p>
        </w:tc>
      </w:tr>
      <w:tr>
        <w:tc>
          <w:tcPr>
            <w:tcW w:type="dxa" w:w="1008"/>
            <w:tcMar>
              <w:top w:w="80" w:type="dxa"/>
              <w:start w:w="105" w:type="dxa"/>
              <w:bottom w:w="80" w:type="dxa"/>
              <w:end w:w="105" w:type="dxa"/>
            </w:tcMar>
            <w:vAlign w:val="center"/>
          </w:tcPr>
          <w:p>
            <w:pPr>
              <w:spacing w:after="0" w:line="240" w:lineRule="auto"/>
            </w:pPr>
            <w:r>
              <w:rPr>
                <w:color w:val="17242E"/>
                <w:sz w:val="18"/>
              </w:rPr>
              <w:t>9</w:t>
            </w:r>
          </w:p>
        </w:tc>
        <w:tc>
          <w:tcPr>
            <w:tcW w:type="dxa" w:w="8640"/>
            <w:tcMar>
              <w:top w:w="80" w:type="dxa"/>
              <w:start w:w="105" w:type="dxa"/>
              <w:bottom w:w="80" w:type="dxa"/>
              <w:end w:w="105" w:type="dxa"/>
            </w:tcMar>
            <w:vAlign w:val="center"/>
          </w:tcPr>
          <w:p>
            <w:pPr>
              <w:spacing w:after="0" w:line="240" w:lineRule="auto"/>
            </w:pPr>
            <w:r>
              <w:rPr>
                <w:color w:val="17242E"/>
                <w:sz w:val="18"/>
              </w:rPr>
              <w:t>Governance, validation, and limitations</w:t>
            </w:r>
          </w:p>
        </w:tc>
      </w:tr>
      <w:tr>
        <w:tc>
          <w:tcPr>
            <w:tcW w:type="dxa" w:w="1008"/>
            <w:tcMar>
              <w:top w:w="80" w:type="dxa"/>
              <w:start w:w="105" w:type="dxa"/>
              <w:bottom w:w="80" w:type="dxa"/>
              <w:end w:w="105" w:type="dxa"/>
            </w:tcMar>
            <w:vAlign w:val="center"/>
            <w:shd w:fill="F4F7F9"/>
          </w:tcPr>
          <w:p>
            <w:pPr>
              <w:spacing w:after="0" w:line="240" w:lineRule="auto"/>
            </w:pPr>
            <w:r>
              <w:rPr>
                <w:color w:val="17242E"/>
                <w:sz w:val="18"/>
              </w:rPr>
              <w:t>Appendices</w:t>
            </w:r>
          </w:p>
        </w:tc>
        <w:tc>
          <w:tcPr>
            <w:tcW w:type="dxa" w:w="8640"/>
            <w:tcMar>
              <w:top w:w="80" w:type="dxa"/>
              <w:start w:w="105" w:type="dxa"/>
              <w:bottom w:w="80" w:type="dxa"/>
              <w:end w:w="105" w:type="dxa"/>
            </w:tcMar>
            <w:vAlign w:val="center"/>
            <w:shd w:fill="F4F7F9"/>
          </w:tcPr>
          <w:p>
            <w:pPr>
              <w:spacing w:after="0" w:line="240" w:lineRule="auto"/>
            </w:pPr>
            <w:r>
              <w:rPr>
                <w:color w:val="17242E"/>
                <w:sz w:val="18"/>
              </w:rPr>
              <w:t>Example classifications, data dictionary, and sources</w:t>
            </w:r>
          </w:p>
        </w:tc>
      </w:tr>
    </w:tbl>
    <w:p>
      <w:pPr>
        <w:spacing w:after="20"/>
      </w:pPr>
    </w:p>
    <w:p>
      <w:pPr>
        <w:pStyle w:val="Heading2"/>
      </w:pPr>
      <w:r>
        <w:rPr>
          <w:b w:val="0"/>
          <w:i w:val="0"/>
        </w:rPr>
        <w:t>Version history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152"/>
            <w:shd w:fill="183A5A"/>
            <w:tcMar>
              <w:top w:w="80" w:type="dxa"/>
              <w:start w:w="105" w:type="dxa"/>
              <w:bottom w:w="80" w:type="dxa"/>
              <w:end w:w="105" w:type="dxa"/>
            </w:tcMar>
            <w:vAlign w:val="center"/>
          </w:tcPr>
          <w:p>
            <w:pPr>
              <w:spacing w:after="0"/>
            </w:pPr>
            <w:r>
              <w:rPr>
                <w:b/>
                <w:color w:val="FFFFFF"/>
                <w:sz w:val="17"/>
              </w:rPr>
              <w:t>Version</w:t>
            </w:r>
          </w:p>
        </w:tc>
        <w:tc>
          <w:tcPr>
            <w:tcW w:type="dxa" w:w="1584"/>
            <w:shd w:fill="183A5A"/>
            <w:tcMar>
              <w:top w:w="80" w:type="dxa"/>
              <w:start w:w="105" w:type="dxa"/>
              <w:bottom w:w="80" w:type="dxa"/>
              <w:end w:w="105" w:type="dxa"/>
            </w:tcMar>
            <w:vAlign w:val="center"/>
          </w:tcPr>
          <w:p>
            <w:pPr>
              <w:spacing w:after="0"/>
            </w:pPr>
            <w:r>
              <w:rPr>
                <w:b/>
                <w:color w:val="FFFFFF"/>
                <w:sz w:val="17"/>
              </w:rPr>
              <w:t>Date</w:t>
            </w:r>
          </w:p>
        </w:tc>
        <w:tc>
          <w:tcPr>
            <w:tcW w:type="dxa" w:w="4608"/>
            <w:shd w:fill="183A5A"/>
            <w:tcMar>
              <w:top w:w="80" w:type="dxa"/>
              <w:start w:w="105" w:type="dxa"/>
              <w:bottom w:w="80" w:type="dxa"/>
              <w:end w:w="105" w:type="dxa"/>
            </w:tcMar>
            <w:vAlign w:val="center"/>
          </w:tcPr>
          <w:p>
            <w:pPr>
              <w:spacing w:after="0"/>
            </w:pPr>
            <w:r>
              <w:rPr>
                <w:b/>
                <w:color w:val="FFFFFF"/>
                <w:sz w:val="17"/>
              </w:rPr>
              <w:t>Scope</w:t>
            </w:r>
          </w:p>
        </w:tc>
        <w:tc>
          <w:tcPr>
            <w:tcW w:type="dxa" w:w="2304"/>
            <w:shd w:fill="183A5A"/>
            <w:tcMar>
              <w:top w:w="80" w:type="dxa"/>
              <w:start w:w="105" w:type="dxa"/>
              <w:bottom w:w="80" w:type="dxa"/>
              <w:end w:w="105" w:type="dxa"/>
            </w:tcMar>
            <w:vAlign w:val="center"/>
          </w:tcPr>
          <w:p>
            <w:pPr>
              <w:spacing w:after="0"/>
            </w:pPr>
            <w:r>
              <w:rPr>
                <w:b/>
                <w:color w:val="FFFFFF"/>
                <w:sz w:val="17"/>
              </w:rPr>
              <w:t>Next decision</w:t>
            </w:r>
          </w:p>
        </w:tc>
      </w:tr>
      <w:tr>
        <w:tc>
          <w:tcPr>
            <w:tcW w:type="dxa" w:w="1152"/>
            <w:tcMar>
              <w:top w:w="80" w:type="dxa"/>
              <w:start w:w="105" w:type="dxa"/>
              <w:bottom w:w="80" w:type="dxa"/>
              <w:end w:w="105" w:type="dxa"/>
            </w:tcMar>
            <w:vAlign w:val="center"/>
          </w:tcPr>
          <w:p>
            <w:pPr>
              <w:spacing w:after="0" w:line="240" w:lineRule="auto"/>
            </w:pPr>
            <w:r>
              <w:rPr>
                <w:color w:val="17242E"/>
                <w:sz w:val="17"/>
              </w:rPr>
              <w:t>1.0</w:t>
            </w:r>
          </w:p>
        </w:tc>
        <w:tc>
          <w:tcPr>
            <w:tcW w:type="dxa" w:w="1584"/>
            <w:tcMar>
              <w:top w:w="80" w:type="dxa"/>
              <w:start w:w="105" w:type="dxa"/>
              <w:bottom w:w="80" w:type="dxa"/>
              <w:end w:w="105" w:type="dxa"/>
            </w:tcMar>
            <w:vAlign w:val="center"/>
          </w:tcPr>
          <w:p>
            <w:pPr>
              <w:spacing w:after="0" w:line="240" w:lineRule="auto"/>
            </w:pPr>
            <w:r>
              <w:rPr>
                <w:color w:val="17242E"/>
                <w:sz w:val="17"/>
              </w:rPr>
              <w:t>2026-08-22</w:t>
            </w:r>
          </w:p>
        </w:tc>
        <w:tc>
          <w:tcPr>
            <w:tcW w:type="dxa" w:w="4608"/>
            <w:tcMar>
              <w:top w:w="80" w:type="dxa"/>
              <w:start w:w="105" w:type="dxa"/>
              <w:bottom w:w="80" w:type="dxa"/>
              <w:end w:w="105" w:type="dxa"/>
            </w:tcMar>
            <w:vAlign w:val="center"/>
          </w:tcPr>
          <w:p>
            <w:pPr>
              <w:spacing w:after="0" w:line="240" w:lineRule="auto"/>
            </w:pPr>
            <w:r>
              <w:rPr>
                <w:color w:val="17242E"/>
                <w:sz w:val="17"/>
              </w:rPr>
              <w:t>Consolidated Phase 1; formalized codebook and Phase 2 plan</w:t>
            </w:r>
          </w:p>
        </w:tc>
        <w:tc>
          <w:tcPr>
            <w:tcW w:type="dxa" w:w="2304"/>
            <w:tcMar>
              <w:top w:w="80" w:type="dxa"/>
              <w:start w:w="105" w:type="dxa"/>
              <w:bottom w:w="80" w:type="dxa"/>
              <w:end w:w="105" w:type="dxa"/>
            </w:tcMar>
            <w:vAlign w:val="center"/>
          </w:tcPr>
          <w:p>
            <w:pPr>
              <w:spacing w:after="0" w:line="240" w:lineRule="auto"/>
            </w:pPr>
            <w:r>
              <w:rPr>
                <w:color w:val="17242E"/>
                <w:sz w:val="17"/>
              </w:rPr>
              <w:t>Freeze sample and source licenses</w:t>
            </w:r>
          </w:p>
        </w:tc>
      </w:tr>
    </w:tbl>
    <w:p>
      <w:pPr>
        <w:spacing w:after="20"/>
      </w:pPr>
    </w:p>
    <w:p>
      <w:pPr>
        <w:pStyle w:val="Heading1"/>
      </w:pPr>
      <w:r>
        <w:rPr>
          <w:b w:val="0"/>
          <w:i w:val="0"/>
        </w:rPr>
        <w:t>1. Objective, scope, and research principles</w:t>
      </w:r>
    </w:p>
    <w:p>
      <w:pPr>
        <w:pStyle w:val="Heading2"/>
      </w:pPr>
      <w:r>
        <w:rPr>
          <w:b w:val="0"/>
          <w:i w:val="0"/>
        </w:rPr>
        <w:t>Project objective</w:t>
      </w:r>
    </w:p>
    <w:p>
      <w:r>
        <w:rPr>
          <w:b w:val="0"/>
          <w:i w:val="0"/>
        </w:rPr>
        <w:t>Build a defensible economic taxonomy of stablecoins and cryptocurrencies that determines which variables should be tested empirically, then estimate whether economic design, usage, liquidity, supply, security, and legal/contractual rights explain peg robustness, adoption, valuation, returns, or risk.</w:t>
      </w:r>
    </w:p>
    <w:tbl>
      <w:tblPr>
        <w:tblW w:type="auto" w:w="0"/>
        <w:tblLayout w:type="fixed"/>
        <w:tblLook w:firstColumn="1" w:firstRow="1" w:lastColumn="0" w:lastRow="0" w:noHBand="0" w:noVBand="1" w:val="04A0"/>
      </w:tblPr>
      <w:tblGrid>
        <w:gridCol w:w="9648"/>
      </w:tblGrid>
      <w:tr>
        <w:tc>
          <w:tcPr>
            <w:tcW w:type="dxa" w:w="9878"/>
            <w:shd w:fill="EAF1F5"/>
            <w:tcMar>
              <w:top w:w="130" w:type="dxa"/>
              <w:start w:w="170" w:type="dxa"/>
              <w:bottom w:w="130" w:type="dxa"/>
              <w:end w:w="170" w:type="dxa"/>
            </w:tcMar>
          </w:tcPr>
          <w:p>
            <w:pPr>
              <w:spacing w:after="0"/>
            </w:pPr>
            <w:r>
              <w:rPr>
                <w:b/>
                <w:color w:val="167D7F"/>
              </w:rPr>
              <w:t xml:space="preserve">Core contribution  </w:t>
            </w:r>
            <w:r>
              <w:t>The project links economic theory → explicit classification rules → versioned panel data → falsifiable hypotheses. It does not assume that labels such as L1, DeFi, or stablecoin are sufficient valuation categories.</w:t>
            </w:r>
          </w:p>
        </w:tc>
      </w:tr>
    </w:tbl>
    <w:p>
      <w:pPr>
        <w:spacing w:after="20"/>
      </w:pPr>
    </w:p>
    <w:p>
      <w:pPr>
        <w:pStyle w:val="Heading2"/>
      </w:pPr>
      <w:r>
        <w:rPr>
          <w:b w:val="0"/>
          <w:i w:val="0"/>
        </w:rPr>
        <w:t>Scope and exclusions</w:t>
      </w:r>
    </w:p>
    <w:p>
      <w:pPr>
        <w:pStyle w:val="ListBullet"/>
      </w:pPr>
      <w:r>
        <w:rPr>
          <w:b w:val="0"/>
          <w:i w:val="0"/>
        </w:rPr>
        <w:t>In scope: fiat-referenced and other stable-value tokens; native L1/L2 assets; DeFi, oracle, governance, utility, incentive, and tokenized-claim instruments.</w:t>
      </w:r>
    </w:p>
    <w:p>
      <w:pPr>
        <w:pStyle w:val="ListBullet"/>
      </w:pPr>
      <w:r>
        <w:rPr>
          <w:b w:val="0"/>
          <w:i w:val="0"/>
        </w:rPr>
        <w:t>Asset classifications may overlap. A token can be monetary, gas, staking, collateral, and protocol-linked at the same time.</w:t>
      </w:r>
    </w:p>
    <w:p>
      <w:pPr>
        <w:pStyle w:val="ListBullet"/>
      </w:pPr>
      <w:r>
        <w:rPr>
          <w:b w:val="0"/>
          <w:i w:val="0"/>
        </w:rPr>
        <w:t>Legal-security status is recorded as jurisdiction- and transaction-specific metadata; this notebook does not provide legal advice.</w:t>
      </w:r>
    </w:p>
    <w:p>
      <w:pPr>
        <w:pStyle w:val="ListBullet"/>
      </w:pPr>
      <w:r>
        <w:rPr>
          <w:b w:val="0"/>
          <w:i w:val="0"/>
        </w:rPr>
        <w:t>NFTs and tokenized securities may enter comparison samples, but are not the initial core panel unless data quality supports them.</w:t>
      </w:r>
    </w:p>
    <w:p>
      <w:pPr>
        <w:pStyle w:val="Heading2"/>
      </w:pPr>
      <w:r>
        <w:rPr>
          <w:b w:val="0"/>
          <w:i w:val="0"/>
        </w:rPr>
        <w:t>Research principles</w:t>
      </w:r>
    </w:p>
    <w:p>
      <w:pPr>
        <w:pStyle w:val="ListNumber"/>
      </w:pPr>
      <w:r>
        <w:rPr>
          <w:b w:val="0"/>
          <w:i w:val="0"/>
        </w:rPr>
        <w:t>Function over marketing label.</w:t>
      </w:r>
    </w:p>
    <w:p>
      <w:pPr>
        <w:pStyle w:val="ListNumber"/>
      </w:pPr>
      <w:r>
        <w:rPr>
          <w:b w:val="0"/>
          <w:i w:val="0"/>
        </w:rPr>
        <w:t>Rights and claims separated from use cases.</w:t>
      </w:r>
    </w:p>
    <w:p>
      <w:pPr>
        <w:pStyle w:val="ListNumber"/>
      </w:pPr>
      <w:r>
        <w:rPr>
          <w:b w:val="0"/>
          <w:i w:val="0"/>
        </w:rPr>
        <w:t>Mechanism activation separated from mere technical possibility.</w:t>
      </w:r>
    </w:p>
    <w:p>
      <w:pPr>
        <w:pStyle w:val="ListNumber"/>
      </w:pPr>
      <w:r>
        <w:rPr>
          <w:b w:val="0"/>
          <w:i w:val="0"/>
        </w:rPr>
        <w:t>Point-in-time coding for designs that change.</w:t>
      </w:r>
    </w:p>
    <w:p>
      <w:pPr>
        <w:pStyle w:val="ListNumber"/>
      </w:pPr>
      <w:r>
        <w:rPr>
          <w:b w:val="0"/>
          <w:i w:val="0"/>
        </w:rPr>
        <w:t>Observable thresholds where possible; documented expert judgment where necessary.</w:t>
      </w:r>
    </w:p>
    <w:p>
      <w:pPr>
        <w:pStyle w:val="ListNumber"/>
      </w:pPr>
      <w:r>
        <w:rPr>
          <w:b w:val="0"/>
          <w:i w:val="0"/>
        </w:rPr>
        <w:t>Survivorship-bias control: failed and delisted assets remain eligible.</w:t>
      </w:r>
    </w:p>
    <w:p>
      <w:pPr>
        <w:pStyle w:val="ListNumber"/>
      </w:pPr>
      <w:r>
        <w:rPr>
          <w:b w:val="0"/>
          <w:i w:val="0"/>
        </w:rPr>
        <w:t>Primary-source evidence for design fields; independent data for market outcomes.</w:t>
      </w:r>
    </w:p>
    <w:p>
      <w:pPr>
        <w:pStyle w:val="Heading1"/>
      </w:pPr>
      <w:r>
        <w:rPr>
          <w:b w:val="0"/>
          <w:i w:val="0"/>
        </w:rPr>
        <w:t>2. Phase 1 economic taxonomy</w:t>
      </w:r>
    </w:p>
    <w:p>
      <w:pPr>
        <w:pStyle w:val="Heading2"/>
      </w:pPr>
      <w:r>
        <w:rPr>
          <w:b w:val="0"/>
          <w:i w:val="0"/>
        </w:rPr>
        <w:t>Classification architecture</w:t>
      </w:r>
    </w:p>
    <w:p>
      <w:pPr>
        <w:spacing w:before="80" w:after="140"/>
        <w:jc w:val="center"/>
      </w:pPr>
      <w:r>
        <w:rPr>
          <w:rFonts w:ascii="Cambria Math" w:hAnsi="Cambria Math"/>
          <w:i/>
          <w:color w:val="183A5A"/>
          <w:sz w:val="21"/>
        </w:rPr>
        <w:t>Asset → {Economic function, Value accrual, Monetary/supply model, Architecture, Rights &amp; claims, Primary risks}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728"/>
            <w:shd w:fill="183A5A"/>
            <w:tcMar>
              <w:top w:w="80" w:type="dxa"/>
              <w:start w:w="105" w:type="dxa"/>
              <w:bottom w:w="80" w:type="dxa"/>
              <w:end w:w="105" w:type="dxa"/>
            </w:tcMar>
            <w:vAlign w:val="center"/>
          </w:tcPr>
          <w:p>
            <w:pPr>
              <w:spacing w:after="0"/>
            </w:pPr>
            <w:r>
              <w:rPr>
                <w:b/>
                <w:color w:val="FFFFFF"/>
                <w:sz w:val="16"/>
              </w:rPr>
              <w:t>Dimension</w:t>
            </w:r>
          </w:p>
        </w:tc>
        <w:tc>
          <w:tcPr>
            <w:tcW w:type="dxa" w:w="3456"/>
            <w:shd w:fill="183A5A"/>
            <w:tcMar>
              <w:top w:w="80" w:type="dxa"/>
              <w:start w:w="105" w:type="dxa"/>
              <w:bottom w:w="80" w:type="dxa"/>
              <w:end w:w="105" w:type="dxa"/>
            </w:tcMar>
            <w:vAlign w:val="center"/>
          </w:tcPr>
          <w:p>
            <w:pPr>
              <w:spacing w:after="0"/>
            </w:pPr>
            <w:r>
              <w:rPr>
                <w:b/>
                <w:color w:val="FFFFFF"/>
                <w:sz w:val="16"/>
              </w:rPr>
              <w:t>Question</w:t>
            </w:r>
          </w:p>
        </w:tc>
        <w:tc>
          <w:tcPr>
            <w:tcW w:type="dxa" w:w="4464"/>
            <w:shd w:fill="183A5A"/>
            <w:tcMar>
              <w:top w:w="80" w:type="dxa"/>
              <w:start w:w="105" w:type="dxa"/>
              <w:bottom w:w="80" w:type="dxa"/>
              <w:end w:w="105" w:type="dxa"/>
            </w:tcMar>
            <w:vAlign w:val="center"/>
          </w:tcPr>
          <w:p>
            <w:pPr>
              <w:spacing w:after="0"/>
            </w:pPr>
            <w:r>
              <w:rPr>
                <w:b/>
                <w:color w:val="FFFFFF"/>
                <w:sz w:val="16"/>
              </w:rPr>
              <w:t>Representative fields</w:t>
            </w:r>
          </w:p>
        </w:tc>
      </w:tr>
      <w:tr>
        <w:tc>
          <w:tcPr>
            <w:tcW w:type="dxa" w:w="1728"/>
            <w:tcMar>
              <w:top w:w="80" w:type="dxa"/>
              <w:start w:w="105" w:type="dxa"/>
              <w:bottom w:w="80" w:type="dxa"/>
              <w:end w:w="105" w:type="dxa"/>
            </w:tcMar>
            <w:vAlign w:val="center"/>
          </w:tcPr>
          <w:p>
            <w:pPr>
              <w:spacing w:after="0" w:line="240" w:lineRule="auto"/>
            </w:pPr>
            <w:r>
              <w:rPr>
                <w:color w:val="17242E"/>
                <w:sz w:val="16"/>
              </w:rPr>
              <w:t>Economic function</w:t>
            </w:r>
          </w:p>
        </w:tc>
        <w:tc>
          <w:tcPr>
            <w:tcW w:type="dxa" w:w="3456"/>
            <w:tcMar>
              <w:top w:w="80" w:type="dxa"/>
              <w:start w:w="105" w:type="dxa"/>
              <w:bottom w:w="80" w:type="dxa"/>
              <w:end w:w="105" w:type="dxa"/>
            </w:tcMar>
            <w:vAlign w:val="center"/>
          </w:tcPr>
          <w:p>
            <w:pPr>
              <w:spacing w:after="0" w:line="240" w:lineRule="auto"/>
            </w:pPr>
            <w:r>
              <w:rPr>
                <w:color w:val="17242E"/>
                <w:sz w:val="16"/>
              </w:rPr>
              <w:t>What service does holding or using the token provide?</w:t>
            </w:r>
          </w:p>
        </w:tc>
        <w:tc>
          <w:tcPr>
            <w:tcW w:type="dxa" w:w="4464"/>
            <w:tcMar>
              <w:top w:w="80" w:type="dxa"/>
              <w:start w:w="105" w:type="dxa"/>
              <w:bottom w:w="80" w:type="dxa"/>
              <w:end w:w="105" w:type="dxa"/>
            </w:tcMar>
            <w:vAlign w:val="center"/>
          </w:tcPr>
          <w:p>
            <w:pPr>
              <w:spacing w:after="0" w:line="240" w:lineRule="auto"/>
            </w:pPr>
            <w:r>
              <w:rPr>
                <w:color w:val="17242E"/>
                <w:sz w:val="16"/>
              </w:rPr>
              <w:t>money; settlement; compute; security; intermediation; governance; access; claim</w:t>
            </w:r>
          </w:p>
        </w:tc>
      </w:tr>
      <w:tr>
        <w:tc>
          <w:tcPr>
            <w:tcW w:type="dxa" w:w="1728"/>
            <w:tcMar>
              <w:top w:w="80" w:type="dxa"/>
              <w:start w:w="105" w:type="dxa"/>
              <w:bottom w:w="80" w:type="dxa"/>
              <w:end w:w="105" w:type="dxa"/>
            </w:tcMar>
            <w:vAlign w:val="center"/>
            <w:shd w:fill="F4F7F9"/>
          </w:tcPr>
          <w:p>
            <w:pPr>
              <w:spacing w:after="0" w:line="240" w:lineRule="auto"/>
            </w:pPr>
            <w:r>
              <w:rPr>
                <w:color w:val="17242E"/>
                <w:sz w:val="16"/>
              </w:rPr>
              <w:t>Value accrual</w:t>
            </w:r>
          </w:p>
        </w:tc>
        <w:tc>
          <w:tcPr>
            <w:tcW w:type="dxa" w:w="3456"/>
            <w:tcMar>
              <w:top w:w="80" w:type="dxa"/>
              <w:start w:w="105" w:type="dxa"/>
              <w:bottom w:w="80" w:type="dxa"/>
              <w:end w:w="105" w:type="dxa"/>
            </w:tcMar>
            <w:vAlign w:val="center"/>
            <w:shd w:fill="F4F7F9"/>
          </w:tcPr>
          <w:p>
            <w:pPr>
              <w:spacing w:after="0" w:line="240" w:lineRule="auto"/>
            </w:pPr>
            <w:r>
              <w:rPr>
                <w:color w:val="17242E"/>
                <w:sz w:val="16"/>
              </w:rPr>
              <w:t>Why could incremental activity create token demand or reduce net supply?</w:t>
            </w:r>
          </w:p>
        </w:tc>
        <w:tc>
          <w:tcPr>
            <w:tcW w:type="dxa" w:w="4464"/>
            <w:tcMar>
              <w:top w:w="80" w:type="dxa"/>
              <w:start w:w="105" w:type="dxa"/>
              <w:bottom w:w="80" w:type="dxa"/>
              <w:end w:w="105" w:type="dxa"/>
            </w:tcMar>
            <w:vAlign w:val="center"/>
            <w:shd w:fill="F4F7F9"/>
          </w:tcPr>
          <w:p>
            <w:pPr>
              <w:spacing w:after="0" w:line="240" w:lineRule="auto"/>
            </w:pPr>
            <w:r>
              <w:rPr>
                <w:color w:val="17242E"/>
                <w:sz w:val="16"/>
              </w:rPr>
              <w:t>VA_* indicators; directness; strength; activation date</w:t>
            </w:r>
          </w:p>
        </w:tc>
      </w:tr>
      <w:tr>
        <w:tc>
          <w:tcPr>
            <w:tcW w:type="dxa" w:w="1728"/>
            <w:tcMar>
              <w:top w:w="80" w:type="dxa"/>
              <w:start w:w="105" w:type="dxa"/>
              <w:bottom w:w="80" w:type="dxa"/>
              <w:end w:w="105" w:type="dxa"/>
            </w:tcMar>
            <w:vAlign w:val="center"/>
          </w:tcPr>
          <w:p>
            <w:pPr>
              <w:spacing w:after="0" w:line="240" w:lineRule="auto"/>
            </w:pPr>
            <w:r>
              <w:rPr>
                <w:color w:val="17242E"/>
                <w:sz w:val="16"/>
              </w:rPr>
              <w:t>Supply model</w:t>
            </w:r>
          </w:p>
        </w:tc>
        <w:tc>
          <w:tcPr>
            <w:tcW w:type="dxa" w:w="3456"/>
            <w:tcMar>
              <w:top w:w="80" w:type="dxa"/>
              <w:start w:w="105" w:type="dxa"/>
              <w:bottom w:w="80" w:type="dxa"/>
              <w:end w:w="105" w:type="dxa"/>
            </w:tcMar>
            <w:vAlign w:val="center"/>
          </w:tcPr>
          <w:p>
            <w:pPr>
              <w:spacing w:after="0" w:line="240" w:lineRule="auto"/>
            </w:pPr>
            <w:r>
              <w:rPr>
                <w:color w:val="17242E"/>
                <w:sz w:val="16"/>
              </w:rPr>
              <w:t>How are units issued, burned, unlocked, or capped?</w:t>
            </w:r>
          </w:p>
        </w:tc>
        <w:tc>
          <w:tcPr>
            <w:tcW w:type="dxa" w:w="4464"/>
            <w:tcMar>
              <w:top w:w="80" w:type="dxa"/>
              <w:start w:w="105" w:type="dxa"/>
              <w:bottom w:w="80" w:type="dxa"/>
              <w:end w:w="105" w:type="dxa"/>
            </w:tcMar>
            <w:vAlign w:val="center"/>
          </w:tcPr>
          <w:p>
            <w:pPr>
              <w:spacing w:after="0" w:line="240" w:lineRule="auto"/>
            </w:pPr>
            <w:r>
              <w:rPr>
                <w:color w:val="17242E"/>
                <w:sz w:val="16"/>
              </w:rPr>
              <w:t>cap; issuance; burn; inflation; unlocks; circulating/fully diluted supply</w:t>
            </w:r>
          </w:p>
        </w:tc>
      </w:tr>
      <w:tr>
        <w:tc>
          <w:tcPr>
            <w:tcW w:type="dxa" w:w="1728"/>
            <w:tcMar>
              <w:top w:w="80" w:type="dxa"/>
              <w:start w:w="105" w:type="dxa"/>
              <w:bottom w:w="80" w:type="dxa"/>
              <w:end w:w="105" w:type="dxa"/>
            </w:tcMar>
            <w:vAlign w:val="center"/>
            <w:shd w:fill="F4F7F9"/>
          </w:tcPr>
          <w:p>
            <w:pPr>
              <w:spacing w:after="0" w:line="240" w:lineRule="auto"/>
            </w:pPr>
            <w:r>
              <w:rPr>
                <w:color w:val="17242E"/>
                <w:sz w:val="16"/>
              </w:rPr>
              <w:t>Architecture</w:t>
            </w:r>
          </w:p>
        </w:tc>
        <w:tc>
          <w:tcPr>
            <w:tcW w:type="dxa" w:w="3456"/>
            <w:tcMar>
              <w:top w:w="80" w:type="dxa"/>
              <w:start w:w="105" w:type="dxa"/>
              <w:bottom w:w="80" w:type="dxa"/>
              <w:end w:w="105" w:type="dxa"/>
            </w:tcMar>
            <w:vAlign w:val="center"/>
            <w:shd w:fill="F4F7F9"/>
          </w:tcPr>
          <w:p>
            <w:pPr>
              <w:spacing w:after="0" w:line="240" w:lineRule="auto"/>
            </w:pPr>
            <w:r>
              <w:rPr>
                <w:color w:val="17242E"/>
                <w:sz w:val="16"/>
              </w:rPr>
              <w:t>Where and how does it operate?</w:t>
            </w:r>
          </w:p>
        </w:tc>
        <w:tc>
          <w:tcPr>
            <w:tcW w:type="dxa" w:w="4464"/>
            <w:tcMar>
              <w:top w:w="80" w:type="dxa"/>
              <w:start w:w="105" w:type="dxa"/>
              <w:bottom w:w="80" w:type="dxa"/>
              <w:end w:w="105" w:type="dxa"/>
            </w:tcMar>
            <w:vAlign w:val="center"/>
            <w:shd w:fill="F4F7F9"/>
          </w:tcPr>
          <w:p>
            <w:pPr>
              <w:spacing w:after="0" w:line="240" w:lineRule="auto"/>
            </w:pPr>
            <w:r>
              <w:rPr>
                <w:color w:val="17242E"/>
                <w:sz w:val="16"/>
              </w:rPr>
              <w:t>L1/L2/app; consensus; bridges; native vs issued; upgrade control</w:t>
            </w:r>
          </w:p>
        </w:tc>
      </w:tr>
      <w:tr>
        <w:tc>
          <w:tcPr>
            <w:tcW w:type="dxa" w:w="1728"/>
            <w:tcMar>
              <w:top w:w="80" w:type="dxa"/>
              <w:start w:w="105" w:type="dxa"/>
              <w:bottom w:w="80" w:type="dxa"/>
              <w:end w:w="105" w:type="dxa"/>
            </w:tcMar>
            <w:vAlign w:val="center"/>
          </w:tcPr>
          <w:p>
            <w:pPr>
              <w:spacing w:after="0" w:line="240" w:lineRule="auto"/>
            </w:pPr>
            <w:r>
              <w:rPr>
                <w:color w:val="17242E"/>
                <w:sz w:val="16"/>
              </w:rPr>
              <w:t>Rights &amp; claims</w:t>
            </w:r>
          </w:p>
        </w:tc>
        <w:tc>
          <w:tcPr>
            <w:tcW w:type="dxa" w:w="3456"/>
            <w:tcMar>
              <w:top w:w="80" w:type="dxa"/>
              <w:start w:w="105" w:type="dxa"/>
              <w:bottom w:w="80" w:type="dxa"/>
              <w:end w:w="105" w:type="dxa"/>
            </w:tcMar>
            <w:vAlign w:val="center"/>
          </w:tcPr>
          <w:p>
            <w:pPr>
              <w:spacing w:after="0" w:line="240" w:lineRule="auto"/>
            </w:pPr>
            <w:r>
              <w:rPr>
                <w:color w:val="17242E"/>
                <w:sz w:val="16"/>
              </w:rPr>
              <w:t>What is legally or programmatically enforceable?</w:t>
            </w:r>
          </w:p>
        </w:tc>
        <w:tc>
          <w:tcPr>
            <w:tcW w:type="dxa" w:w="4464"/>
            <w:tcMar>
              <w:top w:w="80" w:type="dxa"/>
              <w:start w:w="105" w:type="dxa"/>
              <w:bottom w:w="80" w:type="dxa"/>
              <w:end w:w="105" w:type="dxa"/>
            </w:tcMar>
            <w:vAlign w:val="center"/>
          </w:tcPr>
          <w:p>
            <w:pPr>
              <w:spacing w:after="0" w:line="240" w:lineRule="auto"/>
            </w:pPr>
            <w:r>
              <w:rPr>
                <w:color w:val="17242E"/>
                <w:sz w:val="16"/>
              </w:rPr>
              <w:t>redemption; collateral; cash flow; governance; equity; debt; none</w:t>
            </w:r>
          </w:p>
        </w:tc>
      </w:tr>
      <w:tr>
        <w:tc>
          <w:tcPr>
            <w:tcW w:type="dxa" w:w="1728"/>
            <w:tcMar>
              <w:top w:w="80" w:type="dxa"/>
              <w:start w:w="105" w:type="dxa"/>
              <w:bottom w:w="80" w:type="dxa"/>
              <w:end w:w="105" w:type="dxa"/>
            </w:tcMar>
            <w:vAlign w:val="center"/>
            <w:shd w:fill="F4F7F9"/>
          </w:tcPr>
          <w:p>
            <w:pPr>
              <w:spacing w:after="0" w:line="240" w:lineRule="auto"/>
            </w:pPr>
            <w:r>
              <w:rPr>
                <w:color w:val="17242E"/>
                <w:sz w:val="16"/>
              </w:rPr>
              <w:t>Primary risks</w:t>
            </w:r>
          </w:p>
        </w:tc>
        <w:tc>
          <w:tcPr>
            <w:tcW w:type="dxa" w:w="3456"/>
            <w:tcMar>
              <w:top w:w="80" w:type="dxa"/>
              <w:start w:w="105" w:type="dxa"/>
              <w:bottom w:w="80" w:type="dxa"/>
              <w:end w:w="105" w:type="dxa"/>
            </w:tcMar>
            <w:vAlign w:val="center"/>
            <w:shd w:fill="F4F7F9"/>
          </w:tcPr>
          <w:p>
            <w:pPr>
              <w:spacing w:after="0" w:line="240" w:lineRule="auto"/>
            </w:pPr>
            <w:r>
              <w:rPr>
                <w:color w:val="17242E"/>
                <w:sz w:val="16"/>
              </w:rPr>
              <w:t>What breaks value or convertibility?</w:t>
            </w:r>
          </w:p>
        </w:tc>
        <w:tc>
          <w:tcPr>
            <w:tcW w:type="dxa" w:w="4464"/>
            <w:tcMar>
              <w:top w:w="80" w:type="dxa"/>
              <w:start w:w="105" w:type="dxa"/>
              <w:bottom w:w="80" w:type="dxa"/>
              <w:end w:w="105" w:type="dxa"/>
            </w:tcMar>
            <w:vAlign w:val="center"/>
            <w:shd w:fill="F4F7F9"/>
          </w:tcPr>
          <w:p>
            <w:pPr>
              <w:spacing w:after="0" w:line="240" w:lineRule="auto"/>
            </w:pPr>
            <w:r>
              <w:rPr>
                <w:color w:val="17242E"/>
                <w:sz w:val="16"/>
              </w:rPr>
              <w:t>market; liquidity; credit; counterparty; smart contract; governance; regulatory</w:t>
            </w:r>
          </w:p>
        </w:tc>
      </w:tr>
    </w:tbl>
    <w:p>
      <w:pPr>
        <w:spacing w:after="20"/>
      </w:pPr>
    </w:p>
    <w:p>
      <w:pPr>
        <w:pStyle w:val="Heading2"/>
      </w:pPr>
      <w:r>
        <w:rPr>
          <w:b w:val="0"/>
          <w:i w:val="0"/>
        </w:rPr>
        <w:t>Primary economic functions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72"/>
            <w:shd w:fill="183A5A"/>
            <w:tcMar>
              <w:top w:w="80" w:type="dxa"/>
              <w:start w:w="105" w:type="dxa"/>
              <w:bottom w:w="80" w:type="dxa"/>
              <w:end w:w="105" w:type="dxa"/>
            </w:tcMar>
            <w:vAlign w:val="center"/>
          </w:tcPr>
          <w:p>
            <w:pPr>
              <w:spacing w:after="0"/>
            </w:pPr>
            <w:r>
              <w:rPr>
                <w:b/>
                <w:color w:val="FFFFFF"/>
                <w:sz w:val="16"/>
              </w:rPr>
              <w:t>Function</w:t>
            </w:r>
          </w:p>
        </w:tc>
        <w:tc>
          <w:tcPr>
            <w:tcW w:type="dxa" w:w="4320"/>
            <w:shd w:fill="183A5A"/>
            <w:tcMar>
              <w:top w:w="80" w:type="dxa"/>
              <w:start w:w="105" w:type="dxa"/>
              <w:bottom w:w="80" w:type="dxa"/>
              <w:end w:w="105" w:type="dxa"/>
            </w:tcMar>
            <w:vAlign w:val="center"/>
          </w:tcPr>
          <w:p>
            <w:pPr>
              <w:spacing w:after="0"/>
            </w:pPr>
            <w:r>
              <w:rPr>
                <w:b/>
                <w:color w:val="FFFFFF"/>
                <w:sz w:val="16"/>
              </w:rPr>
              <w:t>Description</w:t>
            </w:r>
          </w:p>
        </w:tc>
        <w:tc>
          <w:tcPr>
            <w:tcW w:type="dxa" w:w="3456"/>
            <w:shd w:fill="183A5A"/>
            <w:tcMar>
              <w:top w:w="80" w:type="dxa"/>
              <w:start w:w="105" w:type="dxa"/>
              <w:bottom w:w="80" w:type="dxa"/>
              <w:end w:w="105" w:type="dxa"/>
            </w:tcMar>
            <w:vAlign w:val="center"/>
          </w:tcPr>
          <w:p>
            <w:pPr>
              <w:spacing w:after="0"/>
            </w:pPr>
            <w:r>
              <w:rPr>
                <w:b/>
                <w:color w:val="FFFFFF"/>
                <w:sz w:val="16"/>
              </w:rPr>
              <w:t>Examples / analogues</w:t>
            </w:r>
          </w:p>
        </w:tc>
      </w:tr>
      <w:tr>
        <w:tc>
          <w:tcPr>
            <w:tcW w:type="dxa" w:w="1872"/>
            <w:tcMar>
              <w:top w:w="80" w:type="dxa"/>
              <w:start w:w="105" w:type="dxa"/>
              <w:bottom w:w="80" w:type="dxa"/>
              <w:end w:w="105" w:type="dxa"/>
            </w:tcMar>
            <w:vAlign w:val="center"/>
          </w:tcPr>
          <w:p>
            <w:pPr>
              <w:spacing w:after="0" w:line="240" w:lineRule="auto"/>
            </w:pPr>
            <w:r>
              <w:rPr>
                <w:color w:val="17242E"/>
                <w:sz w:val="16"/>
              </w:rPr>
              <w:t>Money / settlement</w:t>
            </w:r>
          </w:p>
        </w:tc>
        <w:tc>
          <w:tcPr>
            <w:tcW w:type="dxa" w:w="4320"/>
            <w:tcMar>
              <w:top w:w="80" w:type="dxa"/>
              <w:start w:w="105" w:type="dxa"/>
              <w:bottom w:w="80" w:type="dxa"/>
              <w:end w:w="105" w:type="dxa"/>
            </w:tcMar>
            <w:vAlign w:val="center"/>
          </w:tcPr>
          <w:p>
            <w:pPr>
              <w:spacing w:after="0" w:line="240" w:lineRule="auto"/>
            </w:pPr>
            <w:r>
              <w:rPr>
                <w:color w:val="17242E"/>
                <w:sz w:val="16"/>
              </w:rPr>
              <w:t>Transfer, unit of account within a system, liquidity bridge, or store of value</w:t>
            </w:r>
          </w:p>
        </w:tc>
        <w:tc>
          <w:tcPr>
            <w:tcW w:type="dxa" w:w="3456"/>
            <w:tcMar>
              <w:top w:w="80" w:type="dxa"/>
              <w:start w:w="105" w:type="dxa"/>
              <w:bottom w:w="80" w:type="dxa"/>
              <w:end w:w="105" w:type="dxa"/>
            </w:tcMar>
            <w:vAlign w:val="center"/>
          </w:tcPr>
          <w:p>
            <w:pPr>
              <w:spacing w:after="0" w:line="240" w:lineRule="auto"/>
            </w:pPr>
            <w:r>
              <w:rPr>
                <w:color w:val="17242E"/>
                <w:sz w:val="16"/>
              </w:rPr>
              <w:t>BTC, USDC, USDT / currency or monetary asset</w:t>
            </w:r>
          </w:p>
        </w:tc>
      </w:tr>
      <w:tr>
        <w:tc>
          <w:tcPr>
            <w:tcW w:type="dxa" w:w="1872"/>
            <w:tcMar>
              <w:top w:w="80" w:type="dxa"/>
              <w:start w:w="105" w:type="dxa"/>
              <w:bottom w:w="80" w:type="dxa"/>
              <w:end w:w="105" w:type="dxa"/>
            </w:tcMar>
            <w:vAlign w:val="center"/>
            <w:shd w:fill="F4F7F9"/>
          </w:tcPr>
          <w:p>
            <w:pPr>
              <w:spacing w:after="0" w:line="240" w:lineRule="auto"/>
            </w:pPr>
            <w:r>
              <w:rPr>
                <w:color w:val="17242E"/>
                <w:sz w:val="16"/>
              </w:rPr>
              <w:t>Network infrastructure</w:t>
            </w:r>
          </w:p>
        </w:tc>
        <w:tc>
          <w:tcPr>
            <w:tcW w:type="dxa" w:w="4320"/>
            <w:tcMar>
              <w:top w:w="80" w:type="dxa"/>
              <w:start w:w="105" w:type="dxa"/>
              <w:bottom w:w="80" w:type="dxa"/>
              <w:end w:w="105" w:type="dxa"/>
            </w:tcMar>
            <w:vAlign w:val="center"/>
            <w:shd w:fill="F4F7F9"/>
          </w:tcPr>
          <w:p>
            <w:pPr>
              <w:spacing w:after="0" w:line="240" w:lineRule="auto"/>
            </w:pPr>
            <w:r>
              <w:rPr>
                <w:color w:val="17242E"/>
                <w:sz w:val="16"/>
              </w:rPr>
              <w:t>Pays for blockspace/computation and/or secures consensus</w:t>
            </w:r>
          </w:p>
        </w:tc>
        <w:tc>
          <w:tcPr>
            <w:tcW w:type="dxa" w:w="3456"/>
            <w:tcMar>
              <w:top w:w="80" w:type="dxa"/>
              <w:start w:w="105" w:type="dxa"/>
              <w:bottom w:w="80" w:type="dxa"/>
              <w:end w:w="105" w:type="dxa"/>
            </w:tcMar>
            <w:vAlign w:val="center"/>
            <w:shd w:fill="F4F7F9"/>
          </w:tcPr>
          <w:p>
            <w:pPr>
              <w:spacing w:after="0" w:line="240" w:lineRule="auto"/>
            </w:pPr>
            <w:r>
              <w:rPr>
                <w:color w:val="17242E"/>
                <w:sz w:val="16"/>
              </w:rPr>
              <w:t>ETH, SOL, AVAX / infrastructure plus commodity</w:t>
            </w:r>
          </w:p>
        </w:tc>
      </w:tr>
      <w:tr>
        <w:tc>
          <w:tcPr>
            <w:tcW w:type="dxa" w:w="1872"/>
            <w:tcMar>
              <w:top w:w="80" w:type="dxa"/>
              <w:start w:w="105" w:type="dxa"/>
              <w:bottom w:w="80" w:type="dxa"/>
              <w:end w:w="105" w:type="dxa"/>
            </w:tcMar>
            <w:vAlign w:val="center"/>
          </w:tcPr>
          <w:p>
            <w:pPr>
              <w:spacing w:after="0" w:line="240" w:lineRule="auto"/>
            </w:pPr>
            <w:r>
              <w:rPr>
                <w:color w:val="17242E"/>
                <w:sz w:val="16"/>
              </w:rPr>
              <w:t>Financial intermediation</w:t>
            </w:r>
          </w:p>
        </w:tc>
        <w:tc>
          <w:tcPr>
            <w:tcW w:type="dxa" w:w="4320"/>
            <w:tcMar>
              <w:top w:w="80" w:type="dxa"/>
              <w:start w:w="105" w:type="dxa"/>
              <w:bottom w:w="80" w:type="dxa"/>
              <w:end w:w="105" w:type="dxa"/>
            </w:tcMar>
            <w:vAlign w:val="center"/>
          </w:tcPr>
          <w:p>
            <w:pPr>
              <w:spacing w:after="0" w:line="240" w:lineRule="auto"/>
            </w:pPr>
            <w:r>
              <w:rPr>
                <w:color w:val="17242E"/>
                <w:sz w:val="16"/>
              </w:rPr>
              <w:t>Coordinates lending, trading, liquidity, or risk transfer</w:t>
            </w:r>
          </w:p>
        </w:tc>
        <w:tc>
          <w:tcPr>
            <w:tcW w:type="dxa" w:w="3456"/>
            <w:tcMar>
              <w:top w:w="80" w:type="dxa"/>
              <w:start w:w="105" w:type="dxa"/>
              <w:bottom w:w="80" w:type="dxa"/>
              <w:end w:w="105" w:type="dxa"/>
            </w:tcMar>
            <w:vAlign w:val="center"/>
          </w:tcPr>
          <w:p>
            <w:pPr>
              <w:spacing w:after="0" w:line="240" w:lineRule="auto"/>
            </w:pPr>
            <w:r>
              <w:rPr>
                <w:color w:val="17242E"/>
                <w:sz w:val="16"/>
              </w:rPr>
              <w:t>AAVE, UNI, CRV / financial service</w:t>
            </w:r>
          </w:p>
        </w:tc>
      </w:tr>
      <w:tr>
        <w:tc>
          <w:tcPr>
            <w:tcW w:type="dxa" w:w="1872"/>
            <w:tcMar>
              <w:top w:w="80" w:type="dxa"/>
              <w:start w:w="105" w:type="dxa"/>
              <w:bottom w:w="80" w:type="dxa"/>
              <w:end w:w="105" w:type="dxa"/>
            </w:tcMar>
            <w:vAlign w:val="center"/>
            <w:shd w:fill="F4F7F9"/>
          </w:tcPr>
          <w:p>
            <w:pPr>
              <w:spacing w:after="0" w:line="240" w:lineRule="auto"/>
            </w:pPr>
            <w:r>
              <w:rPr>
                <w:color w:val="17242E"/>
                <w:sz w:val="16"/>
              </w:rPr>
              <w:t>Governance</w:t>
            </w:r>
          </w:p>
        </w:tc>
        <w:tc>
          <w:tcPr>
            <w:tcW w:type="dxa" w:w="4320"/>
            <w:tcMar>
              <w:top w:w="80" w:type="dxa"/>
              <w:start w:w="105" w:type="dxa"/>
              <w:bottom w:w="80" w:type="dxa"/>
              <w:end w:w="105" w:type="dxa"/>
            </w:tcMar>
            <w:vAlign w:val="center"/>
            <w:shd w:fill="F4F7F9"/>
          </w:tcPr>
          <w:p>
            <w:pPr>
              <w:spacing w:after="0" w:line="240" w:lineRule="auto"/>
            </w:pPr>
            <w:r>
              <w:rPr>
                <w:color w:val="17242E"/>
                <w:sz w:val="16"/>
              </w:rPr>
              <w:t>Controls protocol parameters, treasury, upgrades, or delegates</w:t>
            </w:r>
          </w:p>
        </w:tc>
        <w:tc>
          <w:tcPr>
            <w:tcW w:type="dxa" w:w="3456"/>
            <w:tcMar>
              <w:top w:w="80" w:type="dxa"/>
              <w:start w:w="105" w:type="dxa"/>
              <w:bottom w:w="80" w:type="dxa"/>
              <w:end w:w="105" w:type="dxa"/>
            </w:tcMar>
            <w:vAlign w:val="center"/>
            <w:shd w:fill="F4F7F9"/>
          </w:tcPr>
          <w:p>
            <w:pPr>
              <w:spacing w:after="0" w:line="240" w:lineRule="auto"/>
            </w:pPr>
            <w:r>
              <w:rPr>
                <w:color w:val="17242E"/>
                <w:sz w:val="16"/>
              </w:rPr>
              <w:t>UNI, ARB, SKY / voting or control right</w:t>
            </w:r>
          </w:p>
        </w:tc>
      </w:tr>
      <w:tr>
        <w:tc>
          <w:tcPr>
            <w:tcW w:type="dxa" w:w="1872"/>
            <w:tcMar>
              <w:top w:w="80" w:type="dxa"/>
              <w:start w:w="105" w:type="dxa"/>
              <w:bottom w:w="80" w:type="dxa"/>
              <w:end w:w="105" w:type="dxa"/>
            </w:tcMar>
            <w:vAlign w:val="center"/>
          </w:tcPr>
          <w:p>
            <w:pPr>
              <w:spacing w:after="0" w:line="240" w:lineRule="auto"/>
            </w:pPr>
            <w:r>
              <w:rPr>
                <w:color w:val="17242E"/>
                <w:sz w:val="16"/>
              </w:rPr>
              <w:t>Utility / access</w:t>
            </w:r>
          </w:p>
        </w:tc>
        <w:tc>
          <w:tcPr>
            <w:tcW w:type="dxa" w:w="4320"/>
            <w:tcMar>
              <w:top w:w="80" w:type="dxa"/>
              <w:start w:w="105" w:type="dxa"/>
              <w:bottom w:w="80" w:type="dxa"/>
              <w:end w:w="105" w:type="dxa"/>
            </w:tcMar>
            <w:vAlign w:val="center"/>
          </w:tcPr>
          <w:p>
            <w:pPr>
              <w:spacing w:after="0" w:line="240" w:lineRule="auto"/>
            </w:pPr>
            <w:r>
              <w:rPr>
                <w:color w:val="17242E"/>
                <w:sz w:val="16"/>
              </w:rPr>
              <w:t>Required to consume an identifiable service</w:t>
            </w:r>
          </w:p>
        </w:tc>
        <w:tc>
          <w:tcPr>
            <w:tcW w:type="dxa" w:w="3456"/>
            <w:tcMar>
              <w:top w:w="80" w:type="dxa"/>
              <w:start w:w="105" w:type="dxa"/>
              <w:bottom w:w="80" w:type="dxa"/>
              <w:end w:w="105" w:type="dxa"/>
            </w:tcMar>
            <w:vAlign w:val="center"/>
          </w:tcPr>
          <w:p>
            <w:pPr>
              <w:spacing w:after="0" w:line="240" w:lineRule="auto"/>
            </w:pPr>
            <w:r>
              <w:rPr>
                <w:color w:val="17242E"/>
                <w:sz w:val="16"/>
              </w:rPr>
              <w:t>LINK, FIL / service credit or commodity</w:t>
            </w:r>
          </w:p>
        </w:tc>
      </w:tr>
      <w:tr>
        <w:tc>
          <w:tcPr>
            <w:tcW w:type="dxa" w:w="1872"/>
            <w:tcMar>
              <w:top w:w="80" w:type="dxa"/>
              <w:start w:w="105" w:type="dxa"/>
              <w:bottom w:w="80" w:type="dxa"/>
              <w:end w:w="105" w:type="dxa"/>
            </w:tcMar>
            <w:vAlign w:val="center"/>
            <w:shd w:fill="F4F7F9"/>
          </w:tcPr>
          <w:p>
            <w:pPr>
              <w:spacing w:after="0" w:line="240" w:lineRule="auto"/>
            </w:pPr>
            <w:r>
              <w:rPr>
                <w:color w:val="17242E"/>
                <w:sz w:val="16"/>
              </w:rPr>
              <w:t>Investment / claim</w:t>
            </w:r>
          </w:p>
        </w:tc>
        <w:tc>
          <w:tcPr>
            <w:tcW w:type="dxa" w:w="4320"/>
            <w:tcMar>
              <w:top w:w="80" w:type="dxa"/>
              <w:start w:w="105" w:type="dxa"/>
              <w:bottom w:w="80" w:type="dxa"/>
              <w:end w:w="105" w:type="dxa"/>
            </w:tcMar>
            <w:vAlign w:val="center"/>
            <w:shd w:fill="F4F7F9"/>
          </w:tcPr>
          <w:p>
            <w:pPr>
              <w:spacing w:after="0" w:line="240" w:lineRule="auto"/>
            </w:pPr>
            <w:r>
              <w:rPr>
                <w:color w:val="17242E"/>
                <w:sz w:val="16"/>
              </w:rPr>
              <w:t>Represents contractual financial or economic rights</w:t>
            </w:r>
          </w:p>
        </w:tc>
        <w:tc>
          <w:tcPr>
            <w:tcW w:type="dxa" w:w="3456"/>
            <w:tcMar>
              <w:top w:w="80" w:type="dxa"/>
              <w:start w:w="105" w:type="dxa"/>
              <w:bottom w:w="80" w:type="dxa"/>
              <w:end w:w="105" w:type="dxa"/>
            </w:tcMar>
            <w:vAlign w:val="center"/>
            <w:shd w:fill="F4F7F9"/>
          </w:tcPr>
          <w:p>
            <w:pPr>
              <w:spacing w:after="0" w:line="240" w:lineRule="auto"/>
            </w:pPr>
            <w:r>
              <w:rPr>
                <w:color w:val="17242E"/>
                <w:sz w:val="16"/>
              </w:rPr>
              <w:t>tokenized debt/equity, redeemable stablecoins / security or deposit-like claim</w:t>
            </w:r>
          </w:p>
        </w:tc>
      </w:tr>
    </w:tbl>
    <w:p>
      <w:pPr>
        <w:spacing w:after="20"/>
      </w:pPr>
    </w:p>
    <w:p>
      <w:pPr>
        <w:pStyle w:val="Heading1"/>
      </w:pPr>
      <w:r>
        <w:rPr>
          <w:b w:val="0"/>
          <w:i w:val="0"/>
        </w:rPr>
        <w:t>3. Stablecoin and cryptoasset categories</w:t>
      </w:r>
    </w:p>
    <w:p>
      <w:pPr>
        <w:pStyle w:val="Heading2"/>
      </w:pPr>
      <w:r>
        <w:rPr>
          <w:b w:val="0"/>
          <w:i w:val="0"/>
        </w:rPr>
        <w:t>Stablecoin structural classes</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648"/>
            <w:shd w:fill="183A5A"/>
            <w:tcMar>
              <w:top w:w="80" w:type="dxa"/>
              <w:start w:w="105" w:type="dxa"/>
              <w:bottom w:w="80" w:type="dxa"/>
              <w:end w:w="105" w:type="dxa"/>
            </w:tcMar>
            <w:vAlign w:val="center"/>
          </w:tcPr>
          <w:p>
            <w:pPr>
              <w:spacing w:after="0"/>
            </w:pPr>
            <w:r>
              <w:rPr>
                <w:b/>
                <w:color w:val="FFFFFF"/>
                <w:sz w:val="15"/>
              </w:rPr>
              <w:t>Code</w:t>
            </w:r>
          </w:p>
        </w:tc>
        <w:tc>
          <w:tcPr>
            <w:tcW w:type="dxa" w:w="1656"/>
            <w:shd w:fill="183A5A"/>
            <w:tcMar>
              <w:top w:w="80" w:type="dxa"/>
              <w:start w:w="105" w:type="dxa"/>
              <w:bottom w:w="80" w:type="dxa"/>
              <w:end w:w="105" w:type="dxa"/>
            </w:tcMar>
            <w:vAlign w:val="center"/>
          </w:tcPr>
          <w:p>
            <w:pPr>
              <w:spacing w:after="0"/>
            </w:pPr>
            <w:r>
              <w:rPr>
                <w:b/>
                <w:color w:val="FFFFFF"/>
                <w:sz w:val="15"/>
              </w:rPr>
              <w:t>Class</w:t>
            </w:r>
          </w:p>
        </w:tc>
        <w:tc>
          <w:tcPr>
            <w:tcW w:type="dxa" w:w="3240"/>
            <w:shd w:fill="183A5A"/>
            <w:tcMar>
              <w:top w:w="80" w:type="dxa"/>
              <w:start w:w="105" w:type="dxa"/>
              <w:bottom w:w="80" w:type="dxa"/>
              <w:end w:w="105" w:type="dxa"/>
            </w:tcMar>
            <w:vAlign w:val="center"/>
          </w:tcPr>
          <w:p>
            <w:pPr>
              <w:spacing w:after="0"/>
            </w:pPr>
            <w:r>
              <w:rPr>
                <w:b/>
                <w:color w:val="FFFFFF"/>
                <w:sz w:val="15"/>
              </w:rPr>
              <w:t>Stabilization mechanism</w:t>
            </w:r>
          </w:p>
        </w:tc>
        <w:tc>
          <w:tcPr>
            <w:tcW w:type="dxa" w:w="1656"/>
            <w:shd w:fill="183A5A"/>
            <w:tcMar>
              <w:top w:w="80" w:type="dxa"/>
              <w:start w:w="105" w:type="dxa"/>
              <w:bottom w:w="80" w:type="dxa"/>
              <w:end w:w="105" w:type="dxa"/>
            </w:tcMar>
            <w:vAlign w:val="center"/>
          </w:tcPr>
          <w:p>
            <w:pPr>
              <w:spacing w:after="0"/>
            </w:pPr>
            <w:r>
              <w:rPr>
                <w:b/>
                <w:color w:val="FFFFFF"/>
                <w:sz w:val="15"/>
              </w:rPr>
              <w:t>Illustrative assets</w:t>
            </w:r>
          </w:p>
        </w:tc>
        <w:tc>
          <w:tcPr>
            <w:tcW w:type="dxa" w:w="2520"/>
            <w:shd w:fill="183A5A"/>
            <w:tcMar>
              <w:top w:w="80" w:type="dxa"/>
              <w:start w:w="105" w:type="dxa"/>
              <w:bottom w:w="80" w:type="dxa"/>
              <w:end w:w="105" w:type="dxa"/>
            </w:tcMar>
            <w:vAlign w:val="center"/>
          </w:tcPr>
          <w:p>
            <w:pPr>
              <w:spacing w:after="0"/>
            </w:pPr>
            <w:r>
              <w:rPr>
                <w:b/>
                <w:color w:val="FFFFFF"/>
                <w:sz w:val="15"/>
              </w:rPr>
              <w:t>Dominant risks</w:t>
            </w:r>
          </w:p>
        </w:tc>
      </w:tr>
      <w:tr>
        <w:tc>
          <w:tcPr>
            <w:tcW w:type="dxa" w:w="648"/>
            <w:tcMar>
              <w:top w:w="80" w:type="dxa"/>
              <w:start w:w="105" w:type="dxa"/>
              <w:bottom w:w="80" w:type="dxa"/>
              <w:end w:w="105" w:type="dxa"/>
            </w:tcMar>
            <w:vAlign w:val="center"/>
          </w:tcPr>
          <w:p>
            <w:pPr>
              <w:spacing w:after="0" w:line="240" w:lineRule="auto"/>
            </w:pPr>
            <w:r>
              <w:rPr>
                <w:color w:val="17242E"/>
                <w:sz w:val="15"/>
              </w:rPr>
              <w:t>S1</w:t>
            </w:r>
          </w:p>
        </w:tc>
        <w:tc>
          <w:tcPr>
            <w:tcW w:type="dxa" w:w="1656"/>
            <w:tcMar>
              <w:top w:w="80" w:type="dxa"/>
              <w:start w:w="105" w:type="dxa"/>
              <w:bottom w:w="80" w:type="dxa"/>
              <w:end w:w="105" w:type="dxa"/>
            </w:tcMar>
            <w:vAlign w:val="center"/>
          </w:tcPr>
          <w:p>
            <w:pPr>
              <w:spacing w:after="0" w:line="240" w:lineRule="auto"/>
            </w:pPr>
            <w:r>
              <w:rPr>
                <w:color w:val="17242E"/>
                <w:sz w:val="15"/>
              </w:rPr>
              <w:t>Fiat/reserve-backed</w:t>
            </w:r>
          </w:p>
        </w:tc>
        <w:tc>
          <w:tcPr>
            <w:tcW w:type="dxa" w:w="3240"/>
            <w:tcMar>
              <w:top w:w="80" w:type="dxa"/>
              <w:start w:w="105" w:type="dxa"/>
              <w:bottom w:w="80" w:type="dxa"/>
              <w:end w:w="105" w:type="dxa"/>
            </w:tcMar>
            <w:vAlign w:val="center"/>
          </w:tcPr>
          <w:p>
            <w:pPr>
              <w:spacing w:after="0" w:line="240" w:lineRule="auto"/>
            </w:pPr>
            <w:r>
              <w:rPr>
                <w:color w:val="17242E"/>
                <w:sz w:val="15"/>
              </w:rPr>
              <w:t>Issuer holds off-chain reserves and offers primary-market issuance/redemption</w:t>
            </w:r>
          </w:p>
        </w:tc>
        <w:tc>
          <w:tcPr>
            <w:tcW w:type="dxa" w:w="1656"/>
            <w:tcMar>
              <w:top w:w="80" w:type="dxa"/>
              <w:start w:w="105" w:type="dxa"/>
              <w:bottom w:w="80" w:type="dxa"/>
              <w:end w:w="105" w:type="dxa"/>
            </w:tcMar>
            <w:vAlign w:val="center"/>
          </w:tcPr>
          <w:p>
            <w:pPr>
              <w:spacing w:after="0" w:line="240" w:lineRule="auto"/>
            </w:pPr>
            <w:r>
              <w:rPr>
                <w:color w:val="17242E"/>
                <w:sz w:val="15"/>
              </w:rPr>
              <w:t>USDC, USDT, PYUSD, FDUSD, RLUSD</w:t>
            </w:r>
          </w:p>
        </w:tc>
        <w:tc>
          <w:tcPr>
            <w:tcW w:type="dxa" w:w="2520"/>
            <w:tcMar>
              <w:top w:w="80" w:type="dxa"/>
              <w:start w:w="105" w:type="dxa"/>
              <w:bottom w:w="80" w:type="dxa"/>
              <w:end w:w="105" w:type="dxa"/>
            </w:tcMar>
            <w:vAlign w:val="center"/>
          </w:tcPr>
          <w:p>
            <w:pPr>
              <w:spacing w:after="0" w:line="240" w:lineRule="auto"/>
            </w:pPr>
            <w:r>
              <w:rPr>
                <w:color w:val="17242E"/>
                <w:sz w:val="15"/>
              </w:rPr>
              <w:t>reserve credit/liquidity, custody, issuer, legal claim, redemption friction</w:t>
            </w:r>
          </w:p>
        </w:tc>
      </w:tr>
      <w:tr>
        <w:tc>
          <w:tcPr>
            <w:tcW w:type="dxa" w:w="648"/>
            <w:tcMar>
              <w:top w:w="80" w:type="dxa"/>
              <w:start w:w="105" w:type="dxa"/>
              <w:bottom w:w="80" w:type="dxa"/>
              <w:end w:w="105" w:type="dxa"/>
            </w:tcMar>
            <w:vAlign w:val="center"/>
            <w:shd w:fill="F4F7F9"/>
          </w:tcPr>
          <w:p>
            <w:pPr>
              <w:spacing w:after="0" w:line="240" w:lineRule="auto"/>
            </w:pPr>
            <w:r>
              <w:rPr>
                <w:color w:val="17242E"/>
                <w:sz w:val="15"/>
              </w:rPr>
              <w:t>S2</w:t>
            </w:r>
          </w:p>
        </w:tc>
        <w:tc>
          <w:tcPr>
            <w:tcW w:type="dxa" w:w="1656"/>
            <w:tcMar>
              <w:top w:w="80" w:type="dxa"/>
              <w:start w:w="105" w:type="dxa"/>
              <w:bottom w:w="80" w:type="dxa"/>
              <w:end w:w="105" w:type="dxa"/>
            </w:tcMar>
            <w:vAlign w:val="center"/>
            <w:shd w:fill="F4F7F9"/>
          </w:tcPr>
          <w:p>
            <w:pPr>
              <w:spacing w:after="0" w:line="240" w:lineRule="auto"/>
            </w:pPr>
            <w:r>
              <w:rPr>
                <w:color w:val="17242E"/>
                <w:sz w:val="15"/>
              </w:rPr>
              <w:t>Crypto-overcollateralized</w:t>
            </w:r>
          </w:p>
        </w:tc>
        <w:tc>
          <w:tcPr>
            <w:tcW w:type="dxa" w:w="3240"/>
            <w:tcMar>
              <w:top w:w="80" w:type="dxa"/>
              <w:start w:w="105" w:type="dxa"/>
              <w:bottom w:w="80" w:type="dxa"/>
              <w:end w:w="105" w:type="dxa"/>
            </w:tcMar>
            <w:vAlign w:val="center"/>
            <w:shd w:fill="F4F7F9"/>
          </w:tcPr>
          <w:p>
            <w:pPr>
              <w:spacing w:after="0" w:line="240" w:lineRule="auto"/>
            </w:pPr>
            <w:r>
              <w:rPr>
                <w:color w:val="17242E"/>
                <w:sz w:val="15"/>
              </w:rPr>
              <w:t>On-chain collateral above liabilities; liquidation and peg facilities</w:t>
            </w:r>
          </w:p>
        </w:tc>
        <w:tc>
          <w:tcPr>
            <w:tcW w:type="dxa" w:w="1656"/>
            <w:tcMar>
              <w:top w:w="80" w:type="dxa"/>
              <w:start w:w="105" w:type="dxa"/>
              <w:bottom w:w="80" w:type="dxa"/>
              <w:end w:w="105" w:type="dxa"/>
            </w:tcMar>
            <w:vAlign w:val="center"/>
            <w:shd w:fill="F4F7F9"/>
          </w:tcPr>
          <w:p>
            <w:pPr>
              <w:spacing w:after="0" w:line="240" w:lineRule="auto"/>
            </w:pPr>
            <w:r>
              <w:rPr>
                <w:color w:val="17242E"/>
                <w:sz w:val="15"/>
              </w:rPr>
              <w:t>USDS, GHO</w:t>
            </w:r>
          </w:p>
        </w:tc>
        <w:tc>
          <w:tcPr>
            <w:tcW w:type="dxa" w:w="2520"/>
            <w:tcMar>
              <w:top w:w="80" w:type="dxa"/>
              <w:start w:w="105" w:type="dxa"/>
              <w:bottom w:w="80" w:type="dxa"/>
              <w:end w:w="105" w:type="dxa"/>
            </w:tcMar>
            <w:vAlign w:val="center"/>
            <w:shd w:fill="F4F7F9"/>
          </w:tcPr>
          <w:p>
            <w:pPr>
              <w:spacing w:after="0" w:line="240" w:lineRule="auto"/>
            </w:pPr>
            <w:r>
              <w:rPr>
                <w:color w:val="17242E"/>
                <w:sz w:val="15"/>
              </w:rPr>
              <w:t>collateral gap, oracle, liquidation, governance, smart contract</w:t>
            </w:r>
          </w:p>
        </w:tc>
      </w:tr>
      <w:tr>
        <w:tc>
          <w:tcPr>
            <w:tcW w:type="dxa" w:w="648"/>
            <w:tcMar>
              <w:top w:w="80" w:type="dxa"/>
              <w:start w:w="105" w:type="dxa"/>
              <w:bottom w:w="80" w:type="dxa"/>
              <w:end w:w="105" w:type="dxa"/>
            </w:tcMar>
            <w:vAlign w:val="center"/>
          </w:tcPr>
          <w:p>
            <w:pPr>
              <w:spacing w:after="0" w:line="240" w:lineRule="auto"/>
            </w:pPr>
            <w:r>
              <w:rPr>
                <w:color w:val="17242E"/>
                <w:sz w:val="15"/>
              </w:rPr>
              <w:t>S3</w:t>
            </w:r>
          </w:p>
        </w:tc>
        <w:tc>
          <w:tcPr>
            <w:tcW w:type="dxa" w:w="1656"/>
            <w:tcMar>
              <w:top w:w="80" w:type="dxa"/>
              <w:start w:w="105" w:type="dxa"/>
              <w:bottom w:w="80" w:type="dxa"/>
              <w:end w:w="105" w:type="dxa"/>
            </w:tcMar>
            <w:vAlign w:val="center"/>
          </w:tcPr>
          <w:p>
            <w:pPr>
              <w:spacing w:after="0" w:line="240" w:lineRule="auto"/>
            </w:pPr>
            <w:r>
              <w:rPr>
                <w:color w:val="17242E"/>
                <w:sz w:val="15"/>
              </w:rPr>
              <w:t>Synthetic / hedged</w:t>
            </w:r>
          </w:p>
        </w:tc>
        <w:tc>
          <w:tcPr>
            <w:tcW w:type="dxa" w:w="3240"/>
            <w:tcMar>
              <w:top w:w="80" w:type="dxa"/>
              <w:start w:w="105" w:type="dxa"/>
              <w:bottom w:w="80" w:type="dxa"/>
              <w:end w:w="105" w:type="dxa"/>
            </w:tcMar>
            <w:vAlign w:val="center"/>
          </w:tcPr>
          <w:p>
            <w:pPr>
              <w:spacing w:after="0" w:line="240" w:lineRule="auto"/>
            </w:pPr>
            <w:r>
              <w:rPr>
                <w:color w:val="17242E"/>
                <w:sz w:val="15"/>
              </w:rPr>
              <w:t>Long backing plus offsetting derivatives or other hedge</w:t>
            </w:r>
          </w:p>
        </w:tc>
        <w:tc>
          <w:tcPr>
            <w:tcW w:type="dxa" w:w="1656"/>
            <w:tcMar>
              <w:top w:w="80" w:type="dxa"/>
              <w:start w:w="105" w:type="dxa"/>
              <w:bottom w:w="80" w:type="dxa"/>
              <w:end w:w="105" w:type="dxa"/>
            </w:tcMar>
            <w:vAlign w:val="center"/>
          </w:tcPr>
          <w:p>
            <w:pPr>
              <w:spacing w:after="0" w:line="240" w:lineRule="auto"/>
            </w:pPr>
            <w:r>
              <w:rPr>
                <w:color w:val="17242E"/>
                <w:sz w:val="15"/>
              </w:rPr>
              <w:t>USDe</w:t>
            </w:r>
          </w:p>
        </w:tc>
        <w:tc>
          <w:tcPr>
            <w:tcW w:type="dxa" w:w="2520"/>
            <w:tcMar>
              <w:top w:w="80" w:type="dxa"/>
              <w:start w:w="105" w:type="dxa"/>
              <w:bottom w:w="80" w:type="dxa"/>
              <w:end w:w="105" w:type="dxa"/>
            </w:tcMar>
            <w:vAlign w:val="center"/>
          </w:tcPr>
          <w:p>
            <w:pPr>
              <w:spacing w:after="0" w:line="240" w:lineRule="auto"/>
            </w:pPr>
            <w:r>
              <w:rPr>
                <w:color w:val="17242E"/>
                <w:sz w:val="15"/>
              </w:rPr>
              <w:t>basis/funding, exchange/custodian, hedge slippage, liquidity</w:t>
            </w:r>
          </w:p>
        </w:tc>
      </w:tr>
      <w:tr>
        <w:tc>
          <w:tcPr>
            <w:tcW w:type="dxa" w:w="648"/>
            <w:tcMar>
              <w:top w:w="80" w:type="dxa"/>
              <w:start w:w="105" w:type="dxa"/>
              <w:bottom w:w="80" w:type="dxa"/>
              <w:end w:w="105" w:type="dxa"/>
            </w:tcMar>
            <w:vAlign w:val="center"/>
            <w:shd w:fill="F4F7F9"/>
          </w:tcPr>
          <w:p>
            <w:pPr>
              <w:spacing w:after="0" w:line="240" w:lineRule="auto"/>
            </w:pPr>
            <w:r>
              <w:rPr>
                <w:color w:val="17242E"/>
                <w:sz w:val="15"/>
              </w:rPr>
              <w:t>S4</w:t>
            </w:r>
          </w:p>
        </w:tc>
        <w:tc>
          <w:tcPr>
            <w:tcW w:type="dxa" w:w="1656"/>
            <w:tcMar>
              <w:top w:w="80" w:type="dxa"/>
              <w:start w:w="105" w:type="dxa"/>
              <w:bottom w:w="80" w:type="dxa"/>
              <w:end w:w="105" w:type="dxa"/>
            </w:tcMar>
            <w:vAlign w:val="center"/>
            <w:shd w:fill="F4F7F9"/>
          </w:tcPr>
          <w:p>
            <w:pPr>
              <w:spacing w:after="0" w:line="240" w:lineRule="auto"/>
            </w:pPr>
            <w:r>
              <w:rPr>
                <w:color w:val="17242E"/>
                <w:sz w:val="15"/>
              </w:rPr>
              <w:t>Algorithmic / reflexive</w:t>
            </w:r>
          </w:p>
        </w:tc>
        <w:tc>
          <w:tcPr>
            <w:tcW w:type="dxa" w:w="3240"/>
            <w:tcMar>
              <w:top w:w="80" w:type="dxa"/>
              <w:start w:w="105" w:type="dxa"/>
              <w:bottom w:w="80" w:type="dxa"/>
              <w:end w:w="105" w:type="dxa"/>
            </w:tcMar>
            <w:vAlign w:val="center"/>
            <w:shd w:fill="F4F7F9"/>
          </w:tcPr>
          <w:p>
            <w:pPr>
              <w:spacing w:after="0" w:line="240" w:lineRule="auto"/>
            </w:pPr>
            <w:r>
              <w:rPr>
                <w:color w:val="17242E"/>
                <w:sz w:val="15"/>
              </w:rPr>
              <w:t>Endogenous mint/burn or seigniorage mechanism without exogenous full reserve</w:t>
            </w:r>
          </w:p>
        </w:tc>
        <w:tc>
          <w:tcPr>
            <w:tcW w:type="dxa" w:w="1656"/>
            <w:tcMar>
              <w:top w:w="80" w:type="dxa"/>
              <w:start w:w="105" w:type="dxa"/>
              <w:bottom w:w="80" w:type="dxa"/>
              <w:end w:w="105" w:type="dxa"/>
            </w:tcMar>
            <w:vAlign w:val="center"/>
            <w:shd w:fill="F4F7F9"/>
          </w:tcPr>
          <w:p>
            <w:pPr>
              <w:spacing w:after="0" w:line="240" w:lineRule="auto"/>
            </w:pPr>
            <w:r>
              <w:rPr>
                <w:color w:val="17242E"/>
                <w:sz w:val="15"/>
              </w:rPr>
              <w:t>historical UST-style systems</w:t>
            </w:r>
          </w:p>
        </w:tc>
        <w:tc>
          <w:tcPr>
            <w:tcW w:type="dxa" w:w="2520"/>
            <w:tcMar>
              <w:top w:w="80" w:type="dxa"/>
              <w:start w:w="105" w:type="dxa"/>
              <w:bottom w:w="80" w:type="dxa"/>
              <w:end w:w="105" w:type="dxa"/>
            </w:tcMar>
            <w:vAlign w:val="center"/>
            <w:shd w:fill="F4F7F9"/>
          </w:tcPr>
          <w:p>
            <w:pPr>
              <w:spacing w:after="0" w:line="240" w:lineRule="auto"/>
            </w:pPr>
            <w:r>
              <w:rPr>
                <w:color w:val="17242E"/>
                <w:sz w:val="15"/>
              </w:rPr>
              <w:t>death spiral, endogenous collateral, confidence/run</w:t>
            </w:r>
          </w:p>
        </w:tc>
      </w:tr>
      <w:tr>
        <w:tc>
          <w:tcPr>
            <w:tcW w:type="dxa" w:w="648"/>
            <w:tcMar>
              <w:top w:w="80" w:type="dxa"/>
              <w:start w:w="105" w:type="dxa"/>
              <w:bottom w:w="80" w:type="dxa"/>
              <w:end w:w="105" w:type="dxa"/>
            </w:tcMar>
            <w:vAlign w:val="center"/>
          </w:tcPr>
          <w:p>
            <w:pPr>
              <w:spacing w:after="0" w:line="240" w:lineRule="auto"/>
            </w:pPr>
            <w:r>
              <w:rPr>
                <w:color w:val="17242E"/>
                <w:sz w:val="15"/>
              </w:rPr>
              <w:t>S5</w:t>
            </w:r>
          </w:p>
        </w:tc>
        <w:tc>
          <w:tcPr>
            <w:tcW w:type="dxa" w:w="1656"/>
            <w:tcMar>
              <w:top w:w="80" w:type="dxa"/>
              <w:start w:w="105" w:type="dxa"/>
              <w:bottom w:w="80" w:type="dxa"/>
              <w:end w:w="105" w:type="dxa"/>
            </w:tcMar>
            <w:vAlign w:val="center"/>
          </w:tcPr>
          <w:p>
            <w:pPr>
              <w:spacing w:after="0" w:line="240" w:lineRule="auto"/>
            </w:pPr>
            <w:r>
              <w:rPr>
                <w:color w:val="17242E"/>
                <w:sz w:val="15"/>
              </w:rPr>
              <w:t>Asset/commodity-referenced</w:t>
            </w:r>
          </w:p>
        </w:tc>
        <w:tc>
          <w:tcPr>
            <w:tcW w:type="dxa" w:w="3240"/>
            <w:tcMar>
              <w:top w:w="80" w:type="dxa"/>
              <w:start w:w="105" w:type="dxa"/>
              <w:bottom w:w="80" w:type="dxa"/>
              <w:end w:w="105" w:type="dxa"/>
            </w:tcMar>
            <w:vAlign w:val="center"/>
          </w:tcPr>
          <w:p>
            <w:pPr>
              <w:spacing w:after="0" w:line="240" w:lineRule="auto"/>
            </w:pPr>
            <w:r>
              <w:rPr>
                <w:color w:val="17242E"/>
                <w:sz w:val="15"/>
              </w:rPr>
              <w:t>Redeemable or economically linked to non-fiat reference asset</w:t>
            </w:r>
          </w:p>
        </w:tc>
        <w:tc>
          <w:tcPr>
            <w:tcW w:type="dxa" w:w="1656"/>
            <w:tcMar>
              <w:top w:w="80" w:type="dxa"/>
              <w:start w:w="105" w:type="dxa"/>
              <w:bottom w:w="80" w:type="dxa"/>
              <w:end w:w="105" w:type="dxa"/>
            </w:tcMar>
            <w:vAlign w:val="center"/>
          </w:tcPr>
          <w:p>
            <w:pPr>
              <w:spacing w:after="0" w:line="240" w:lineRule="auto"/>
            </w:pPr>
            <w:r>
              <w:rPr>
                <w:color w:val="17242E"/>
                <w:sz w:val="15"/>
              </w:rPr>
              <w:t>PAXG</w:t>
            </w:r>
          </w:p>
        </w:tc>
        <w:tc>
          <w:tcPr>
            <w:tcW w:type="dxa" w:w="2520"/>
            <w:tcMar>
              <w:top w:w="80" w:type="dxa"/>
              <w:start w:w="105" w:type="dxa"/>
              <w:bottom w:w="80" w:type="dxa"/>
              <w:end w:w="105" w:type="dxa"/>
            </w:tcMar>
            <w:vAlign w:val="center"/>
          </w:tcPr>
          <w:p>
            <w:pPr>
              <w:spacing w:after="0" w:line="240" w:lineRule="auto"/>
            </w:pPr>
            <w:r>
              <w:rPr>
                <w:color w:val="17242E"/>
                <w:sz w:val="15"/>
              </w:rPr>
              <w:t>custody, assay/title, redemption, tracking error</w:t>
            </w:r>
          </w:p>
        </w:tc>
      </w:tr>
    </w:tbl>
    <w:p>
      <w:pPr>
        <w:spacing w:after="20"/>
      </w:pPr>
    </w:p>
    <w:p>
      <w:pPr>
        <w:pStyle w:val="Caption"/>
        <w:spacing w:before="40" w:after="100"/>
      </w:pPr>
      <w:r>
        <w:rPr>
          <w:b/>
        </w:rPr>
        <w:t xml:space="preserve">Source: </w:t>
      </w:r>
      <w:r>
        <w:t>International policy work emphasizes reserve quality, liquidity, segregation, legal claims, and timely redemption — https://www.bis.org/cpmi/publ/d220.pdf</w:t>
      </w:r>
    </w:p>
    <w:p>
      <w:pPr>
        <w:pStyle w:val="Heading2"/>
      </w:pPr>
      <w:r>
        <w:rPr>
          <w:b w:val="0"/>
          <w:i w:val="0"/>
        </w:rPr>
        <w:t>Stablecoin example map (initial universe; verify at each observation date)</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792"/>
            <w:shd w:fill="183A5A"/>
            <w:tcMar>
              <w:top w:w="80" w:type="dxa"/>
              <w:start w:w="105" w:type="dxa"/>
              <w:bottom w:w="80" w:type="dxa"/>
              <w:end w:w="105" w:type="dxa"/>
            </w:tcMar>
            <w:vAlign w:val="center"/>
          </w:tcPr>
          <w:p>
            <w:pPr>
              <w:spacing w:after="0"/>
            </w:pPr>
            <w:r>
              <w:rPr>
                <w:b/>
                <w:color w:val="FFFFFF"/>
                <w:sz w:val="14"/>
              </w:rPr>
              <w:t>Asset</w:t>
            </w:r>
          </w:p>
        </w:tc>
        <w:tc>
          <w:tcPr>
            <w:tcW w:type="dxa" w:w="648"/>
            <w:shd w:fill="183A5A"/>
            <w:tcMar>
              <w:top w:w="80" w:type="dxa"/>
              <w:start w:w="105" w:type="dxa"/>
              <w:bottom w:w="80" w:type="dxa"/>
              <w:end w:w="105" w:type="dxa"/>
            </w:tcMar>
            <w:vAlign w:val="center"/>
          </w:tcPr>
          <w:p>
            <w:pPr>
              <w:spacing w:after="0"/>
            </w:pPr>
            <w:r>
              <w:rPr>
                <w:b/>
                <w:color w:val="FFFFFF"/>
                <w:sz w:val="14"/>
              </w:rPr>
              <w:t>Class</w:t>
            </w:r>
          </w:p>
        </w:tc>
        <w:tc>
          <w:tcPr>
            <w:tcW w:type="dxa" w:w="2520"/>
            <w:shd w:fill="183A5A"/>
            <w:tcMar>
              <w:top w:w="80" w:type="dxa"/>
              <w:start w:w="105" w:type="dxa"/>
              <w:bottom w:w="80" w:type="dxa"/>
              <w:end w:w="105" w:type="dxa"/>
            </w:tcMar>
            <w:vAlign w:val="center"/>
          </w:tcPr>
          <w:p>
            <w:pPr>
              <w:spacing w:after="0"/>
            </w:pPr>
            <w:r>
              <w:rPr>
                <w:b/>
                <w:color w:val="FFFFFF"/>
                <w:sz w:val="14"/>
              </w:rPr>
              <w:t>Backing / mechanism</w:t>
            </w:r>
          </w:p>
        </w:tc>
        <w:tc>
          <w:tcPr>
            <w:tcW w:type="dxa" w:w="2088"/>
            <w:shd w:fill="183A5A"/>
            <w:tcMar>
              <w:top w:w="80" w:type="dxa"/>
              <w:start w:w="105" w:type="dxa"/>
              <w:bottom w:w="80" w:type="dxa"/>
              <w:end w:w="105" w:type="dxa"/>
            </w:tcMar>
            <w:vAlign w:val="center"/>
          </w:tcPr>
          <w:p>
            <w:pPr>
              <w:spacing w:after="0"/>
            </w:pPr>
            <w:r>
              <w:rPr>
                <w:b/>
                <w:color w:val="FFFFFF"/>
                <w:sz w:val="14"/>
              </w:rPr>
              <w:t>Primary redemption</w:t>
            </w:r>
          </w:p>
        </w:tc>
        <w:tc>
          <w:tcPr>
            <w:tcW w:type="dxa" w:w="1152"/>
            <w:shd w:fill="183A5A"/>
            <w:tcMar>
              <w:top w:w="80" w:type="dxa"/>
              <w:start w:w="105" w:type="dxa"/>
              <w:bottom w:w="80" w:type="dxa"/>
              <w:end w:w="105" w:type="dxa"/>
            </w:tcMar>
            <w:vAlign w:val="center"/>
          </w:tcPr>
          <w:p>
            <w:pPr>
              <w:spacing w:after="0"/>
            </w:pPr>
            <w:r>
              <w:rPr>
                <w:b/>
                <w:color w:val="FFFFFF"/>
                <w:sz w:val="14"/>
              </w:rPr>
              <w:t>Holder yield</w:t>
            </w:r>
          </w:p>
        </w:tc>
        <w:tc>
          <w:tcPr>
            <w:tcW w:type="dxa" w:w="2448"/>
            <w:shd w:fill="183A5A"/>
            <w:tcMar>
              <w:top w:w="80" w:type="dxa"/>
              <w:start w:w="105" w:type="dxa"/>
              <w:bottom w:w="80" w:type="dxa"/>
              <w:end w:w="105" w:type="dxa"/>
            </w:tcMar>
            <w:vAlign w:val="center"/>
          </w:tcPr>
          <w:p>
            <w:pPr>
              <w:spacing w:after="0"/>
            </w:pPr>
            <w:r>
              <w:rPr>
                <w:b/>
                <w:color w:val="FFFFFF"/>
                <w:sz w:val="14"/>
              </w:rPr>
              <w:t>Key measurement note</w:t>
            </w:r>
          </w:p>
        </w:tc>
      </w:tr>
      <w:tr>
        <w:tc>
          <w:tcPr>
            <w:tcW w:type="dxa" w:w="792"/>
            <w:tcMar>
              <w:top w:w="80" w:type="dxa"/>
              <w:start w:w="105" w:type="dxa"/>
              <w:bottom w:w="80" w:type="dxa"/>
              <w:end w:w="105" w:type="dxa"/>
            </w:tcMar>
            <w:vAlign w:val="center"/>
          </w:tcPr>
          <w:p>
            <w:pPr>
              <w:spacing w:after="0" w:line="240" w:lineRule="auto"/>
            </w:pPr>
            <w:r>
              <w:rPr>
                <w:color w:val="17242E"/>
                <w:sz w:val="14"/>
              </w:rPr>
              <w:t>USDC</w:t>
            </w:r>
          </w:p>
        </w:tc>
        <w:tc>
          <w:tcPr>
            <w:tcW w:type="dxa" w:w="648"/>
            <w:tcMar>
              <w:top w:w="80" w:type="dxa"/>
              <w:start w:w="105" w:type="dxa"/>
              <w:bottom w:w="80" w:type="dxa"/>
              <w:end w:w="105" w:type="dxa"/>
            </w:tcMar>
            <w:vAlign w:val="center"/>
          </w:tcPr>
          <w:p>
            <w:pPr>
              <w:spacing w:after="0" w:line="240" w:lineRule="auto"/>
            </w:pPr>
            <w:r>
              <w:rPr>
                <w:color w:val="17242E"/>
                <w:sz w:val="14"/>
              </w:rPr>
              <w:t>S1</w:t>
            </w:r>
          </w:p>
        </w:tc>
        <w:tc>
          <w:tcPr>
            <w:tcW w:type="dxa" w:w="2520"/>
            <w:tcMar>
              <w:top w:w="80" w:type="dxa"/>
              <w:start w:w="105" w:type="dxa"/>
              <w:bottom w:w="80" w:type="dxa"/>
              <w:end w:w="105" w:type="dxa"/>
            </w:tcMar>
            <w:vAlign w:val="center"/>
          </w:tcPr>
          <w:p>
            <w:pPr>
              <w:spacing w:after="0" w:line="240" w:lineRule="auto"/>
            </w:pPr>
            <w:r>
              <w:rPr>
                <w:color w:val="17242E"/>
                <w:sz w:val="14"/>
              </w:rPr>
              <w:t>cash, short Treasuries, overnight Treasury repo/MMF structures</w:t>
            </w:r>
          </w:p>
        </w:tc>
        <w:tc>
          <w:tcPr>
            <w:tcW w:type="dxa" w:w="2088"/>
            <w:tcMar>
              <w:top w:w="80" w:type="dxa"/>
              <w:start w:w="105" w:type="dxa"/>
              <w:bottom w:w="80" w:type="dxa"/>
              <w:end w:w="105" w:type="dxa"/>
            </w:tcMar>
            <w:vAlign w:val="center"/>
          </w:tcPr>
          <w:p>
            <w:pPr>
              <w:spacing w:after="0" w:line="240" w:lineRule="auto"/>
            </w:pPr>
            <w:r>
              <w:rPr>
                <w:color w:val="17242E"/>
                <w:sz w:val="14"/>
              </w:rPr>
              <w:t>eligible account holders; 1:1 issuer process</w:t>
            </w:r>
          </w:p>
        </w:tc>
        <w:tc>
          <w:tcPr>
            <w:tcW w:type="dxa" w:w="1152"/>
            <w:tcMar>
              <w:top w:w="80" w:type="dxa"/>
              <w:start w:w="105" w:type="dxa"/>
              <w:bottom w:w="80" w:type="dxa"/>
              <w:end w:w="105" w:type="dxa"/>
            </w:tcMar>
            <w:vAlign w:val="center"/>
          </w:tcPr>
          <w:p>
            <w:pPr>
              <w:spacing w:after="0" w:line="240" w:lineRule="auto"/>
            </w:pPr>
            <w:r>
              <w:rPr>
                <w:color w:val="17242E"/>
                <w:sz w:val="14"/>
              </w:rPr>
              <w:t>No at token level</w:t>
            </w:r>
          </w:p>
        </w:tc>
        <w:tc>
          <w:tcPr>
            <w:tcW w:type="dxa" w:w="2448"/>
            <w:tcMar>
              <w:top w:w="80" w:type="dxa"/>
              <w:start w:w="105" w:type="dxa"/>
              <w:bottom w:w="80" w:type="dxa"/>
              <w:end w:w="105" w:type="dxa"/>
            </w:tcMar>
            <w:vAlign w:val="center"/>
          </w:tcPr>
          <w:p>
            <w:pPr>
              <w:spacing w:after="0" w:line="240" w:lineRule="auto"/>
            </w:pPr>
            <w:r>
              <w:rPr>
                <w:color w:val="17242E"/>
                <w:sz w:val="14"/>
              </w:rPr>
              <w:t>separate reserve income from holder return</w:t>
            </w:r>
          </w:p>
        </w:tc>
      </w:tr>
      <w:tr>
        <w:tc>
          <w:tcPr>
            <w:tcW w:type="dxa" w:w="792"/>
            <w:tcMar>
              <w:top w:w="80" w:type="dxa"/>
              <w:start w:w="105" w:type="dxa"/>
              <w:bottom w:w="80" w:type="dxa"/>
              <w:end w:w="105" w:type="dxa"/>
            </w:tcMar>
            <w:vAlign w:val="center"/>
            <w:shd w:fill="F4F7F9"/>
          </w:tcPr>
          <w:p>
            <w:pPr>
              <w:spacing w:after="0" w:line="240" w:lineRule="auto"/>
            </w:pPr>
            <w:r>
              <w:rPr>
                <w:color w:val="17242E"/>
                <w:sz w:val="14"/>
              </w:rPr>
              <w:t>USDT</w:t>
            </w:r>
          </w:p>
        </w:tc>
        <w:tc>
          <w:tcPr>
            <w:tcW w:type="dxa" w:w="648"/>
            <w:tcMar>
              <w:top w:w="80" w:type="dxa"/>
              <w:start w:w="105" w:type="dxa"/>
              <w:bottom w:w="80" w:type="dxa"/>
              <w:end w:w="105" w:type="dxa"/>
            </w:tcMar>
            <w:vAlign w:val="center"/>
            <w:shd w:fill="F4F7F9"/>
          </w:tcPr>
          <w:p>
            <w:pPr>
              <w:spacing w:after="0" w:line="240" w:lineRule="auto"/>
            </w:pPr>
            <w:r>
              <w:rPr>
                <w:color w:val="17242E"/>
                <w:sz w:val="14"/>
              </w:rPr>
              <w:t>S1</w:t>
            </w:r>
          </w:p>
        </w:tc>
        <w:tc>
          <w:tcPr>
            <w:tcW w:type="dxa" w:w="2520"/>
            <w:tcMar>
              <w:top w:w="80" w:type="dxa"/>
              <w:start w:w="105" w:type="dxa"/>
              <w:bottom w:w="80" w:type="dxa"/>
              <w:end w:w="105" w:type="dxa"/>
            </w:tcMar>
            <w:vAlign w:val="center"/>
            <w:shd w:fill="F4F7F9"/>
          </w:tcPr>
          <w:p>
            <w:pPr>
              <w:spacing w:after="0" w:line="240" w:lineRule="auto"/>
            </w:pPr>
            <w:r>
              <w:rPr>
                <w:color w:val="17242E"/>
                <w:sz w:val="14"/>
              </w:rPr>
              <w:t>reported reserve portfolio</w:t>
            </w:r>
          </w:p>
        </w:tc>
        <w:tc>
          <w:tcPr>
            <w:tcW w:type="dxa" w:w="2088"/>
            <w:tcMar>
              <w:top w:w="80" w:type="dxa"/>
              <w:start w:w="105" w:type="dxa"/>
              <w:bottom w:w="80" w:type="dxa"/>
              <w:end w:w="105" w:type="dxa"/>
            </w:tcMar>
            <w:vAlign w:val="center"/>
            <w:shd w:fill="F4F7F9"/>
          </w:tcPr>
          <w:p>
            <w:pPr>
              <w:spacing w:after="0" w:line="240" w:lineRule="auto"/>
            </w:pPr>
            <w:r>
              <w:rPr>
                <w:color w:val="17242E"/>
                <w:sz w:val="14"/>
              </w:rPr>
              <w:t>verified primary customers; terms/minimum/fees apply</w:t>
            </w:r>
          </w:p>
        </w:tc>
        <w:tc>
          <w:tcPr>
            <w:tcW w:type="dxa" w:w="1152"/>
            <w:tcMar>
              <w:top w:w="80" w:type="dxa"/>
              <w:start w:w="105" w:type="dxa"/>
              <w:bottom w:w="80" w:type="dxa"/>
              <w:end w:w="105" w:type="dxa"/>
            </w:tcMar>
            <w:vAlign w:val="center"/>
            <w:shd w:fill="F4F7F9"/>
          </w:tcPr>
          <w:p>
            <w:pPr>
              <w:spacing w:after="0" w:line="240" w:lineRule="auto"/>
            </w:pPr>
            <w:r>
              <w:rPr>
                <w:color w:val="17242E"/>
                <w:sz w:val="14"/>
              </w:rPr>
              <w:t>No at token level</w:t>
            </w:r>
          </w:p>
        </w:tc>
        <w:tc>
          <w:tcPr>
            <w:tcW w:type="dxa" w:w="2448"/>
            <w:tcMar>
              <w:top w:w="80" w:type="dxa"/>
              <w:start w:w="105" w:type="dxa"/>
              <w:bottom w:w="80" w:type="dxa"/>
              <w:end w:w="105" w:type="dxa"/>
            </w:tcMar>
            <w:vAlign w:val="center"/>
            <w:shd w:fill="F4F7F9"/>
          </w:tcPr>
          <w:p>
            <w:pPr>
              <w:spacing w:after="0" w:line="240" w:lineRule="auto"/>
            </w:pPr>
            <w:r>
              <w:rPr>
                <w:color w:val="17242E"/>
                <w:sz w:val="14"/>
              </w:rPr>
              <w:t>code access, minimum, fee, timing separately</w:t>
            </w:r>
          </w:p>
        </w:tc>
      </w:tr>
      <w:tr>
        <w:tc>
          <w:tcPr>
            <w:tcW w:type="dxa" w:w="792"/>
            <w:tcMar>
              <w:top w:w="80" w:type="dxa"/>
              <w:start w:w="105" w:type="dxa"/>
              <w:bottom w:w="80" w:type="dxa"/>
              <w:end w:w="105" w:type="dxa"/>
            </w:tcMar>
            <w:vAlign w:val="center"/>
          </w:tcPr>
          <w:p>
            <w:pPr>
              <w:spacing w:after="0" w:line="240" w:lineRule="auto"/>
            </w:pPr>
            <w:r>
              <w:rPr>
                <w:color w:val="17242E"/>
                <w:sz w:val="14"/>
              </w:rPr>
              <w:t>PYUSD</w:t>
            </w:r>
          </w:p>
        </w:tc>
        <w:tc>
          <w:tcPr>
            <w:tcW w:type="dxa" w:w="648"/>
            <w:tcMar>
              <w:top w:w="80" w:type="dxa"/>
              <w:start w:w="105" w:type="dxa"/>
              <w:bottom w:w="80" w:type="dxa"/>
              <w:end w:w="105" w:type="dxa"/>
            </w:tcMar>
            <w:vAlign w:val="center"/>
          </w:tcPr>
          <w:p>
            <w:pPr>
              <w:spacing w:after="0" w:line="240" w:lineRule="auto"/>
            </w:pPr>
            <w:r>
              <w:rPr>
                <w:color w:val="17242E"/>
                <w:sz w:val="14"/>
              </w:rPr>
              <w:t>S1</w:t>
            </w:r>
          </w:p>
        </w:tc>
        <w:tc>
          <w:tcPr>
            <w:tcW w:type="dxa" w:w="2520"/>
            <w:tcMar>
              <w:top w:w="80" w:type="dxa"/>
              <w:start w:w="105" w:type="dxa"/>
              <w:bottom w:w="80" w:type="dxa"/>
              <w:end w:w="105" w:type="dxa"/>
            </w:tcMar>
            <w:vAlign w:val="center"/>
          </w:tcPr>
          <w:p>
            <w:pPr>
              <w:spacing w:after="0" w:line="240" w:lineRule="auto"/>
            </w:pPr>
            <w:r>
              <w:rPr>
                <w:color w:val="17242E"/>
                <w:sz w:val="14"/>
              </w:rPr>
              <w:t>fiat deposits, Treasuries, cash equivalents</w:t>
            </w:r>
          </w:p>
        </w:tc>
        <w:tc>
          <w:tcPr>
            <w:tcW w:type="dxa" w:w="2088"/>
            <w:tcMar>
              <w:top w:w="80" w:type="dxa"/>
              <w:start w:w="105" w:type="dxa"/>
              <w:bottom w:w="80" w:type="dxa"/>
              <w:end w:w="105" w:type="dxa"/>
            </w:tcMar>
            <w:vAlign w:val="center"/>
          </w:tcPr>
          <w:p>
            <w:pPr>
              <w:spacing w:after="0" w:line="240" w:lineRule="auto"/>
            </w:pPr>
            <w:r>
              <w:rPr>
                <w:color w:val="17242E"/>
                <w:sz w:val="14"/>
              </w:rPr>
              <w:t>issuer/intermediary process</w:t>
            </w:r>
          </w:p>
        </w:tc>
        <w:tc>
          <w:tcPr>
            <w:tcW w:type="dxa" w:w="1152"/>
            <w:tcMar>
              <w:top w:w="80" w:type="dxa"/>
              <w:start w:w="105" w:type="dxa"/>
              <w:bottom w:w="80" w:type="dxa"/>
              <w:end w:w="105" w:type="dxa"/>
            </w:tcMar>
            <w:vAlign w:val="center"/>
          </w:tcPr>
          <w:p>
            <w:pPr>
              <w:spacing w:after="0" w:line="240" w:lineRule="auto"/>
            </w:pPr>
            <w:r>
              <w:rPr>
                <w:color w:val="17242E"/>
                <w:sz w:val="14"/>
              </w:rPr>
              <w:t>No at token level</w:t>
            </w:r>
          </w:p>
        </w:tc>
        <w:tc>
          <w:tcPr>
            <w:tcW w:type="dxa" w:w="2448"/>
            <w:tcMar>
              <w:top w:w="80" w:type="dxa"/>
              <w:start w:w="105" w:type="dxa"/>
              <w:bottom w:w="80" w:type="dxa"/>
              <w:end w:w="105" w:type="dxa"/>
            </w:tcMar>
            <w:vAlign w:val="center"/>
          </w:tcPr>
          <w:p>
            <w:pPr>
              <w:spacing w:after="0" w:line="240" w:lineRule="auto"/>
            </w:pPr>
            <w:r>
              <w:rPr>
                <w:color w:val="17242E"/>
                <w:sz w:val="14"/>
              </w:rPr>
              <w:t>issuer and distribution channels differ</w:t>
            </w:r>
          </w:p>
        </w:tc>
      </w:tr>
      <w:tr>
        <w:tc>
          <w:tcPr>
            <w:tcW w:type="dxa" w:w="792"/>
            <w:tcMar>
              <w:top w:w="80" w:type="dxa"/>
              <w:start w:w="105" w:type="dxa"/>
              <w:bottom w:w="80" w:type="dxa"/>
              <w:end w:w="105" w:type="dxa"/>
            </w:tcMar>
            <w:vAlign w:val="center"/>
            <w:shd w:fill="F4F7F9"/>
          </w:tcPr>
          <w:p>
            <w:pPr>
              <w:spacing w:after="0" w:line="240" w:lineRule="auto"/>
            </w:pPr>
            <w:r>
              <w:rPr>
                <w:color w:val="17242E"/>
                <w:sz w:val="14"/>
              </w:rPr>
              <w:t>USDS</w:t>
            </w:r>
          </w:p>
        </w:tc>
        <w:tc>
          <w:tcPr>
            <w:tcW w:type="dxa" w:w="648"/>
            <w:tcMar>
              <w:top w:w="80" w:type="dxa"/>
              <w:start w:w="105" w:type="dxa"/>
              <w:bottom w:w="80" w:type="dxa"/>
              <w:end w:w="105" w:type="dxa"/>
            </w:tcMar>
            <w:vAlign w:val="center"/>
            <w:shd w:fill="F4F7F9"/>
          </w:tcPr>
          <w:p>
            <w:pPr>
              <w:spacing w:after="0" w:line="240" w:lineRule="auto"/>
            </w:pPr>
            <w:r>
              <w:rPr>
                <w:color w:val="17242E"/>
                <w:sz w:val="14"/>
              </w:rPr>
              <w:t>S2</w:t>
            </w:r>
          </w:p>
        </w:tc>
        <w:tc>
          <w:tcPr>
            <w:tcW w:type="dxa" w:w="2520"/>
            <w:tcMar>
              <w:top w:w="80" w:type="dxa"/>
              <w:start w:w="105" w:type="dxa"/>
              <w:bottom w:w="80" w:type="dxa"/>
              <w:end w:w="105" w:type="dxa"/>
            </w:tcMar>
            <w:vAlign w:val="center"/>
            <w:shd w:fill="F4F7F9"/>
          </w:tcPr>
          <w:p>
            <w:pPr>
              <w:spacing w:after="0" w:line="240" w:lineRule="auto"/>
            </w:pPr>
            <w:r>
              <w:rPr>
                <w:color w:val="17242E"/>
                <w:sz w:val="14"/>
              </w:rPr>
              <w:t>diversified protocol collateral and peg facilities</w:t>
            </w:r>
          </w:p>
        </w:tc>
        <w:tc>
          <w:tcPr>
            <w:tcW w:type="dxa" w:w="2088"/>
            <w:tcMar>
              <w:top w:w="80" w:type="dxa"/>
              <w:start w:w="105" w:type="dxa"/>
              <w:bottom w:w="80" w:type="dxa"/>
              <w:end w:w="105" w:type="dxa"/>
            </w:tcMar>
            <w:vAlign w:val="center"/>
            <w:shd w:fill="F4F7F9"/>
          </w:tcPr>
          <w:p>
            <w:pPr>
              <w:spacing w:after="0" w:line="240" w:lineRule="auto"/>
            </w:pPr>
            <w:r>
              <w:rPr>
                <w:color w:val="17242E"/>
                <w:sz w:val="14"/>
              </w:rPr>
              <w:t>protocol conversion routes</w:t>
            </w:r>
          </w:p>
        </w:tc>
        <w:tc>
          <w:tcPr>
            <w:tcW w:type="dxa" w:w="1152"/>
            <w:tcMar>
              <w:top w:w="80" w:type="dxa"/>
              <w:start w:w="105" w:type="dxa"/>
              <w:bottom w:w="80" w:type="dxa"/>
              <w:end w:w="105" w:type="dxa"/>
            </w:tcMar>
            <w:vAlign w:val="center"/>
            <w:shd w:fill="F4F7F9"/>
          </w:tcPr>
          <w:p>
            <w:pPr>
              <w:spacing w:after="0" w:line="240" w:lineRule="auto"/>
            </w:pPr>
            <w:r>
              <w:rPr>
                <w:color w:val="17242E"/>
                <w:sz w:val="14"/>
              </w:rPr>
              <w:t>No; savings wrapper separate</w:t>
            </w:r>
          </w:p>
        </w:tc>
        <w:tc>
          <w:tcPr>
            <w:tcW w:type="dxa" w:w="2448"/>
            <w:tcMar>
              <w:top w:w="80" w:type="dxa"/>
              <w:start w:w="105" w:type="dxa"/>
              <w:bottom w:w="80" w:type="dxa"/>
              <w:end w:w="105" w:type="dxa"/>
            </w:tcMar>
            <w:vAlign w:val="center"/>
            <w:shd w:fill="F4F7F9"/>
          </w:tcPr>
          <w:p>
            <w:pPr>
              <w:spacing w:after="0" w:line="240" w:lineRule="auto"/>
            </w:pPr>
            <w:r>
              <w:rPr>
                <w:color w:val="17242E"/>
                <w:sz w:val="14"/>
              </w:rPr>
              <w:t>do not assign wrapper yield to base token</w:t>
            </w:r>
          </w:p>
        </w:tc>
      </w:tr>
      <w:tr>
        <w:tc>
          <w:tcPr>
            <w:tcW w:type="dxa" w:w="792"/>
            <w:tcMar>
              <w:top w:w="80" w:type="dxa"/>
              <w:start w:w="105" w:type="dxa"/>
              <w:bottom w:w="80" w:type="dxa"/>
              <w:end w:w="105" w:type="dxa"/>
            </w:tcMar>
            <w:vAlign w:val="center"/>
          </w:tcPr>
          <w:p>
            <w:pPr>
              <w:spacing w:after="0" w:line="240" w:lineRule="auto"/>
            </w:pPr>
            <w:r>
              <w:rPr>
                <w:color w:val="17242E"/>
                <w:sz w:val="14"/>
              </w:rPr>
              <w:t>GHO</w:t>
            </w:r>
          </w:p>
        </w:tc>
        <w:tc>
          <w:tcPr>
            <w:tcW w:type="dxa" w:w="648"/>
            <w:tcMar>
              <w:top w:w="80" w:type="dxa"/>
              <w:start w:w="105" w:type="dxa"/>
              <w:bottom w:w="80" w:type="dxa"/>
              <w:end w:w="105" w:type="dxa"/>
            </w:tcMar>
            <w:vAlign w:val="center"/>
          </w:tcPr>
          <w:p>
            <w:pPr>
              <w:spacing w:after="0" w:line="240" w:lineRule="auto"/>
            </w:pPr>
            <w:r>
              <w:rPr>
                <w:color w:val="17242E"/>
                <w:sz w:val="14"/>
              </w:rPr>
              <w:t>S2</w:t>
            </w:r>
          </w:p>
        </w:tc>
        <w:tc>
          <w:tcPr>
            <w:tcW w:type="dxa" w:w="2520"/>
            <w:tcMar>
              <w:top w:w="80" w:type="dxa"/>
              <w:start w:w="105" w:type="dxa"/>
              <w:bottom w:w="80" w:type="dxa"/>
              <w:end w:w="105" w:type="dxa"/>
            </w:tcMar>
            <w:vAlign w:val="center"/>
          </w:tcPr>
          <w:p>
            <w:pPr>
              <w:spacing w:after="0" w:line="240" w:lineRule="auto"/>
            </w:pPr>
            <w:r>
              <w:rPr>
                <w:color w:val="17242E"/>
                <w:sz w:val="14"/>
              </w:rPr>
              <w:t>Aave collateral architecture</w:t>
            </w:r>
          </w:p>
        </w:tc>
        <w:tc>
          <w:tcPr>
            <w:tcW w:type="dxa" w:w="2088"/>
            <w:tcMar>
              <w:top w:w="80" w:type="dxa"/>
              <w:start w:w="105" w:type="dxa"/>
              <w:bottom w:w="80" w:type="dxa"/>
              <w:end w:w="105" w:type="dxa"/>
            </w:tcMar>
            <w:vAlign w:val="center"/>
          </w:tcPr>
          <w:p>
            <w:pPr>
              <w:spacing w:after="0" w:line="240" w:lineRule="auto"/>
            </w:pPr>
            <w:r>
              <w:rPr>
                <w:color w:val="17242E"/>
                <w:sz w:val="14"/>
              </w:rPr>
              <w:t>protocol mechanisms</w:t>
            </w:r>
          </w:p>
        </w:tc>
        <w:tc>
          <w:tcPr>
            <w:tcW w:type="dxa" w:w="1152"/>
            <w:tcMar>
              <w:top w:w="80" w:type="dxa"/>
              <w:start w:w="105" w:type="dxa"/>
              <w:bottom w:w="80" w:type="dxa"/>
              <w:end w:w="105" w:type="dxa"/>
            </w:tcMar>
            <w:vAlign w:val="center"/>
          </w:tcPr>
          <w:p>
            <w:pPr>
              <w:spacing w:after="0" w:line="240" w:lineRule="auto"/>
            </w:pPr>
            <w:r>
              <w:rPr>
                <w:color w:val="17242E"/>
                <w:sz w:val="14"/>
              </w:rPr>
              <w:t>structure-dependent</w:t>
            </w:r>
          </w:p>
        </w:tc>
        <w:tc>
          <w:tcPr>
            <w:tcW w:type="dxa" w:w="2448"/>
            <w:tcMar>
              <w:top w:w="80" w:type="dxa"/>
              <w:start w:w="105" w:type="dxa"/>
              <w:bottom w:w="80" w:type="dxa"/>
              <w:end w:w="105" w:type="dxa"/>
            </w:tcMar>
            <w:vAlign w:val="center"/>
          </w:tcPr>
          <w:p>
            <w:pPr>
              <w:spacing w:after="0" w:line="240" w:lineRule="auto"/>
            </w:pPr>
            <w:r>
              <w:rPr>
                <w:color w:val="17242E"/>
                <w:sz w:val="14"/>
              </w:rPr>
              <w:t>facilitator and liquidation design are time-varying</w:t>
            </w:r>
          </w:p>
        </w:tc>
      </w:tr>
      <w:tr>
        <w:tc>
          <w:tcPr>
            <w:tcW w:type="dxa" w:w="792"/>
            <w:tcMar>
              <w:top w:w="80" w:type="dxa"/>
              <w:start w:w="105" w:type="dxa"/>
              <w:bottom w:w="80" w:type="dxa"/>
              <w:end w:w="105" w:type="dxa"/>
            </w:tcMar>
            <w:vAlign w:val="center"/>
            <w:shd w:fill="F4F7F9"/>
          </w:tcPr>
          <w:p>
            <w:pPr>
              <w:spacing w:after="0" w:line="240" w:lineRule="auto"/>
            </w:pPr>
            <w:r>
              <w:rPr>
                <w:color w:val="17242E"/>
                <w:sz w:val="14"/>
              </w:rPr>
              <w:t>USDe</w:t>
            </w:r>
          </w:p>
        </w:tc>
        <w:tc>
          <w:tcPr>
            <w:tcW w:type="dxa" w:w="648"/>
            <w:tcMar>
              <w:top w:w="80" w:type="dxa"/>
              <w:start w:w="105" w:type="dxa"/>
              <w:bottom w:w="80" w:type="dxa"/>
              <w:end w:w="105" w:type="dxa"/>
            </w:tcMar>
            <w:vAlign w:val="center"/>
            <w:shd w:fill="F4F7F9"/>
          </w:tcPr>
          <w:p>
            <w:pPr>
              <w:spacing w:after="0" w:line="240" w:lineRule="auto"/>
            </w:pPr>
            <w:r>
              <w:rPr>
                <w:color w:val="17242E"/>
                <w:sz w:val="14"/>
              </w:rPr>
              <w:t>S3</w:t>
            </w:r>
          </w:p>
        </w:tc>
        <w:tc>
          <w:tcPr>
            <w:tcW w:type="dxa" w:w="2520"/>
            <w:tcMar>
              <w:top w:w="80" w:type="dxa"/>
              <w:start w:w="105" w:type="dxa"/>
              <w:bottom w:w="80" w:type="dxa"/>
              <w:end w:w="105" w:type="dxa"/>
            </w:tcMar>
            <w:vAlign w:val="center"/>
            <w:shd w:fill="F4F7F9"/>
          </w:tcPr>
          <w:p>
            <w:pPr>
              <w:spacing w:after="0" w:line="240" w:lineRule="auto"/>
            </w:pPr>
            <w:r>
              <w:rPr>
                <w:color w:val="17242E"/>
                <w:sz w:val="14"/>
              </w:rPr>
              <w:t>crypto/stable backing plus derivatives hedges</w:t>
            </w:r>
          </w:p>
        </w:tc>
        <w:tc>
          <w:tcPr>
            <w:tcW w:type="dxa" w:w="2088"/>
            <w:tcMar>
              <w:top w:w="80" w:type="dxa"/>
              <w:start w:w="105" w:type="dxa"/>
              <w:bottom w:w="80" w:type="dxa"/>
              <w:end w:w="105" w:type="dxa"/>
            </w:tcMar>
            <w:vAlign w:val="center"/>
            <w:shd w:fill="F4F7F9"/>
          </w:tcPr>
          <w:p>
            <w:pPr>
              <w:spacing w:after="0" w:line="240" w:lineRule="auto"/>
            </w:pPr>
            <w:r>
              <w:rPr>
                <w:color w:val="17242E"/>
                <w:sz w:val="14"/>
              </w:rPr>
              <w:t>approved primary process</w:t>
            </w:r>
          </w:p>
        </w:tc>
        <w:tc>
          <w:tcPr>
            <w:tcW w:type="dxa" w:w="1152"/>
            <w:tcMar>
              <w:top w:w="80" w:type="dxa"/>
              <w:start w:w="105" w:type="dxa"/>
              <w:bottom w:w="80" w:type="dxa"/>
              <w:end w:w="105" w:type="dxa"/>
            </w:tcMar>
            <w:vAlign w:val="center"/>
            <w:shd w:fill="F4F7F9"/>
          </w:tcPr>
          <w:p>
            <w:pPr>
              <w:spacing w:after="0" w:line="240" w:lineRule="auto"/>
            </w:pPr>
            <w:r>
              <w:rPr>
                <w:color w:val="17242E"/>
                <w:sz w:val="14"/>
              </w:rPr>
              <w:t>No; sUSDe separate</w:t>
            </w:r>
          </w:p>
        </w:tc>
        <w:tc>
          <w:tcPr>
            <w:tcW w:type="dxa" w:w="2448"/>
            <w:tcMar>
              <w:top w:w="80" w:type="dxa"/>
              <w:start w:w="105" w:type="dxa"/>
              <w:bottom w:w="80" w:type="dxa"/>
              <w:end w:w="105" w:type="dxa"/>
            </w:tcMar>
            <w:vAlign w:val="center"/>
            <w:shd w:fill="F4F7F9"/>
          </w:tcPr>
          <w:p>
            <w:pPr>
              <w:spacing w:after="0" w:line="240" w:lineRule="auto"/>
            </w:pPr>
            <w:r>
              <w:rPr>
                <w:color w:val="17242E"/>
                <w:sz w:val="14"/>
              </w:rPr>
              <w:t>funding, basis, counterparty, custody exposures</w:t>
            </w:r>
          </w:p>
        </w:tc>
      </w:tr>
      <w:tr>
        <w:tc>
          <w:tcPr>
            <w:tcW w:type="dxa" w:w="792"/>
            <w:tcMar>
              <w:top w:w="80" w:type="dxa"/>
              <w:start w:w="105" w:type="dxa"/>
              <w:bottom w:w="80" w:type="dxa"/>
              <w:end w:w="105" w:type="dxa"/>
            </w:tcMar>
            <w:vAlign w:val="center"/>
          </w:tcPr>
          <w:p>
            <w:pPr>
              <w:spacing w:after="0" w:line="240" w:lineRule="auto"/>
            </w:pPr>
            <w:r>
              <w:rPr>
                <w:color w:val="17242E"/>
                <w:sz w:val="14"/>
              </w:rPr>
              <w:t>UST (historical)</w:t>
            </w:r>
          </w:p>
        </w:tc>
        <w:tc>
          <w:tcPr>
            <w:tcW w:type="dxa" w:w="648"/>
            <w:tcMar>
              <w:top w:w="80" w:type="dxa"/>
              <w:start w:w="105" w:type="dxa"/>
              <w:bottom w:w="80" w:type="dxa"/>
              <w:end w:w="105" w:type="dxa"/>
            </w:tcMar>
            <w:vAlign w:val="center"/>
          </w:tcPr>
          <w:p>
            <w:pPr>
              <w:spacing w:after="0" w:line="240" w:lineRule="auto"/>
            </w:pPr>
            <w:r>
              <w:rPr>
                <w:color w:val="17242E"/>
                <w:sz w:val="14"/>
              </w:rPr>
              <w:t>S4</w:t>
            </w:r>
          </w:p>
        </w:tc>
        <w:tc>
          <w:tcPr>
            <w:tcW w:type="dxa" w:w="2520"/>
            <w:tcMar>
              <w:top w:w="80" w:type="dxa"/>
              <w:start w:w="105" w:type="dxa"/>
              <w:bottom w:w="80" w:type="dxa"/>
              <w:end w:w="105" w:type="dxa"/>
            </w:tcMar>
            <w:vAlign w:val="center"/>
          </w:tcPr>
          <w:p>
            <w:pPr>
              <w:spacing w:after="0" w:line="240" w:lineRule="auto"/>
            </w:pPr>
            <w:r>
              <w:rPr>
                <w:color w:val="17242E"/>
                <w:sz w:val="14"/>
              </w:rPr>
              <w:t>reflexive conversion with LUNA</w:t>
            </w:r>
          </w:p>
        </w:tc>
        <w:tc>
          <w:tcPr>
            <w:tcW w:type="dxa" w:w="2088"/>
            <w:tcMar>
              <w:top w:w="80" w:type="dxa"/>
              <w:start w:w="105" w:type="dxa"/>
              <w:bottom w:w="80" w:type="dxa"/>
              <w:end w:w="105" w:type="dxa"/>
            </w:tcMar>
            <w:vAlign w:val="center"/>
          </w:tcPr>
          <w:p>
            <w:pPr>
              <w:spacing w:after="0" w:line="240" w:lineRule="auto"/>
            </w:pPr>
            <w:r>
              <w:rPr>
                <w:color w:val="17242E"/>
                <w:sz w:val="14"/>
              </w:rPr>
              <w:t>protocol conversion before failure</w:t>
            </w:r>
          </w:p>
        </w:tc>
        <w:tc>
          <w:tcPr>
            <w:tcW w:type="dxa" w:w="1152"/>
            <w:tcMar>
              <w:top w:w="80" w:type="dxa"/>
              <w:start w:w="105" w:type="dxa"/>
              <w:bottom w:w="80" w:type="dxa"/>
              <w:end w:w="105" w:type="dxa"/>
            </w:tcMar>
            <w:vAlign w:val="center"/>
          </w:tcPr>
          <w:p>
            <w:pPr>
              <w:spacing w:after="0" w:line="240" w:lineRule="auto"/>
            </w:pPr>
            <w:r>
              <w:rPr>
                <w:color w:val="17242E"/>
                <w:sz w:val="14"/>
              </w:rPr>
              <w:t>historical incentives</w:t>
            </w:r>
          </w:p>
        </w:tc>
        <w:tc>
          <w:tcPr>
            <w:tcW w:type="dxa" w:w="2448"/>
            <w:tcMar>
              <w:top w:w="80" w:type="dxa"/>
              <w:start w:w="105" w:type="dxa"/>
              <w:bottom w:w="80" w:type="dxa"/>
              <w:end w:w="105" w:type="dxa"/>
            </w:tcMar>
            <w:vAlign w:val="center"/>
          </w:tcPr>
          <w:p>
            <w:pPr>
              <w:spacing w:after="0" w:line="240" w:lineRule="auto"/>
            </w:pPr>
            <w:r>
              <w:rPr>
                <w:color w:val="17242E"/>
                <w:sz w:val="14"/>
              </w:rPr>
              <w:t>retain as failure case</w:t>
            </w:r>
          </w:p>
        </w:tc>
      </w:tr>
    </w:tbl>
    <w:p>
      <w:pPr>
        <w:spacing w:after="20"/>
      </w:pPr>
    </w:p>
    <w:p>
      <w:pPr>
        <w:pStyle w:val="Caption"/>
        <w:spacing w:before="40" w:after="100"/>
      </w:pPr>
      <w:r>
        <w:rPr>
          <w:b/>
        </w:rPr>
        <w:t xml:space="preserve">Source: </w:t>
      </w:r>
      <w:r>
        <w:t>Circle current reserve composition and issuance/redemption disclosure — https://www.circle.com/transparency</w:t>
      </w:r>
    </w:p>
    <w:p>
      <w:pPr>
        <w:pStyle w:val="Heading2"/>
      </w:pPr>
      <w:r>
        <w:rPr>
          <w:b w:val="0"/>
          <w:i w:val="0"/>
        </w:rPr>
        <w:t>Non-stable cryptoasset classes and value drivers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728"/>
            <w:shd w:fill="183A5A"/>
            <w:tcMar>
              <w:top w:w="80" w:type="dxa"/>
              <w:start w:w="105" w:type="dxa"/>
              <w:bottom w:w="80" w:type="dxa"/>
              <w:end w:w="105" w:type="dxa"/>
            </w:tcMar>
            <w:vAlign w:val="center"/>
          </w:tcPr>
          <w:p>
            <w:pPr>
              <w:spacing w:after="0"/>
            </w:pPr>
            <w:r>
              <w:rPr>
                <w:b/>
                <w:color w:val="FFFFFF"/>
                <w:sz w:val="15"/>
              </w:rPr>
              <w:t>Class</w:t>
            </w:r>
          </w:p>
        </w:tc>
        <w:tc>
          <w:tcPr>
            <w:tcW w:type="dxa" w:w="1728"/>
            <w:shd w:fill="183A5A"/>
            <w:tcMar>
              <w:top w:w="80" w:type="dxa"/>
              <w:start w:w="105" w:type="dxa"/>
              <w:bottom w:w="80" w:type="dxa"/>
              <w:end w:w="105" w:type="dxa"/>
            </w:tcMar>
            <w:vAlign w:val="center"/>
          </w:tcPr>
          <w:p>
            <w:pPr>
              <w:spacing w:after="0"/>
            </w:pPr>
            <w:r>
              <w:rPr>
                <w:b/>
                <w:color w:val="FFFFFF"/>
                <w:sz w:val="15"/>
              </w:rPr>
              <w:t>Illustrative assets</w:t>
            </w:r>
          </w:p>
        </w:tc>
        <w:tc>
          <w:tcPr>
            <w:tcW w:type="dxa" w:w="3024"/>
            <w:shd w:fill="183A5A"/>
            <w:tcMar>
              <w:top w:w="80" w:type="dxa"/>
              <w:start w:w="105" w:type="dxa"/>
              <w:bottom w:w="80" w:type="dxa"/>
              <w:end w:w="105" w:type="dxa"/>
            </w:tcMar>
            <w:vAlign w:val="center"/>
          </w:tcPr>
          <w:p>
            <w:pPr>
              <w:spacing w:after="0"/>
            </w:pPr>
            <w:r>
              <w:rPr>
                <w:b/>
                <w:color w:val="FFFFFF"/>
                <w:sz w:val="15"/>
              </w:rPr>
              <w:t>Primary function</w:t>
            </w:r>
          </w:p>
        </w:tc>
        <w:tc>
          <w:tcPr>
            <w:tcW w:type="dxa" w:w="3312"/>
            <w:shd w:fill="183A5A"/>
            <w:tcMar>
              <w:top w:w="80" w:type="dxa"/>
              <w:start w:w="105" w:type="dxa"/>
              <w:bottom w:w="80" w:type="dxa"/>
              <w:end w:w="105" w:type="dxa"/>
            </w:tcMar>
            <w:vAlign w:val="center"/>
          </w:tcPr>
          <w:p>
            <w:pPr>
              <w:spacing w:after="0"/>
            </w:pPr>
            <w:r>
              <w:rPr>
                <w:b/>
                <w:color w:val="FFFFFF"/>
                <w:sz w:val="15"/>
              </w:rPr>
              <w:t>Candidate value-accrual channels</w:t>
            </w:r>
          </w:p>
        </w:tc>
      </w:tr>
      <w:tr>
        <w:tc>
          <w:tcPr>
            <w:tcW w:type="dxa" w:w="1728"/>
            <w:tcMar>
              <w:top w:w="80" w:type="dxa"/>
              <w:start w:w="105" w:type="dxa"/>
              <w:bottom w:w="80" w:type="dxa"/>
              <w:end w:w="105" w:type="dxa"/>
            </w:tcMar>
            <w:vAlign w:val="center"/>
          </w:tcPr>
          <w:p>
            <w:pPr>
              <w:spacing w:after="0" w:line="240" w:lineRule="auto"/>
            </w:pPr>
            <w:r>
              <w:rPr>
                <w:color w:val="17242E"/>
                <w:sz w:val="15"/>
              </w:rPr>
              <w:t>Monetary / PoW L1</w:t>
            </w:r>
          </w:p>
        </w:tc>
        <w:tc>
          <w:tcPr>
            <w:tcW w:type="dxa" w:w="1728"/>
            <w:tcMar>
              <w:top w:w="80" w:type="dxa"/>
              <w:start w:w="105" w:type="dxa"/>
              <w:bottom w:w="80" w:type="dxa"/>
              <w:end w:w="105" w:type="dxa"/>
            </w:tcMar>
            <w:vAlign w:val="center"/>
          </w:tcPr>
          <w:p>
            <w:pPr>
              <w:spacing w:after="0" w:line="240" w:lineRule="auto"/>
            </w:pPr>
            <w:r>
              <w:rPr>
                <w:color w:val="17242E"/>
                <w:sz w:val="15"/>
              </w:rPr>
              <w:t>BTC</w:t>
            </w:r>
          </w:p>
        </w:tc>
        <w:tc>
          <w:tcPr>
            <w:tcW w:type="dxa" w:w="3024"/>
            <w:tcMar>
              <w:top w:w="80" w:type="dxa"/>
              <w:start w:w="105" w:type="dxa"/>
              <w:bottom w:w="80" w:type="dxa"/>
              <w:end w:w="105" w:type="dxa"/>
            </w:tcMar>
            <w:vAlign w:val="center"/>
          </w:tcPr>
          <w:p>
            <w:pPr>
              <w:spacing w:after="0" w:line="240" w:lineRule="auto"/>
            </w:pPr>
            <w:r>
              <w:rPr>
                <w:color w:val="17242E"/>
                <w:sz w:val="15"/>
              </w:rPr>
              <w:t>censorship-resistant settlement and store of value</w:t>
            </w:r>
          </w:p>
        </w:tc>
        <w:tc>
          <w:tcPr>
            <w:tcW w:type="dxa" w:w="3312"/>
            <w:tcMar>
              <w:top w:w="80" w:type="dxa"/>
              <w:start w:w="105" w:type="dxa"/>
              <w:bottom w:w="80" w:type="dxa"/>
              <w:end w:w="105" w:type="dxa"/>
            </w:tcMar>
            <w:vAlign w:val="center"/>
          </w:tcPr>
          <w:p>
            <w:pPr>
              <w:spacing w:after="0" w:line="240" w:lineRule="auto"/>
            </w:pPr>
            <w:r>
              <w:rPr>
                <w:color w:val="17242E"/>
                <w:sz w:val="15"/>
              </w:rPr>
              <w:t>monetary demand; credible scarcity; security/settlement</w:t>
            </w:r>
          </w:p>
        </w:tc>
      </w:tr>
      <w:tr>
        <w:tc>
          <w:tcPr>
            <w:tcW w:type="dxa" w:w="1728"/>
            <w:tcMar>
              <w:top w:w="80" w:type="dxa"/>
              <w:start w:w="105" w:type="dxa"/>
              <w:bottom w:w="80" w:type="dxa"/>
              <w:end w:w="105" w:type="dxa"/>
            </w:tcMar>
            <w:vAlign w:val="center"/>
            <w:shd w:fill="F4F7F9"/>
          </w:tcPr>
          <w:p>
            <w:pPr>
              <w:spacing w:after="0" w:line="240" w:lineRule="auto"/>
            </w:pPr>
            <w:r>
              <w:rPr>
                <w:color w:val="17242E"/>
                <w:sz w:val="15"/>
              </w:rPr>
              <w:t>Smart-contract L1</w:t>
            </w:r>
          </w:p>
        </w:tc>
        <w:tc>
          <w:tcPr>
            <w:tcW w:type="dxa" w:w="1728"/>
            <w:tcMar>
              <w:top w:w="80" w:type="dxa"/>
              <w:start w:w="105" w:type="dxa"/>
              <w:bottom w:w="80" w:type="dxa"/>
              <w:end w:w="105" w:type="dxa"/>
            </w:tcMar>
            <w:vAlign w:val="center"/>
            <w:shd w:fill="F4F7F9"/>
          </w:tcPr>
          <w:p>
            <w:pPr>
              <w:spacing w:after="0" w:line="240" w:lineRule="auto"/>
            </w:pPr>
            <w:r>
              <w:rPr>
                <w:color w:val="17242E"/>
                <w:sz w:val="15"/>
              </w:rPr>
              <w:t>ETH, SOL, AVAX, ADA, SUI, TON, TRX</w:t>
            </w:r>
          </w:p>
        </w:tc>
        <w:tc>
          <w:tcPr>
            <w:tcW w:type="dxa" w:w="3024"/>
            <w:tcMar>
              <w:top w:w="80" w:type="dxa"/>
              <w:start w:w="105" w:type="dxa"/>
              <w:bottom w:w="80" w:type="dxa"/>
              <w:end w:w="105" w:type="dxa"/>
            </w:tcMar>
            <w:vAlign w:val="center"/>
            <w:shd w:fill="F4F7F9"/>
          </w:tcPr>
          <w:p>
            <w:pPr>
              <w:spacing w:after="0" w:line="240" w:lineRule="auto"/>
            </w:pPr>
            <w:r>
              <w:rPr>
                <w:color w:val="17242E"/>
                <w:sz w:val="15"/>
              </w:rPr>
              <w:t>blockspace, compute, settlement, security</w:t>
            </w:r>
          </w:p>
        </w:tc>
        <w:tc>
          <w:tcPr>
            <w:tcW w:type="dxa" w:w="3312"/>
            <w:tcMar>
              <w:top w:w="80" w:type="dxa"/>
              <w:start w:w="105" w:type="dxa"/>
              <w:bottom w:w="80" w:type="dxa"/>
              <w:end w:w="105" w:type="dxa"/>
            </w:tcMar>
            <w:vAlign w:val="center"/>
            <w:shd w:fill="F4F7F9"/>
          </w:tcPr>
          <w:p>
            <w:pPr>
              <w:spacing w:after="0" w:line="240" w:lineRule="auto"/>
            </w:pPr>
            <w:r>
              <w:rPr>
                <w:color w:val="17242E"/>
                <w:sz w:val="15"/>
              </w:rPr>
              <w:t>gas; stake; burn; collateral; ecosystem demand</w:t>
            </w:r>
          </w:p>
        </w:tc>
      </w:tr>
      <w:tr>
        <w:tc>
          <w:tcPr>
            <w:tcW w:type="dxa" w:w="1728"/>
            <w:tcMar>
              <w:top w:w="80" w:type="dxa"/>
              <w:start w:w="105" w:type="dxa"/>
              <w:bottom w:w="80" w:type="dxa"/>
              <w:end w:w="105" w:type="dxa"/>
            </w:tcMar>
            <w:vAlign w:val="center"/>
          </w:tcPr>
          <w:p>
            <w:pPr>
              <w:spacing w:after="0" w:line="240" w:lineRule="auto"/>
            </w:pPr>
            <w:r>
              <w:rPr>
                <w:color w:val="17242E"/>
                <w:sz w:val="15"/>
              </w:rPr>
              <w:t>L2 / scaling governance</w:t>
            </w:r>
          </w:p>
        </w:tc>
        <w:tc>
          <w:tcPr>
            <w:tcW w:type="dxa" w:w="1728"/>
            <w:tcMar>
              <w:top w:w="80" w:type="dxa"/>
              <w:start w:w="105" w:type="dxa"/>
              <w:bottom w:w="80" w:type="dxa"/>
              <w:end w:w="105" w:type="dxa"/>
            </w:tcMar>
            <w:vAlign w:val="center"/>
          </w:tcPr>
          <w:p>
            <w:pPr>
              <w:spacing w:after="0" w:line="240" w:lineRule="auto"/>
            </w:pPr>
            <w:r>
              <w:rPr>
                <w:color w:val="17242E"/>
                <w:sz w:val="15"/>
              </w:rPr>
              <w:t>ARB, OP</w:t>
            </w:r>
          </w:p>
        </w:tc>
        <w:tc>
          <w:tcPr>
            <w:tcW w:type="dxa" w:w="3024"/>
            <w:tcMar>
              <w:top w:w="80" w:type="dxa"/>
              <w:start w:w="105" w:type="dxa"/>
              <w:bottom w:w="80" w:type="dxa"/>
              <w:end w:w="105" w:type="dxa"/>
            </w:tcMar>
            <w:vAlign w:val="center"/>
          </w:tcPr>
          <w:p>
            <w:pPr>
              <w:spacing w:after="0" w:line="240" w:lineRule="auto"/>
            </w:pPr>
            <w:r>
              <w:rPr>
                <w:color w:val="17242E"/>
                <w:sz w:val="15"/>
              </w:rPr>
              <w:t>governance and ecosystem coordination</w:t>
            </w:r>
          </w:p>
        </w:tc>
        <w:tc>
          <w:tcPr>
            <w:tcW w:type="dxa" w:w="3312"/>
            <w:tcMar>
              <w:top w:w="80" w:type="dxa"/>
              <w:start w:w="105" w:type="dxa"/>
              <w:bottom w:w="80" w:type="dxa"/>
              <w:end w:w="105" w:type="dxa"/>
            </w:tcMar>
            <w:vAlign w:val="center"/>
          </w:tcPr>
          <w:p>
            <w:pPr>
              <w:spacing w:after="0" w:line="240" w:lineRule="auto"/>
            </w:pPr>
            <w:r>
              <w:rPr>
                <w:color w:val="17242E"/>
                <w:sz w:val="15"/>
              </w:rPr>
              <w:t>governance; incentive; possible protocol linkage</w:t>
            </w:r>
          </w:p>
        </w:tc>
      </w:tr>
      <w:tr>
        <w:tc>
          <w:tcPr>
            <w:tcW w:type="dxa" w:w="1728"/>
            <w:tcMar>
              <w:top w:w="80" w:type="dxa"/>
              <w:start w:w="105" w:type="dxa"/>
              <w:bottom w:w="80" w:type="dxa"/>
              <w:end w:w="105" w:type="dxa"/>
            </w:tcMar>
            <w:vAlign w:val="center"/>
            <w:shd w:fill="F4F7F9"/>
          </w:tcPr>
          <w:p>
            <w:pPr>
              <w:spacing w:after="0" w:line="240" w:lineRule="auto"/>
            </w:pPr>
            <w:r>
              <w:rPr>
                <w:color w:val="17242E"/>
                <w:sz w:val="15"/>
              </w:rPr>
              <w:t>DeFi protocol</w:t>
            </w:r>
          </w:p>
        </w:tc>
        <w:tc>
          <w:tcPr>
            <w:tcW w:type="dxa" w:w="1728"/>
            <w:tcMar>
              <w:top w:w="80" w:type="dxa"/>
              <w:start w:w="105" w:type="dxa"/>
              <w:bottom w:w="80" w:type="dxa"/>
              <w:end w:w="105" w:type="dxa"/>
            </w:tcMar>
            <w:vAlign w:val="center"/>
            <w:shd w:fill="F4F7F9"/>
          </w:tcPr>
          <w:p>
            <w:pPr>
              <w:spacing w:after="0" w:line="240" w:lineRule="auto"/>
            </w:pPr>
            <w:r>
              <w:rPr>
                <w:color w:val="17242E"/>
                <w:sz w:val="15"/>
              </w:rPr>
              <w:t>UNI, AAVE, CRV, SKY</w:t>
            </w:r>
          </w:p>
        </w:tc>
        <w:tc>
          <w:tcPr>
            <w:tcW w:type="dxa" w:w="3024"/>
            <w:tcMar>
              <w:top w:w="80" w:type="dxa"/>
              <w:start w:w="105" w:type="dxa"/>
              <w:bottom w:w="80" w:type="dxa"/>
              <w:end w:w="105" w:type="dxa"/>
            </w:tcMar>
            <w:vAlign w:val="center"/>
            <w:shd w:fill="F4F7F9"/>
          </w:tcPr>
          <w:p>
            <w:pPr>
              <w:spacing w:after="0" w:line="240" w:lineRule="auto"/>
            </w:pPr>
            <w:r>
              <w:rPr>
                <w:color w:val="17242E"/>
                <w:sz w:val="15"/>
              </w:rPr>
              <w:t>exchange, lending, liquidity, monetary governance</w:t>
            </w:r>
          </w:p>
        </w:tc>
        <w:tc>
          <w:tcPr>
            <w:tcW w:type="dxa" w:w="3312"/>
            <w:tcMar>
              <w:top w:w="80" w:type="dxa"/>
              <w:start w:w="105" w:type="dxa"/>
              <w:bottom w:w="80" w:type="dxa"/>
              <w:end w:w="105" w:type="dxa"/>
            </w:tcMar>
            <w:vAlign w:val="center"/>
            <w:shd w:fill="F4F7F9"/>
          </w:tcPr>
          <w:p>
            <w:pPr>
              <w:spacing w:after="0" w:line="240" w:lineRule="auto"/>
            </w:pPr>
            <w:r>
              <w:rPr>
                <w:color w:val="17242E"/>
                <w:sz w:val="15"/>
              </w:rPr>
              <w:t>governance; protocol cash-flow linkage; utility; incentives</w:t>
            </w:r>
          </w:p>
        </w:tc>
      </w:tr>
      <w:tr>
        <w:tc>
          <w:tcPr>
            <w:tcW w:type="dxa" w:w="1728"/>
            <w:tcMar>
              <w:top w:w="80" w:type="dxa"/>
              <w:start w:w="105" w:type="dxa"/>
              <w:bottom w:w="80" w:type="dxa"/>
              <w:end w:w="105" w:type="dxa"/>
            </w:tcMar>
            <w:vAlign w:val="center"/>
          </w:tcPr>
          <w:p>
            <w:pPr>
              <w:spacing w:after="0" w:line="240" w:lineRule="auto"/>
            </w:pPr>
            <w:r>
              <w:rPr>
                <w:color w:val="17242E"/>
                <w:sz w:val="15"/>
              </w:rPr>
              <w:t>Oracle / service infrastructure</w:t>
            </w:r>
          </w:p>
        </w:tc>
        <w:tc>
          <w:tcPr>
            <w:tcW w:type="dxa" w:w="1728"/>
            <w:tcMar>
              <w:top w:w="80" w:type="dxa"/>
              <w:start w:w="105" w:type="dxa"/>
              <w:bottom w:w="80" w:type="dxa"/>
              <w:end w:w="105" w:type="dxa"/>
            </w:tcMar>
            <w:vAlign w:val="center"/>
          </w:tcPr>
          <w:p>
            <w:pPr>
              <w:spacing w:after="0" w:line="240" w:lineRule="auto"/>
            </w:pPr>
            <w:r>
              <w:rPr>
                <w:color w:val="17242E"/>
                <w:sz w:val="15"/>
              </w:rPr>
              <w:t>LINK</w:t>
            </w:r>
          </w:p>
        </w:tc>
        <w:tc>
          <w:tcPr>
            <w:tcW w:type="dxa" w:w="3024"/>
            <w:tcMar>
              <w:top w:w="80" w:type="dxa"/>
              <w:start w:w="105" w:type="dxa"/>
              <w:bottom w:w="80" w:type="dxa"/>
              <w:end w:w="105" w:type="dxa"/>
            </w:tcMar>
            <w:vAlign w:val="center"/>
          </w:tcPr>
          <w:p>
            <w:pPr>
              <w:spacing w:after="0" w:line="240" w:lineRule="auto"/>
            </w:pPr>
            <w:r>
              <w:rPr>
                <w:color w:val="17242E"/>
                <w:sz w:val="15"/>
              </w:rPr>
              <w:t>data/service procurement and security</w:t>
            </w:r>
          </w:p>
        </w:tc>
        <w:tc>
          <w:tcPr>
            <w:tcW w:type="dxa" w:w="3312"/>
            <w:tcMar>
              <w:top w:w="80" w:type="dxa"/>
              <w:start w:w="105" w:type="dxa"/>
              <w:bottom w:w="80" w:type="dxa"/>
              <w:end w:w="105" w:type="dxa"/>
            </w:tcMar>
            <w:vAlign w:val="center"/>
          </w:tcPr>
          <w:p>
            <w:pPr>
              <w:spacing w:after="0" w:line="240" w:lineRule="auto"/>
            </w:pPr>
            <w:r>
              <w:rPr>
                <w:color w:val="17242E"/>
                <w:sz w:val="15"/>
              </w:rPr>
              <w:t>utility; staking; protocol/service demand</w:t>
            </w:r>
          </w:p>
        </w:tc>
      </w:tr>
      <w:tr>
        <w:tc>
          <w:tcPr>
            <w:tcW w:type="dxa" w:w="1728"/>
            <w:tcMar>
              <w:top w:w="80" w:type="dxa"/>
              <w:start w:w="105" w:type="dxa"/>
              <w:bottom w:w="80" w:type="dxa"/>
              <w:end w:w="105" w:type="dxa"/>
            </w:tcMar>
            <w:vAlign w:val="center"/>
            <w:shd w:fill="F4F7F9"/>
          </w:tcPr>
          <w:p>
            <w:pPr>
              <w:spacing w:after="0" w:line="240" w:lineRule="auto"/>
            </w:pPr>
            <w:r>
              <w:rPr>
                <w:color w:val="17242E"/>
                <w:sz w:val="15"/>
              </w:rPr>
              <w:t>Liquid-staking governance</w:t>
            </w:r>
          </w:p>
        </w:tc>
        <w:tc>
          <w:tcPr>
            <w:tcW w:type="dxa" w:w="1728"/>
            <w:tcMar>
              <w:top w:w="80" w:type="dxa"/>
              <w:start w:w="105" w:type="dxa"/>
              <w:bottom w:w="80" w:type="dxa"/>
              <w:end w:w="105" w:type="dxa"/>
            </w:tcMar>
            <w:vAlign w:val="center"/>
            <w:shd w:fill="F4F7F9"/>
          </w:tcPr>
          <w:p>
            <w:pPr>
              <w:spacing w:after="0" w:line="240" w:lineRule="auto"/>
            </w:pPr>
            <w:r>
              <w:rPr>
                <w:color w:val="17242E"/>
                <w:sz w:val="15"/>
              </w:rPr>
              <w:t>LDO</w:t>
            </w:r>
          </w:p>
        </w:tc>
        <w:tc>
          <w:tcPr>
            <w:tcW w:type="dxa" w:w="3024"/>
            <w:tcMar>
              <w:top w:w="80" w:type="dxa"/>
              <w:start w:w="105" w:type="dxa"/>
              <w:bottom w:w="80" w:type="dxa"/>
              <w:end w:w="105" w:type="dxa"/>
            </w:tcMar>
            <w:vAlign w:val="center"/>
            <w:shd w:fill="F4F7F9"/>
          </w:tcPr>
          <w:p>
            <w:pPr>
              <w:spacing w:after="0" w:line="240" w:lineRule="auto"/>
            </w:pPr>
            <w:r>
              <w:rPr>
                <w:color w:val="17242E"/>
                <w:sz w:val="15"/>
              </w:rPr>
              <w:t>governance of staking middleware</w:t>
            </w:r>
          </w:p>
        </w:tc>
        <w:tc>
          <w:tcPr>
            <w:tcW w:type="dxa" w:w="3312"/>
            <w:tcMar>
              <w:top w:w="80" w:type="dxa"/>
              <w:start w:w="105" w:type="dxa"/>
              <w:bottom w:w="80" w:type="dxa"/>
              <w:end w:w="105" w:type="dxa"/>
            </w:tcMar>
            <w:vAlign w:val="center"/>
            <w:shd w:fill="F4F7F9"/>
          </w:tcPr>
          <w:p>
            <w:pPr>
              <w:spacing w:after="0" w:line="240" w:lineRule="auto"/>
            </w:pPr>
            <w:r>
              <w:rPr>
                <w:color w:val="17242E"/>
                <w:sz w:val="15"/>
              </w:rPr>
              <w:t>governance; protocol economics, if activated</w:t>
            </w:r>
          </w:p>
        </w:tc>
      </w:tr>
      <w:tr>
        <w:tc>
          <w:tcPr>
            <w:tcW w:type="dxa" w:w="1728"/>
            <w:tcMar>
              <w:top w:w="80" w:type="dxa"/>
              <w:start w:w="105" w:type="dxa"/>
              <w:bottom w:w="80" w:type="dxa"/>
              <w:end w:w="105" w:type="dxa"/>
            </w:tcMar>
            <w:vAlign w:val="center"/>
          </w:tcPr>
          <w:p>
            <w:pPr>
              <w:spacing w:after="0" w:line="240" w:lineRule="auto"/>
            </w:pPr>
            <w:r>
              <w:rPr>
                <w:color w:val="17242E"/>
                <w:sz w:val="15"/>
              </w:rPr>
              <w:t>Ecosystem / exchange-linked</w:t>
            </w:r>
          </w:p>
        </w:tc>
        <w:tc>
          <w:tcPr>
            <w:tcW w:type="dxa" w:w="1728"/>
            <w:tcMar>
              <w:top w:w="80" w:type="dxa"/>
              <w:start w:w="105" w:type="dxa"/>
              <w:bottom w:w="80" w:type="dxa"/>
              <w:end w:w="105" w:type="dxa"/>
            </w:tcMar>
            <w:vAlign w:val="center"/>
          </w:tcPr>
          <w:p>
            <w:pPr>
              <w:spacing w:after="0" w:line="240" w:lineRule="auto"/>
            </w:pPr>
            <w:r>
              <w:rPr>
                <w:color w:val="17242E"/>
                <w:sz w:val="15"/>
              </w:rPr>
              <w:t>BNB</w:t>
            </w:r>
          </w:p>
        </w:tc>
        <w:tc>
          <w:tcPr>
            <w:tcW w:type="dxa" w:w="3024"/>
            <w:tcMar>
              <w:top w:w="80" w:type="dxa"/>
              <w:start w:w="105" w:type="dxa"/>
              <w:bottom w:w="80" w:type="dxa"/>
              <w:end w:w="105" w:type="dxa"/>
            </w:tcMar>
            <w:vAlign w:val="center"/>
          </w:tcPr>
          <w:p>
            <w:pPr>
              <w:spacing w:after="0" w:line="240" w:lineRule="auto"/>
            </w:pPr>
            <w:r>
              <w:rPr>
                <w:color w:val="17242E"/>
                <w:sz w:val="15"/>
              </w:rPr>
              <w:t>gas, staking, exchange/ecosystem utility</w:t>
            </w:r>
          </w:p>
        </w:tc>
        <w:tc>
          <w:tcPr>
            <w:tcW w:type="dxa" w:w="3312"/>
            <w:tcMar>
              <w:top w:w="80" w:type="dxa"/>
              <w:start w:w="105" w:type="dxa"/>
              <w:bottom w:w="80" w:type="dxa"/>
              <w:end w:w="105" w:type="dxa"/>
            </w:tcMar>
            <w:vAlign w:val="center"/>
          </w:tcPr>
          <w:p>
            <w:pPr>
              <w:spacing w:after="0" w:line="240" w:lineRule="auto"/>
            </w:pPr>
            <w:r>
              <w:rPr>
                <w:color w:val="17242E"/>
                <w:sz w:val="15"/>
              </w:rPr>
              <w:t>gas; stake; burns; utility; incentive</w:t>
            </w:r>
          </w:p>
        </w:tc>
      </w:tr>
    </w:tbl>
    <w:p>
      <w:pPr>
        <w:spacing w:after="20"/>
      </w:pPr>
    </w:p>
    <w:p>
      <w:pPr>
        <w:pStyle w:val="Caption"/>
        <w:spacing w:before="40" w:after="100"/>
      </w:pPr>
      <w:r>
        <w:rPr>
          <w:b/>
        </w:rPr>
        <w:t xml:space="preserve">Source: </w:t>
      </w:r>
      <w:r>
        <w:t>Ethereum base fees are burned under EIP-1559 — https://eips.ethereum.org/EIPS/eip-1559</w:t>
      </w:r>
    </w:p>
    <w:p>
      <w:pPr>
        <w:pStyle w:val="Caption"/>
        <w:spacing w:before="40" w:after="100"/>
      </w:pPr>
      <w:r>
        <w:rPr>
          <w:b/>
        </w:rPr>
        <w:t xml:space="preserve">Source: </w:t>
      </w:r>
      <w:r>
        <w:t>Bitcoin Core validates the protocol’s 21 million limit — https://bitcoin.org/en/bitcoin-core/features/validation</w:t>
      </w:r>
    </w:p>
    <w:p>
      <w:pPr>
        <w:pStyle w:val="Heading1"/>
      </w:pPr>
      <w:r>
        <w:rPr>
          <w:b w:val="0"/>
          <w:i w:val="0"/>
        </w:rPr>
        <w:t>4. Formal value-accrual codebook</w:t>
      </w:r>
    </w:p>
    <w:tbl>
      <w:tblPr>
        <w:tblW w:type="auto" w:w="0"/>
        <w:tblLayout w:type="fixed"/>
        <w:tblLook w:firstColumn="1" w:firstRow="1" w:lastColumn="0" w:lastRow="0" w:noHBand="0" w:noVBand="1" w:val="04A0"/>
      </w:tblPr>
      <w:tblGrid>
        <w:gridCol w:w="9648"/>
      </w:tblGrid>
      <w:tr>
        <w:tc>
          <w:tcPr>
            <w:tcW w:type="dxa" w:w="9878"/>
            <w:shd w:fill="EAF1F5"/>
            <w:tcMar>
              <w:top w:w="130" w:type="dxa"/>
              <w:start w:w="170" w:type="dxa"/>
              <w:bottom w:w="130" w:type="dxa"/>
              <w:end w:w="170" w:type="dxa"/>
            </w:tcMar>
          </w:tcPr>
          <w:p>
            <w:pPr>
              <w:spacing w:after="0"/>
            </w:pPr>
            <w:r>
              <w:rPr>
                <w:b/>
                <w:color w:val="167D7F"/>
              </w:rPr>
              <w:t xml:space="preserve">Coding convention  </w:t>
            </w:r>
            <w:r>
              <w:t>Each VA variable is binary for the primary specification and accompanied by VA_*_strength ∈ {0,1,2}, evidence_url, evidence_date, activation_start, activation_end, coder, and confidence. “1” means the criterion is met during the coded period—not that price must rise.</w:t>
            </w:r>
          </w:p>
        </w:tc>
      </w:tr>
    </w:tbl>
    <w:p>
      <w:pPr>
        <w:spacing w:after="20"/>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shd w:fill="183A5A"/>
            <w:tcMar>
              <w:top w:w="80" w:type="dxa"/>
              <w:start w:w="105" w:type="dxa"/>
              <w:bottom w:w="80" w:type="dxa"/>
              <w:end w:w="105" w:type="dxa"/>
            </w:tcMar>
            <w:vAlign w:val="center"/>
          </w:tcPr>
          <w:p>
            <w:pPr>
              <w:spacing w:after="0"/>
            </w:pPr>
            <w:r>
              <w:rPr>
                <w:b/>
                <w:color w:val="FFFFFF"/>
                <w:sz w:val="14"/>
              </w:rPr>
              <w:t>Code</w:t>
            </w:r>
          </w:p>
        </w:tc>
        <w:tc>
          <w:tcPr>
            <w:tcW w:type="dxa" w:w="4968"/>
            <w:shd w:fill="183A5A"/>
            <w:tcMar>
              <w:top w:w="80" w:type="dxa"/>
              <w:start w:w="105" w:type="dxa"/>
              <w:bottom w:w="80" w:type="dxa"/>
              <w:end w:w="105" w:type="dxa"/>
            </w:tcMar>
            <w:vAlign w:val="center"/>
          </w:tcPr>
          <w:p>
            <w:pPr>
              <w:spacing w:after="0"/>
            </w:pPr>
            <w:r>
              <w:rPr>
                <w:b/>
                <w:color w:val="FFFFFF"/>
                <w:sz w:val="14"/>
              </w:rPr>
              <w:t>Set to 1 when…</w:t>
            </w:r>
          </w:p>
        </w:tc>
        <w:tc>
          <w:tcPr>
            <w:tcW w:type="dxa" w:w="3240"/>
            <w:shd w:fill="183A5A"/>
            <w:tcMar>
              <w:top w:w="80" w:type="dxa"/>
              <w:start w:w="105" w:type="dxa"/>
              <w:bottom w:w="80" w:type="dxa"/>
              <w:end w:w="105" w:type="dxa"/>
            </w:tcMar>
            <w:vAlign w:val="center"/>
          </w:tcPr>
          <w:p>
            <w:pPr>
              <w:spacing w:after="0"/>
            </w:pPr>
            <w:r>
              <w:rPr>
                <w:b/>
                <w:color w:val="FFFFFF"/>
                <w:sz w:val="14"/>
              </w:rPr>
              <w:t>Exclusions / evidence test</w:t>
            </w:r>
          </w:p>
        </w:tc>
      </w:tr>
      <w:tr>
        <w:tc>
          <w:tcPr>
            <w:tcW w:type="dxa" w:w="1440"/>
            <w:tcMar>
              <w:top w:w="80" w:type="dxa"/>
              <w:start w:w="105" w:type="dxa"/>
              <w:bottom w:w="80" w:type="dxa"/>
              <w:end w:w="105" w:type="dxa"/>
            </w:tcMar>
            <w:vAlign w:val="center"/>
          </w:tcPr>
          <w:p>
            <w:pPr>
              <w:spacing w:after="0" w:line="240" w:lineRule="auto"/>
            </w:pPr>
            <w:r>
              <w:rPr>
                <w:color w:val="17242E"/>
                <w:sz w:val="14"/>
              </w:rPr>
              <w:t>VA_MONETARY</w:t>
            </w:r>
          </w:p>
        </w:tc>
        <w:tc>
          <w:tcPr>
            <w:tcW w:type="dxa" w:w="4968"/>
            <w:tcMar>
              <w:top w:w="80" w:type="dxa"/>
              <w:start w:w="105" w:type="dxa"/>
              <w:bottom w:w="80" w:type="dxa"/>
              <w:end w:w="105" w:type="dxa"/>
            </w:tcMar>
            <w:vAlign w:val="center"/>
          </w:tcPr>
          <w:p>
            <w:pPr>
              <w:spacing w:after="0" w:line="240" w:lineRule="auto"/>
            </w:pPr>
            <w:r>
              <w:rPr>
                <w:color w:val="17242E"/>
                <w:sz w:val="14"/>
              </w:rPr>
              <w:t>The asset is materially used or explicitly held as medium of exchange, settlement asset, reserve/store of value, or unit of account; satisfy ≥2: meaningful transfer/settlement volume, broad venue/wallet acceptance, material long-horizon holdings, or credible monetary policy narrative supported by behavior.</w:t>
            </w:r>
          </w:p>
        </w:tc>
        <w:tc>
          <w:tcPr>
            <w:tcW w:type="dxa" w:w="3240"/>
            <w:tcMar>
              <w:top w:w="80" w:type="dxa"/>
              <w:start w:w="105" w:type="dxa"/>
              <w:bottom w:w="80" w:type="dxa"/>
              <w:end w:w="105" w:type="dxa"/>
            </w:tcMar>
            <w:vAlign w:val="center"/>
          </w:tcPr>
          <w:p>
            <w:pPr>
              <w:spacing w:after="0" w:line="240" w:lineRule="auto"/>
            </w:pPr>
            <w:r>
              <w:rPr>
                <w:color w:val="17242E"/>
                <w:sz w:val="14"/>
              </w:rPr>
              <w:t>Marketing alone fails. Stablecoins qualify if transactional/settlement use is observable; governance tokens do not qualify merely because transferable.</w:t>
            </w:r>
          </w:p>
        </w:tc>
      </w:tr>
      <w:tr>
        <w:tc>
          <w:tcPr>
            <w:tcW w:type="dxa" w:w="1440"/>
            <w:tcMar>
              <w:top w:w="80" w:type="dxa"/>
              <w:start w:w="105" w:type="dxa"/>
              <w:bottom w:w="80" w:type="dxa"/>
              <w:end w:w="105" w:type="dxa"/>
            </w:tcMar>
            <w:vAlign w:val="center"/>
            <w:shd w:fill="F4F7F9"/>
          </w:tcPr>
          <w:p>
            <w:pPr>
              <w:spacing w:after="0" w:line="240" w:lineRule="auto"/>
            </w:pPr>
            <w:r>
              <w:rPr>
                <w:color w:val="17242E"/>
                <w:sz w:val="14"/>
              </w:rPr>
              <w:t>VA_GAS</w:t>
            </w:r>
          </w:p>
        </w:tc>
        <w:tc>
          <w:tcPr>
            <w:tcW w:type="dxa" w:w="4968"/>
            <w:tcMar>
              <w:top w:w="80" w:type="dxa"/>
              <w:start w:w="105" w:type="dxa"/>
              <w:bottom w:w="80" w:type="dxa"/>
              <w:end w:w="105" w:type="dxa"/>
            </w:tcMar>
            <w:vAlign w:val="center"/>
            <w:shd w:fill="F4F7F9"/>
          </w:tcPr>
          <w:p>
            <w:pPr>
              <w:spacing w:after="0" w:line="240" w:lineRule="auto"/>
            </w:pPr>
            <w:r>
              <w:rPr>
                <w:color w:val="17242E"/>
                <w:sz w:val="14"/>
              </w:rPr>
              <w:t>The native token is required by protocol rules to pay transaction, execution, storage, or blockspace fees for ordinary network use.</w:t>
            </w:r>
          </w:p>
        </w:tc>
        <w:tc>
          <w:tcPr>
            <w:tcW w:type="dxa" w:w="3240"/>
            <w:tcMar>
              <w:top w:w="80" w:type="dxa"/>
              <w:start w:w="105" w:type="dxa"/>
              <w:bottom w:w="80" w:type="dxa"/>
              <w:end w:w="105" w:type="dxa"/>
            </w:tcMar>
            <w:vAlign w:val="center"/>
            <w:shd w:fill="F4F7F9"/>
          </w:tcPr>
          <w:p>
            <w:pPr>
              <w:spacing w:after="0" w:line="240" w:lineRule="auto"/>
            </w:pPr>
            <w:r>
              <w:rPr>
                <w:color w:val="17242E"/>
                <w:sz w:val="14"/>
              </w:rPr>
              <w:t>Optional fee discounts or payment via conversion wrappers do not qualify unless the token is protocol-required at settlement.</w:t>
            </w:r>
          </w:p>
        </w:tc>
      </w:tr>
      <w:tr>
        <w:tc>
          <w:tcPr>
            <w:tcW w:type="dxa" w:w="1440"/>
            <w:tcMar>
              <w:top w:w="80" w:type="dxa"/>
              <w:start w:w="105" w:type="dxa"/>
              <w:bottom w:w="80" w:type="dxa"/>
              <w:end w:w="105" w:type="dxa"/>
            </w:tcMar>
            <w:vAlign w:val="center"/>
          </w:tcPr>
          <w:p>
            <w:pPr>
              <w:spacing w:after="0" w:line="240" w:lineRule="auto"/>
            </w:pPr>
            <w:r>
              <w:rPr>
                <w:color w:val="17242E"/>
                <w:sz w:val="14"/>
              </w:rPr>
              <w:t>VA_STAKE</w:t>
            </w:r>
          </w:p>
        </w:tc>
        <w:tc>
          <w:tcPr>
            <w:tcW w:type="dxa" w:w="4968"/>
            <w:tcMar>
              <w:top w:w="80" w:type="dxa"/>
              <w:start w:w="105" w:type="dxa"/>
              <w:bottom w:w="80" w:type="dxa"/>
              <w:end w:w="105" w:type="dxa"/>
            </w:tcMar>
            <w:vAlign w:val="center"/>
          </w:tcPr>
          <w:p>
            <w:pPr>
              <w:spacing w:after="0" w:line="240" w:lineRule="auto"/>
            </w:pPr>
            <w:r>
              <w:rPr>
                <w:color w:val="17242E"/>
                <w:sz w:val="14"/>
              </w:rPr>
              <w:t>Token must be locked/delegated or placed at slashable/economic risk to validate, secure, or provide protocol services, with active rewards/penalties.</w:t>
            </w:r>
          </w:p>
        </w:tc>
        <w:tc>
          <w:tcPr>
            <w:tcW w:type="dxa" w:w="3240"/>
            <w:tcMar>
              <w:top w:w="80" w:type="dxa"/>
              <w:start w:w="105" w:type="dxa"/>
              <w:bottom w:w="80" w:type="dxa"/>
              <w:end w:w="105" w:type="dxa"/>
            </w:tcMar>
            <w:vAlign w:val="center"/>
          </w:tcPr>
          <w:p>
            <w:pPr>
              <w:spacing w:after="0" w:line="240" w:lineRule="auto"/>
            </w:pPr>
            <w:r>
              <w:rPr>
                <w:color w:val="17242E"/>
                <w:sz w:val="14"/>
              </w:rPr>
              <w:t>Passive yield, liquidity mining, or non-security lockups excluded.</w:t>
            </w:r>
          </w:p>
        </w:tc>
      </w:tr>
      <w:tr>
        <w:tc>
          <w:tcPr>
            <w:tcW w:type="dxa" w:w="1440"/>
            <w:tcMar>
              <w:top w:w="80" w:type="dxa"/>
              <w:start w:w="105" w:type="dxa"/>
              <w:bottom w:w="80" w:type="dxa"/>
              <w:end w:w="105" w:type="dxa"/>
            </w:tcMar>
            <w:vAlign w:val="center"/>
            <w:shd w:fill="F4F7F9"/>
          </w:tcPr>
          <w:p>
            <w:pPr>
              <w:spacing w:after="0" w:line="240" w:lineRule="auto"/>
            </w:pPr>
            <w:r>
              <w:rPr>
                <w:color w:val="17242E"/>
                <w:sz w:val="14"/>
              </w:rPr>
              <w:t>VA_BURN</w:t>
            </w:r>
          </w:p>
        </w:tc>
        <w:tc>
          <w:tcPr>
            <w:tcW w:type="dxa" w:w="4968"/>
            <w:tcMar>
              <w:top w:w="80" w:type="dxa"/>
              <w:start w:w="105" w:type="dxa"/>
              <w:bottom w:w="80" w:type="dxa"/>
              <w:end w:w="105" w:type="dxa"/>
            </w:tcMar>
            <w:vAlign w:val="center"/>
            <w:shd w:fill="F4F7F9"/>
          </w:tcPr>
          <w:p>
            <w:pPr>
              <w:spacing w:after="0" w:line="240" w:lineRule="auto"/>
            </w:pPr>
            <w:r>
              <w:rPr>
                <w:color w:val="17242E"/>
                <w:sz w:val="14"/>
              </w:rPr>
              <w:t>A live, rules-based mechanism irreversibly destroys tokens, and burn is linked to usage, revenue, or scheduled protocol action.</w:t>
            </w:r>
          </w:p>
        </w:tc>
        <w:tc>
          <w:tcPr>
            <w:tcW w:type="dxa" w:w="3240"/>
            <w:tcMar>
              <w:top w:w="80" w:type="dxa"/>
              <w:start w:w="105" w:type="dxa"/>
              <w:bottom w:w="80" w:type="dxa"/>
              <w:end w:w="105" w:type="dxa"/>
            </w:tcMar>
            <w:vAlign w:val="center"/>
            <w:shd w:fill="F4F7F9"/>
          </w:tcPr>
          <w:p>
            <w:pPr>
              <w:spacing w:after="0" w:line="240" w:lineRule="auto"/>
            </w:pPr>
            <w:r>
              <w:rPr>
                <w:color w:val="17242E"/>
                <w:sz w:val="14"/>
              </w:rPr>
              <w:t>Discretionary buyback announcements without completed burns are strength 0; one-off burns are coded with dates.</w:t>
            </w:r>
          </w:p>
        </w:tc>
      </w:tr>
      <w:tr>
        <w:tc>
          <w:tcPr>
            <w:tcW w:type="dxa" w:w="1440"/>
            <w:tcMar>
              <w:top w:w="80" w:type="dxa"/>
              <w:start w:w="105" w:type="dxa"/>
              <w:bottom w:w="80" w:type="dxa"/>
              <w:end w:w="105" w:type="dxa"/>
            </w:tcMar>
            <w:vAlign w:val="center"/>
          </w:tcPr>
          <w:p>
            <w:pPr>
              <w:spacing w:after="0" w:line="240" w:lineRule="auto"/>
            </w:pPr>
            <w:r>
              <w:rPr>
                <w:color w:val="17242E"/>
                <w:sz w:val="14"/>
              </w:rPr>
              <w:t>VA_SCARCITY</w:t>
            </w:r>
          </w:p>
        </w:tc>
        <w:tc>
          <w:tcPr>
            <w:tcW w:type="dxa" w:w="4968"/>
            <w:tcMar>
              <w:top w:w="80" w:type="dxa"/>
              <w:start w:w="105" w:type="dxa"/>
              <w:bottom w:w="80" w:type="dxa"/>
              <w:end w:w="105" w:type="dxa"/>
            </w:tcMar>
            <w:vAlign w:val="center"/>
          </w:tcPr>
          <w:p>
            <w:pPr>
              <w:spacing w:after="0" w:line="240" w:lineRule="auto"/>
            </w:pPr>
            <w:r>
              <w:rPr>
                <w:color w:val="17242E"/>
                <w:sz w:val="14"/>
              </w:rPr>
              <w:t>Supply has a credible hard cap or deterministic terminal bound that cannot be changed without exceptional consensus/governance; annualized dilution must also be reported.</w:t>
            </w:r>
          </w:p>
        </w:tc>
        <w:tc>
          <w:tcPr>
            <w:tcW w:type="dxa" w:w="3240"/>
            <w:tcMar>
              <w:top w:w="80" w:type="dxa"/>
              <w:start w:w="105" w:type="dxa"/>
              <w:bottom w:w="80" w:type="dxa"/>
              <w:end w:w="105" w:type="dxa"/>
            </w:tcMar>
            <w:vAlign w:val="center"/>
          </w:tcPr>
          <w:p>
            <w:pPr>
              <w:spacing w:after="0" w:line="240" w:lineRule="auto"/>
            </w:pPr>
            <w:r>
              <w:rPr>
                <w:color w:val="17242E"/>
                <w:sz w:val="14"/>
              </w:rPr>
              <w:t>A nominal max supply with routine governance override, large undisclosed unlocks, or rebasing does not earn strength 2.</w:t>
            </w:r>
          </w:p>
        </w:tc>
      </w:tr>
      <w:tr>
        <w:tc>
          <w:tcPr>
            <w:tcW w:type="dxa" w:w="1440"/>
            <w:tcMar>
              <w:top w:w="80" w:type="dxa"/>
              <w:start w:w="105" w:type="dxa"/>
              <w:bottom w:w="80" w:type="dxa"/>
              <w:end w:w="105" w:type="dxa"/>
            </w:tcMar>
            <w:vAlign w:val="center"/>
            <w:shd w:fill="F4F7F9"/>
          </w:tcPr>
          <w:p>
            <w:pPr>
              <w:spacing w:after="0" w:line="240" w:lineRule="auto"/>
            </w:pPr>
            <w:r>
              <w:rPr>
                <w:color w:val="17242E"/>
                <w:sz w:val="14"/>
              </w:rPr>
              <w:t>VA_COLLATERAL</w:t>
            </w:r>
          </w:p>
        </w:tc>
        <w:tc>
          <w:tcPr>
            <w:tcW w:type="dxa" w:w="4968"/>
            <w:tcMar>
              <w:top w:w="80" w:type="dxa"/>
              <w:start w:w="105" w:type="dxa"/>
              <w:bottom w:w="80" w:type="dxa"/>
              <w:end w:w="105" w:type="dxa"/>
            </w:tcMar>
            <w:vAlign w:val="center"/>
            <w:shd w:fill="F4F7F9"/>
          </w:tcPr>
          <w:p>
            <w:pPr>
              <w:spacing w:after="0" w:line="240" w:lineRule="auto"/>
            </w:pPr>
            <w:r>
              <w:rPr>
                <w:color w:val="17242E"/>
                <w:sz w:val="14"/>
              </w:rPr>
              <w:t>Asset is accepted as collateral in economically material lending, derivatives, stablecoin, or security systems. Primary rule: collateral TVL ≥1% of circulating market cap or ≥$100m for ≥90 days; sensitivity uses 0.5%/$50m.</w:t>
            </w:r>
          </w:p>
        </w:tc>
        <w:tc>
          <w:tcPr>
            <w:tcW w:type="dxa" w:w="3240"/>
            <w:tcMar>
              <w:top w:w="80" w:type="dxa"/>
              <w:start w:w="105" w:type="dxa"/>
              <w:bottom w:w="80" w:type="dxa"/>
              <w:end w:w="105" w:type="dxa"/>
            </w:tcMar>
            <w:vAlign w:val="center"/>
            <w:shd w:fill="F4F7F9"/>
          </w:tcPr>
          <w:p>
            <w:pPr>
              <w:spacing w:after="0" w:line="240" w:lineRule="auto"/>
            </w:pPr>
            <w:r>
              <w:rPr>
                <w:color w:val="17242E"/>
                <w:sz w:val="14"/>
              </w:rPr>
              <w:t>Wallet holdings, LP pairing, or staking alone excluded; wrapped representations consolidated to underlying.</w:t>
            </w:r>
          </w:p>
        </w:tc>
      </w:tr>
      <w:tr>
        <w:tc>
          <w:tcPr>
            <w:tcW w:type="dxa" w:w="1440"/>
            <w:tcMar>
              <w:top w:w="80" w:type="dxa"/>
              <w:start w:w="105" w:type="dxa"/>
              <w:bottom w:w="80" w:type="dxa"/>
              <w:end w:w="105" w:type="dxa"/>
            </w:tcMar>
            <w:vAlign w:val="center"/>
          </w:tcPr>
          <w:p>
            <w:pPr>
              <w:spacing w:after="0" w:line="240" w:lineRule="auto"/>
            </w:pPr>
            <w:r>
              <w:rPr>
                <w:color w:val="17242E"/>
                <w:sz w:val="14"/>
              </w:rPr>
              <w:t>VA_GOV</w:t>
            </w:r>
          </w:p>
        </w:tc>
        <w:tc>
          <w:tcPr>
            <w:tcW w:type="dxa" w:w="4968"/>
            <w:tcMar>
              <w:top w:w="80" w:type="dxa"/>
              <w:start w:w="105" w:type="dxa"/>
              <w:bottom w:w="80" w:type="dxa"/>
              <w:end w:w="105" w:type="dxa"/>
            </w:tcMar>
            <w:vAlign w:val="center"/>
          </w:tcPr>
          <w:p>
            <w:pPr>
              <w:spacing w:after="0" w:line="240" w:lineRule="auto"/>
            </w:pPr>
            <w:r>
              <w:rPr>
                <w:color w:val="17242E"/>
                <w:sz w:val="14"/>
              </w:rPr>
              <w:t>Holding/delegating the token gives live, exercisable voting, proposal, veto, or treasury-control power.</w:t>
            </w:r>
          </w:p>
        </w:tc>
        <w:tc>
          <w:tcPr>
            <w:tcW w:type="dxa" w:w="3240"/>
            <w:tcMar>
              <w:top w:w="80" w:type="dxa"/>
              <w:start w:w="105" w:type="dxa"/>
              <w:bottom w:w="80" w:type="dxa"/>
              <w:end w:w="105" w:type="dxa"/>
            </w:tcMar>
            <w:vAlign w:val="center"/>
          </w:tcPr>
          <w:p>
            <w:pPr>
              <w:spacing w:after="0" w:line="240" w:lineRule="auto"/>
            </w:pPr>
            <w:r>
              <w:rPr>
                <w:color w:val="17242E"/>
                <w:sz w:val="14"/>
              </w:rPr>
              <w:t>Informal signaling only is strength 0; measure participation and concentration separately.</w:t>
            </w:r>
          </w:p>
        </w:tc>
      </w:tr>
      <w:tr>
        <w:tc>
          <w:tcPr>
            <w:tcW w:type="dxa" w:w="1440"/>
            <w:tcMar>
              <w:top w:w="80" w:type="dxa"/>
              <w:start w:w="105" w:type="dxa"/>
              <w:bottom w:w="80" w:type="dxa"/>
              <w:end w:w="105" w:type="dxa"/>
            </w:tcMar>
            <w:vAlign w:val="center"/>
            <w:shd w:fill="F4F7F9"/>
          </w:tcPr>
          <w:p>
            <w:pPr>
              <w:spacing w:after="0" w:line="240" w:lineRule="auto"/>
            </w:pPr>
            <w:r>
              <w:rPr>
                <w:color w:val="17242E"/>
                <w:sz w:val="14"/>
              </w:rPr>
              <w:t>VA_PROTOCOL</w:t>
            </w:r>
          </w:p>
        </w:tc>
        <w:tc>
          <w:tcPr>
            <w:tcW w:type="dxa" w:w="4968"/>
            <w:tcMar>
              <w:top w:w="80" w:type="dxa"/>
              <w:start w:w="105" w:type="dxa"/>
              <w:bottom w:w="80" w:type="dxa"/>
              <w:end w:w="105" w:type="dxa"/>
            </w:tcMar>
            <w:vAlign w:val="center"/>
            <w:shd w:fill="F4F7F9"/>
          </w:tcPr>
          <w:p>
            <w:pPr>
              <w:spacing w:after="0" w:line="240" w:lineRule="auto"/>
            </w:pPr>
            <w:r>
              <w:rPr>
                <w:color w:val="17242E"/>
                <w:sz w:val="14"/>
              </w:rPr>
              <w:t>A live mechanism routes protocol revenue/economic surplus to holders through distribution, buyback/burn, fee discount funded by revenue, or treasury rights with an enforceable governance path.</w:t>
            </w:r>
          </w:p>
        </w:tc>
        <w:tc>
          <w:tcPr>
            <w:tcW w:type="dxa" w:w="3240"/>
            <w:tcMar>
              <w:top w:w="80" w:type="dxa"/>
              <w:start w:w="105" w:type="dxa"/>
              <w:bottom w:w="80" w:type="dxa"/>
              <w:end w:w="105" w:type="dxa"/>
            </w:tcMar>
            <w:vAlign w:val="center"/>
            <w:shd w:fill="F4F7F9"/>
          </w:tcPr>
          <w:p>
            <w:pPr>
              <w:spacing w:after="0" w:line="240" w:lineRule="auto"/>
            </w:pPr>
            <w:r>
              <w:rPr>
                <w:color w:val="17242E"/>
                <w:sz w:val="14"/>
              </w:rPr>
              <w:t>Expected future fee switch or vague “ecosystem value” excluded from binary code; record as PROTOCOL_OPTION=1.</w:t>
            </w:r>
          </w:p>
        </w:tc>
      </w:tr>
      <w:tr>
        <w:tc>
          <w:tcPr>
            <w:tcW w:type="dxa" w:w="1440"/>
            <w:tcMar>
              <w:top w:w="80" w:type="dxa"/>
              <w:start w:w="105" w:type="dxa"/>
              <w:bottom w:w="80" w:type="dxa"/>
              <w:end w:w="105" w:type="dxa"/>
            </w:tcMar>
            <w:vAlign w:val="center"/>
          </w:tcPr>
          <w:p>
            <w:pPr>
              <w:spacing w:after="0" w:line="240" w:lineRule="auto"/>
            </w:pPr>
            <w:r>
              <w:rPr>
                <w:color w:val="17242E"/>
                <w:sz w:val="14"/>
              </w:rPr>
              <w:t>VA_UTILITY</w:t>
            </w:r>
          </w:p>
        </w:tc>
        <w:tc>
          <w:tcPr>
            <w:tcW w:type="dxa" w:w="4968"/>
            <w:tcMar>
              <w:top w:w="80" w:type="dxa"/>
              <w:start w:w="105" w:type="dxa"/>
              <w:bottom w:w="80" w:type="dxa"/>
              <w:end w:w="105" w:type="dxa"/>
            </w:tcMar>
            <w:vAlign w:val="center"/>
          </w:tcPr>
          <w:p>
            <w:pPr>
              <w:spacing w:after="0" w:line="240" w:lineRule="auto"/>
            </w:pPr>
            <w:r>
              <w:rPr>
                <w:color w:val="17242E"/>
                <w:sz w:val="14"/>
              </w:rPr>
              <w:t>Token is technically or contractually required to consume a non-generic service beyond simple transfer—e.g., oracle payment, storage, identity, access, or resource purchase.</w:t>
            </w:r>
          </w:p>
        </w:tc>
        <w:tc>
          <w:tcPr>
            <w:tcW w:type="dxa" w:w="3240"/>
            <w:tcMar>
              <w:top w:w="80" w:type="dxa"/>
              <w:start w:w="105" w:type="dxa"/>
              <w:bottom w:w="80" w:type="dxa"/>
              <w:end w:w="105" w:type="dxa"/>
            </w:tcMar>
            <w:vAlign w:val="center"/>
          </w:tcPr>
          <w:p>
            <w:pPr>
              <w:spacing w:after="0" w:line="240" w:lineRule="auto"/>
            </w:pPr>
            <w:r>
              <w:rPr>
                <w:color w:val="17242E"/>
                <w:sz w:val="14"/>
              </w:rPr>
              <w:t>General tradability, governance alone, or speculative holding excluded.</w:t>
            </w:r>
          </w:p>
        </w:tc>
      </w:tr>
      <w:tr>
        <w:tc>
          <w:tcPr>
            <w:tcW w:type="dxa" w:w="1440"/>
            <w:tcMar>
              <w:top w:w="80" w:type="dxa"/>
              <w:start w:w="105" w:type="dxa"/>
              <w:bottom w:w="80" w:type="dxa"/>
              <w:end w:w="105" w:type="dxa"/>
            </w:tcMar>
            <w:vAlign w:val="center"/>
            <w:shd w:fill="F4F7F9"/>
          </w:tcPr>
          <w:p>
            <w:pPr>
              <w:spacing w:after="0" w:line="240" w:lineRule="auto"/>
            </w:pPr>
            <w:r>
              <w:rPr>
                <w:color w:val="17242E"/>
                <w:sz w:val="14"/>
              </w:rPr>
              <w:t>VA_INCENTIVE</w:t>
            </w:r>
          </w:p>
        </w:tc>
        <w:tc>
          <w:tcPr>
            <w:tcW w:type="dxa" w:w="4968"/>
            <w:tcMar>
              <w:top w:w="80" w:type="dxa"/>
              <w:start w:w="105" w:type="dxa"/>
              <w:bottom w:w="80" w:type="dxa"/>
              <w:end w:w="105" w:type="dxa"/>
            </w:tcMar>
            <w:vAlign w:val="center"/>
            <w:shd w:fill="F4F7F9"/>
          </w:tcPr>
          <w:p>
            <w:pPr>
              <w:spacing w:after="0" w:line="240" w:lineRule="auto"/>
            </w:pPr>
            <w:r>
              <w:rPr>
                <w:color w:val="17242E"/>
                <w:sz w:val="14"/>
              </w:rPr>
              <w:t>Protocol systematically issues/distributes the token to subsidize desired behavior such as liquidity, usage, development, or participation.</w:t>
            </w:r>
          </w:p>
        </w:tc>
        <w:tc>
          <w:tcPr>
            <w:tcW w:type="dxa" w:w="3240"/>
            <w:tcMar>
              <w:top w:w="80" w:type="dxa"/>
              <w:start w:w="105" w:type="dxa"/>
              <w:bottom w:w="80" w:type="dxa"/>
              <w:end w:w="105" w:type="dxa"/>
            </w:tcMar>
            <w:vAlign w:val="center"/>
            <w:shd w:fill="F4F7F9"/>
          </w:tcPr>
          <w:p>
            <w:pPr>
              <w:spacing w:after="0" w:line="240" w:lineRule="auto"/>
            </w:pPr>
            <w:r>
              <w:rPr>
                <w:color w:val="17242E"/>
                <w:sz w:val="14"/>
              </w:rPr>
              <w:t>Consensus staking issuance belongs in VA_STAKE unless a separable subsidy program exists; record gross incentives and net retention.</w:t>
            </w:r>
          </w:p>
        </w:tc>
      </w:tr>
    </w:tbl>
    <w:p>
      <w:pPr>
        <w:spacing w:after="20"/>
      </w:pPr>
    </w:p>
    <w:p>
      <w:pPr>
        <w:pStyle w:val="Heading2"/>
      </w:pPr>
      <w:r>
        <w:rPr>
          <w:b w:val="0"/>
          <w:i w:val="0"/>
        </w:rPr>
        <w:t>Strength scale and adjudication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08"/>
            <w:shd w:fill="183A5A"/>
            <w:tcMar>
              <w:top w:w="80" w:type="dxa"/>
              <w:start w:w="105" w:type="dxa"/>
              <w:bottom w:w="80" w:type="dxa"/>
              <w:end w:w="105" w:type="dxa"/>
            </w:tcMar>
            <w:vAlign w:val="center"/>
          </w:tcPr>
          <w:p>
            <w:pPr>
              <w:spacing w:after="0"/>
            </w:pPr>
            <w:r>
              <w:rPr>
                <w:b/>
                <w:color w:val="FFFFFF"/>
                <w:sz w:val="16"/>
              </w:rPr>
              <w:t>Strength</w:t>
            </w:r>
          </w:p>
        </w:tc>
        <w:tc>
          <w:tcPr>
            <w:tcW w:type="dxa" w:w="4608"/>
            <w:shd w:fill="183A5A"/>
            <w:tcMar>
              <w:top w:w="80" w:type="dxa"/>
              <w:start w:w="105" w:type="dxa"/>
              <w:bottom w:w="80" w:type="dxa"/>
              <w:end w:w="105" w:type="dxa"/>
            </w:tcMar>
            <w:vAlign w:val="center"/>
          </w:tcPr>
          <w:p>
            <w:pPr>
              <w:spacing w:after="0"/>
            </w:pPr>
            <w:r>
              <w:rPr>
                <w:b/>
                <w:color w:val="FFFFFF"/>
                <w:sz w:val="16"/>
              </w:rPr>
              <w:t>Interpretation</w:t>
            </w:r>
          </w:p>
        </w:tc>
        <w:tc>
          <w:tcPr>
            <w:tcW w:type="dxa" w:w="4032"/>
            <w:shd w:fill="183A5A"/>
            <w:tcMar>
              <w:top w:w="80" w:type="dxa"/>
              <w:start w:w="105" w:type="dxa"/>
              <w:bottom w:w="80" w:type="dxa"/>
              <w:end w:w="105" w:type="dxa"/>
            </w:tcMar>
            <w:vAlign w:val="center"/>
          </w:tcPr>
          <w:p>
            <w:pPr>
              <w:spacing w:after="0"/>
            </w:pPr>
            <w:r>
              <w:rPr>
                <w:b/>
                <w:color w:val="FFFFFF"/>
                <w:sz w:val="16"/>
              </w:rPr>
              <w:t>Minimum evidence</w:t>
            </w:r>
          </w:p>
        </w:tc>
      </w:tr>
      <w:tr>
        <w:tc>
          <w:tcPr>
            <w:tcW w:type="dxa" w:w="1008"/>
            <w:tcMar>
              <w:top w:w="80" w:type="dxa"/>
              <w:start w:w="105" w:type="dxa"/>
              <w:bottom w:w="80" w:type="dxa"/>
              <w:end w:w="105" w:type="dxa"/>
            </w:tcMar>
            <w:vAlign w:val="center"/>
          </w:tcPr>
          <w:p>
            <w:pPr>
              <w:spacing w:after="0" w:line="240" w:lineRule="auto"/>
            </w:pPr>
            <w:r>
              <w:rPr>
                <w:color w:val="17242E"/>
                <w:sz w:val="16"/>
              </w:rPr>
              <w:t>0</w:t>
            </w:r>
          </w:p>
        </w:tc>
        <w:tc>
          <w:tcPr>
            <w:tcW w:type="dxa" w:w="4608"/>
            <w:tcMar>
              <w:top w:w="80" w:type="dxa"/>
              <w:start w:w="105" w:type="dxa"/>
              <w:bottom w:w="80" w:type="dxa"/>
              <w:end w:w="105" w:type="dxa"/>
            </w:tcMar>
            <w:vAlign w:val="center"/>
          </w:tcPr>
          <w:p>
            <w:pPr>
              <w:spacing w:after="0" w:line="240" w:lineRule="auto"/>
            </w:pPr>
            <w:r>
              <w:rPr>
                <w:color w:val="17242E"/>
                <w:sz w:val="16"/>
              </w:rPr>
              <w:t>Absent, inactive, purely optional, or de minimis</w:t>
            </w:r>
          </w:p>
        </w:tc>
        <w:tc>
          <w:tcPr>
            <w:tcW w:type="dxa" w:w="4032"/>
            <w:tcMar>
              <w:top w:w="80" w:type="dxa"/>
              <w:start w:w="105" w:type="dxa"/>
              <w:bottom w:w="80" w:type="dxa"/>
              <w:end w:w="105" w:type="dxa"/>
            </w:tcMar>
            <w:vAlign w:val="center"/>
          </w:tcPr>
          <w:p>
            <w:pPr>
              <w:spacing w:after="0" w:line="240" w:lineRule="auto"/>
            </w:pPr>
            <w:r>
              <w:rPr>
                <w:color w:val="17242E"/>
                <w:sz w:val="16"/>
              </w:rPr>
              <w:t>primary source reviewed; criterion not met</w:t>
            </w:r>
          </w:p>
        </w:tc>
      </w:tr>
      <w:tr>
        <w:tc>
          <w:tcPr>
            <w:tcW w:type="dxa" w:w="1008"/>
            <w:tcMar>
              <w:top w:w="80" w:type="dxa"/>
              <w:start w:w="105" w:type="dxa"/>
              <w:bottom w:w="80" w:type="dxa"/>
              <w:end w:w="105" w:type="dxa"/>
            </w:tcMar>
            <w:vAlign w:val="center"/>
            <w:shd w:fill="F4F7F9"/>
          </w:tcPr>
          <w:p>
            <w:pPr>
              <w:spacing w:after="0" w:line="240" w:lineRule="auto"/>
            </w:pPr>
            <w:r>
              <w:rPr>
                <w:color w:val="17242E"/>
                <w:sz w:val="16"/>
              </w:rPr>
              <w:t>1</w:t>
            </w:r>
          </w:p>
        </w:tc>
        <w:tc>
          <w:tcPr>
            <w:tcW w:type="dxa" w:w="4608"/>
            <w:tcMar>
              <w:top w:w="80" w:type="dxa"/>
              <w:start w:w="105" w:type="dxa"/>
              <w:bottom w:w="80" w:type="dxa"/>
              <w:end w:w="105" w:type="dxa"/>
            </w:tcMar>
            <w:vAlign w:val="center"/>
            <w:shd w:fill="F4F7F9"/>
          </w:tcPr>
          <w:p>
            <w:pPr>
              <w:spacing w:after="0" w:line="240" w:lineRule="auto"/>
            </w:pPr>
            <w:r>
              <w:rPr>
                <w:color w:val="17242E"/>
                <w:sz w:val="16"/>
              </w:rPr>
              <w:t>Active but indirect, restricted, recently activated, or economically modest</w:t>
            </w:r>
          </w:p>
        </w:tc>
        <w:tc>
          <w:tcPr>
            <w:tcW w:type="dxa" w:w="4032"/>
            <w:tcMar>
              <w:top w:w="80" w:type="dxa"/>
              <w:start w:w="105" w:type="dxa"/>
              <w:bottom w:w="80" w:type="dxa"/>
              <w:end w:w="105" w:type="dxa"/>
            </w:tcMar>
            <w:vAlign w:val="center"/>
            <w:shd w:fill="F4F7F9"/>
          </w:tcPr>
          <w:p>
            <w:pPr>
              <w:spacing w:after="0" w:line="240" w:lineRule="auto"/>
            </w:pPr>
            <w:r>
              <w:rPr>
                <w:color w:val="17242E"/>
                <w:sz w:val="16"/>
              </w:rPr>
              <w:t>primary source + at least one quantitative indicator</w:t>
            </w:r>
          </w:p>
        </w:tc>
      </w:tr>
      <w:tr>
        <w:tc>
          <w:tcPr>
            <w:tcW w:type="dxa" w:w="1008"/>
            <w:tcMar>
              <w:top w:w="80" w:type="dxa"/>
              <w:start w:w="105" w:type="dxa"/>
              <w:bottom w:w="80" w:type="dxa"/>
              <w:end w:w="105" w:type="dxa"/>
            </w:tcMar>
            <w:vAlign w:val="center"/>
          </w:tcPr>
          <w:p>
            <w:pPr>
              <w:spacing w:after="0" w:line="240" w:lineRule="auto"/>
            </w:pPr>
            <w:r>
              <w:rPr>
                <w:color w:val="17242E"/>
                <w:sz w:val="16"/>
              </w:rPr>
              <w:t>2</w:t>
            </w:r>
          </w:p>
        </w:tc>
        <w:tc>
          <w:tcPr>
            <w:tcW w:type="dxa" w:w="4608"/>
            <w:tcMar>
              <w:top w:w="80" w:type="dxa"/>
              <w:start w:w="105" w:type="dxa"/>
              <w:bottom w:w="80" w:type="dxa"/>
              <w:end w:w="105" w:type="dxa"/>
            </w:tcMar>
            <w:vAlign w:val="center"/>
          </w:tcPr>
          <w:p>
            <w:pPr>
              <w:spacing w:after="0" w:line="240" w:lineRule="auto"/>
            </w:pPr>
            <w:r>
              <w:rPr>
                <w:color w:val="17242E"/>
                <w:sz w:val="16"/>
              </w:rPr>
              <w:t>Active, direct, persistent, and economically material</w:t>
            </w:r>
          </w:p>
        </w:tc>
        <w:tc>
          <w:tcPr>
            <w:tcW w:type="dxa" w:w="4032"/>
            <w:tcMar>
              <w:top w:w="80" w:type="dxa"/>
              <w:start w:w="105" w:type="dxa"/>
              <w:bottom w:w="80" w:type="dxa"/>
              <w:end w:w="105" w:type="dxa"/>
            </w:tcMar>
            <w:vAlign w:val="center"/>
          </w:tcPr>
          <w:p>
            <w:pPr>
              <w:spacing w:after="0" w:line="240" w:lineRule="auto"/>
            </w:pPr>
            <w:r>
              <w:rPr>
                <w:color w:val="17242E"/>
                <w:sz w:val="16"/>
              </w:rPr>
              <w:t>primary source + ≥90 days of material observed use or contractual directness</w:t>
            </w:r>
          </w:p>
        </w:tc>
      </w:tr>
    </w:tbl>
    <w:p>
      <w:pPr>
        <w:spacing w:after="20"/>
      </w:pPr>
    </w:p>
    <w:p>
      <w:pPr>
        <w:pStyle w:val="ListBullet"/>
      </w:pPr>
      <w:r>
        <w:rPr>
          <w:b w:val="0"/>
          <w:i w:val="0"/>
        </w:rPr>
        <w:t>Two independent coders classify the initial sample; report Cohen’s κ by code.</w:t>
      </w:r>
    </w:p>
    <w:p>
      <w:pPr>
        <w:pStyle w:val="ListBullet"/>
      </w:pPr>
      <w:r>
        <w:rPr>
          <w:b w:val="0"/>
          <w:i w:val="0"/>
        </w:rPr>
        <w:t>Disagreements are adjudicated using the written rule, not token reputation.</w:t>
      </w:r>
    </w:p>
    <w:p>
      <w:pPr>
        <w:pStyle w:val="ListBullet"/>
      </w:pPr>
      <w:r>
        <w:rPr>
          <w:b w:val="0"/>
          <w:i w:val="0"/>
        </w:rPr>
        <w:t>Recode at protocol-upgrade, fee-switch, redemption-term, or material governance-change dates.</w:t>
      </w:r>
    </w:p>
    <w:p>
      <w:pPr>
        <w:pStyle w:val="ListBullet"/>
      </w:pPr>
      <w:r>
        <w:rPr>
          <w:b w:val="0"/>
          <w:i w:val="0"/>
        </w:rPr>
        <w:t>Primary regressions use preregistered binary rules; strength and alternate thresholds are robustness checks.</w:t>
      </w:r>
    </w:p>
    <w:p>
      <w:pPr>
        <w:pStyle w:val="Heading1"/>
      </w:pPr>
      <w:r>
        <w:rPr>
          <w:b w:val="0"/>
          <w:i w:val="0"/>
        </w:rPr>
        <w:t>5. Rights and claims taxonomy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728"/>
            <w:shd w:fill="183A5A"/>
            <w:tcMar>
              <w:top w:w="80" w:type="dxa"/>
              <w:start w:w="105" w:type="dxa"/>
              <w:bottom w:w="80" w:type="dxa"/>
              <w:end w:w="105" w:type="dxa"/>
            </w:tcMar>
            <w:vAlign w:val="center"/>
          </w:tcPr>
          <w:p>
            <w:pPr>
              <w:spacing w:after="0"/>
            </w:pPr>
            <w:r>
              <w:rPr>
                <w:b/>
                <w:color w:val="FFFFFF"/>
                <w:sz w:val="15"/>
              </w:rPr>
              <w:t>Code</w:t>
            </w:r>
          </w:p>
        </w:tc>
        <w:tc>
          <w:tcPr>
            <w:tcW w:type="dxa" w:w="4320"/>
            <w:shd w:fill="183A5A"/>
            <w:tcMar>
              <w:top w:w="80" w:type="dxa"/>
              <w:start w:w="105" w:type="dxa"/>
              <w:bottom w:w="80" w:type="dxa"/>
              <w:end w:w="105" w:type="dxa"/>
            </w:tcMar>
            <w:vAlign w:val="center"/>
          </w:tcPr>
          <w:p>
            <w:pPr>
              <w:spacing w:after="0"/>
            </w:pPr>
            <w:r>
              <w:rPr>
                <w:b/>
                <w:color w:val="FFFFFF"/>
                <w:sz w:val="15"/>
              </w:rPr>
              <w:t>Definition</w:t>
            </w:r>
          </w:p>
        </w:tc>
        <w:tc>
          <w:tcPr>
            <w:tcW w:type="dxa" w:w="3888"/>
            <w:shd w:fill="183A5A"/>
            <w:tcMar>
              <w:top w:w="80" w:type="dxa"/>
              <w:start w:w="105" w:type="dxa"/>
              <w:bottom w:w="80" w:type="dxa"/>
              <w:end w:w="105" w:type="dxa"/>
            </w:tcMar>
            <w:vAlign w:val="center"/>
          </w:tcPr>
          <w:p>
            <w:pPr>
              <w:spacing w:after="0"/>
            </w:pPr>
            <w:r>
              <w:rPr>
                <w:b/>
                <w:color w:val="FFFFFF"/>
                <w:sz w:val="15"/>
              </w:rPr>
              <w:t>Measurement fields / caution</w:t>
            </w:r>
          </w:p>
        </w:tc>
      </w:tr>
      <w:tr>
        <w:tc>
          <w:tcPr>
            <w:tcW w:type="dxa" w:w="1728"/>
            <w:tcMar>
              <w:top w:w="80" w:type="dxa"/>
              <w:start w:w="105" w:type="dxa"/>
              <w:bottom w:w="80" w:type="dxa"/>
              <w:end w:w="105" w:type="dxa"/>
            </w:tcMar>
            <w:vAlign w:val="center"/>
          </w:tcPr>
          <w:p>
            <w:pPr>
              <w:spacing w:after="0" w:line="240" w:lineRule="auto"/>
            </w:pPr>
            <w:r>
              <w:rPr>
                <w:color w:val="17242E"/>
                <w:sz w:val="15"/>
              </w:rPr>
              <w:t>CLAIM_REDEMPTION</w:t>
            </w:r>
          </w:p>
        </w:tc>
        <w:tc>
          <w:tcPr>
            <w:tcW w:type="dxa" w:w="4320"/>
            <w:tcMar>
              <w:top w:w="80" w:type="dxa"/>
              <w:start w:w="105" w:type="dxa"/>
              <w:bottom w:w="80" w:type="dxa"/>
              <w:end w:w="105" w:type="dxa"/>
            </w:tcMar>
            <w:vAlign w:val="center"/>
          </w:tcPr>
          <w:p>
            <w:pPr>
              <w:spacing w:after="0" w:line="240" w:lineRule="auto"/>
            </w:pPr>
            <w:r>
              <w:rPr>
                <w:color w:val="17242E"/>
                <w:sz w:val="15"/>
              </w:rPr>
              <w:t>Legally or contractually recognized right to exchange token with issuer/protocol for reference asset or reserve value.</w:t>
            </w:r>
          </w:p>
        </w:tc>
        <w:tc>
          <w:tcPr>
            <w:tcW w:type="dxa" w:w="3888"/>
            <w:tcMar>
              <w:top w:w="80" w:type="dxa"/>
              <w:start w:w="105" w:type="dxa"/>
              <w:bottom w:w="80" w:type="dxa"/>
              <w:end w:w="105" w:type="dxa"/>
            </w:tcMar>
            <w:vAlign w:val="center"/>
          </w:tcPr>
          <w:p>
            <w:pPr>
              <w:spacing w:after="0" w:line="240" w:lineRule="auto"/>
            </w:pPr>
            <w:r>
              <w:rPr>
                <w:color w:val="17242E"/>
                <w:sz w:val="15"/>
              </w:rPr>
              <w:t>eligible holder, par/NAV, settlement asset, minimum, fee, SLA, jurisdiction, suspension rights</w:t>
            </w:r>
          </w:p>
        </w:tc>
      </w:tr>
      <w:tr>
        <w:tc>
          <w:tcPr>
            <w:tcW w:type="dxa" w:w="1728"/>
            <w:tcMar>
              <w:top w:w="80" w:type="dxa"/>
              <w:start w:w="105" w:type="dxa"/>
              <w:bottom w:w="80" w:type="dxa"/>
              <w:end w:w="105" w:type="dxa"/>
            </w:tcMar>
            <w:vAlign w:val="center"/>
            <w:shd w:fill="F4F7F9"/>
          </w:tcPr>
          <w:p>
            <w:pPr>
              <w:spacing w:after="0" w:line="240" w:lineRule="auto"/>
            </w:pPr>
            <w:r>
              <w:rPr>
                <w:color w:val="17242E"/>
                <w:sz w:val="15"/>
              </w:rPr>
              <w:t>CLAIM_COLLATERAL</w:t>
            </w:r>
          </w:p>
        </w:tc>
        <w:tc>
          <w:tcPr>
            <w:tcW w:type="dxa" w:w="4320"/>
            <w:tcMar>
              <w:top w:w="80" w:type="dxa"/>
              <w:start w:w="105" w:type="dxa"/>
              <w:bottom w:w="80" w:type="dxa"/>
              <w:end w:w="105" w:type="dxa"/>
            </w:tcMar>
            <w:vAlign w:val="center"/>
            <w:shd w:fill="F4F7F9"/>
          </w:tcPr>
          <w:p>
            <w:pPr>
              <w:spacing w:after="0" w:line="240" w:lineRule="auto"/>
            </w:pPr>
            <w:r>
              <w:rPr>
                <w:color w:val="17242E"/>
                <w:sz w:val="15"/>
              </w:rPr>
              <w:t>Identifiable claim against a collateral pool, including liquidation waterfall or pro-rata reserve interest.</w:t>
            </w:r>
          </w:p>
        </w:tc>
        <w:tc>
          <w:tcPr>
            <w:tcW w:type="dxa" w:w="3888"/>
            <w:tcMar>
              <w:top w:w="80" w:type="dxa"/>
              <w:start w:w="105" w:type="dxa"/>
              <w:bottom w:w="80" w:type="dxa"/>
              <w:end w:w="105" w:type="dxa"/>
            </w:tcMar>
            <w:vAlign w:val="center"/>
            <w:shd w:fill="F4F7F9"/>
          </w:tcPr>
          <w:p>
            <w:pPr>
              <w:spacing w:after="0" w:line="240" w:lineRule="auto"/>
            </w:pPr>
            <w:r>
              <w:rPr>
                <w:color w:val="17242E"/>
                <w:sz w:val="15"/>
              </w:rPr>
              <w:t>priority, segregation, bankruptcy remoteness, overcollateralization, oracle/liquidation rules</w:t>
            </w:r>
          </w:p>
        </w:tc>
      </w:tr>
      <w:tr>
        <w:tc>
          <w:tcPr>
            <w:tcW w:type="dxa" w:w="1728"/>
            <w:tcMar>
              <w:top w:w="80" w:type="dxa"/>
              <w:start w:w="105" w:type="dxa"/>
              <w:bottom w:w="80" w:type="dxa"/>
              <w:end w:w="105" w:type="dxa"/>
            </w:tcMar>
            <w:vAlign w:val="center"/>
          </w:tcPr>
          <w:p>
            <w:pPr>
              <w:spacing w:after="0" w:line="240" w:lineRule="auto"/>
            </w:pPr>
            <w:r>
              <w:rPr>
                <w:color w:val="17242E"/>
                <w:sz w:val="15"/>
              </w:rPr>
              <w:t>CLAIM_CASHFLOW</w:t>
            </w:r>
          </w:p>
        </w:tc>
        <w:tc>
          <w:tcPr>
            <w:tcW w:type="dxa" w:w="4320"/>
            <w:tcMar>
              <w:top w:w="80" w:type="dxa"/>
              <w:start w:w="105" w:type="dxa"/>
              <w:bottom w:w="80" w:type="dxa"/>
              <w:end w:w="105" w:type="dxa"/>
            </w:tcMar>
            <w:vAlign w:val="center"/>
          </w:tcPr>
          <w:p>
            <w:pPr>
              <w:spacing w:after="0" w:line="240" w:lineRule="auto"/>
            </w:pPr>
            <w:r>
              <w:rPr>
                <w:color w:val="17242E"/>
                <w:sz w:val="15"/>
              </w:rPr>
              <w:t>Right or live mechanism to receive protocol/issuer cash flows or equivalent distributions.</w:t>
            </w:r>
          </w:p>
        </w:tc>
        <w:tc>
          <w:tcPr>
            <w:tcW w:type="dxa" w:w="3888"/>
            <w:tcMar>
              <w:top w:w="80" w:type="dxa"/>
              <w:start w:w="105" w:type="dxa"/>
              <w:bottom w:w="80" w:type="dxa"/>
              <w:end w:w="105" w:type="dxa"/>
            </w:tcMar>
            <w:vAlign w:val="center"/>
          </w:tcPr>
          <w:p>
            <w:pPr>
              <w:spacing w:after="0" w:line="240" w:lineRule="auto"/>
            </w:pPr>
            <w:r>
              <w:rPr>
                <w:color w:val="17242E"/>
                <w:sz w:val="15"/>
              </w:rPr>
              <w:t>source, seniority, discretion, tokenholder eligibility, activation date</w:t>
            </w:r>
          </w:p>
        </w:tc>
      </w:tr>
      <w:tr>
        <w:tc>
          <w:tcPr>
            <w:tcW w:type="dxa" w:w="1728"/>
            <w:tcMar>
              <w:top w:w="80" w:type="dxa"/>
              <w:start w:w="105" w:type="dxa"/>
              <w:bottom w:w="80" w:type="dxa"/>
              <w:end w:w="105" w:type="dxa"/>
            </w:tcMar>
            <w:vAlign w:val="center"/>
            <w:shd w:fill="F4F7F9"/>
          </w:tcPr>
          <w:p>
            <w:pPr>
              <w:spacing w:after="0" w:line="240" w:lineRule="auto"/>
            </w:pPr>
            <w:r>
              <w:rPr>
                <w:color w:val="17242E"/>
                <w:sz w:val="15"/>
              </w:rPr>
              <w:t>CLAIM_GOVERNANCE</w:t>
            </w:r>
          </w:p>
        </w:tc>
        <w:tc>
          <w:tcPr>
            <w:tcW w:type="dxa" w:w="4320"/>
            <w:tcMar>
              <w:top w:w="80" w:type="dxa"/>
              <w:start w:w="105" w:type="dxa"/>
              <w:bottom w:w="80" w:type="dxa"/>
              <w:end w:w="105" w:type="dxa"/>
            </w:tcMar>
            <w:vAlign w:val="center"/>
            <w:shd w:fill="F4F7F9"/>
          </w:tcPr>
          <w:p>
            <w:pPr>
              <w:spacing w:after="0" w:line="240" w:lineRule="auto"/>
            </w:pPr>
            <w:r>
              <w:rPr>
                <w:color w:val="17242E"/>
                <w:sz w:val="15"/>
              </w:rPr>
              <w:t>Formal control over proposals, parameters, treasury, upgrades, or delegates.</w:t>
            </w:r>
          </w:p>
        </w:tc>
        <w:tc>
          <w:tcPr>
            <w:tcW w:type="dxa" w:w="3888"/>
            <w:tcMar>
              <w:top w:w="80" w:type="dxa"/>
              <w:start w:w="105" w:type="dxa"/>
              <w:bottom w:w="80" w:type="dxa"/>
              <w:end w:w="105" w:type="dxa"/>
            </w:tcMar>
            <w:vAlign w:val="center"/>
            <w:shd w:fill="F4F7F9"/>
          </w:tcPr>
          <w:p>
            <w:pPr>
              <w:spacing w:after="0" w:line="240" w:lineRule="auto"/>
            </w:pPr>
            <w:r>
              <w:rPr>
                <w:color w:val="17242E"/>
                <w:sz w:val="15"/>
              </w:rPr>
              <w:t>scope, quorum, delegation, admin override, voter concentration</w:t>
            </w:r>
          </w:p>
        </w:tc>
      </w:tr>
      <w:tr>
        <w:tc>
          <w:tcPr>
            <w:tcW w:type="dxa" w:w="1728"/>
            <w:tcMar>
              <w:top w:w="80" w:type="dxa"/>
              <w:start w:w="105" w:type="dxa"/>
              <w:bottom w:w="80" w:type="dxa"/>
              <w:end w:w="105" w:type="dxa"/>
            </w:tcMar>
            <w:vAlign w:val="center"/>
          </w:tcPr>
          <w:p>
            <w:pPr>
              <w:spacing w:after="0" w:line="240" w:lineRule="auto"/>
            </w:pPr>
            <w:r>
              <w:rPr>
                <w:color w:val="17242E"/>
                <w:sz w:val="15"/>
              </w:rPr>
              <w:t>CLAIM_EQUITY</w:t>
            </w:r>
          </w:p>
        </w:tc>
        <w:tc>
          <w:tcPr>
            <w:tcW w:type="dxa" w:w="4320"/>
            <w:tcMar>
              <w:top w:w="80" w:type="dxa"/>
              <w:start w:w="105" w:type="dxa"/>
              <w:bottom w:w="80" w:type="dxa"/>
              <w:end w:w="105" w:type="dxa"/>
            </w:tcMar>
            <w:vAlign w:val="center"/>
          </w:tcPr>
          <w:p>
            <w:pPr>
              <w:spacing w:after="0" w:line="240" w:lineRule="auto"/>
            </w:pPr>
            <w:r>
              <w:rPr>
                <w:color w:val="17242E"/>
                <w:sz w:val="15"/>
              </w:rPr>
              <w:t>Legal ownership interest in an entity.</w:t>
            </w:r>
          </w:p>
        </w:tc>
        <w:tc>
          <w:tcPr>
            <w:tcW w:type="dxa" w:w="3888"/>
            <w:tcMar>
              <w:top w:w="80" w:type="dxa"/>
              <w:start w:w="105" w:type="dxa"/>
              <w:bottom w:w="80" w:type="dxa"/>
              <w:end w:w="105" w:type="dxa"/>
            </w:tcMar>
            <w:vAlign w:val="center"/>
          </w:tcPr>
          <w:p>
            <w:pPr>
              <w:spacing w:after="0" w:line="240" w:lineRule="auto"/>
            </w:pPr>
            <w:r>
              <w:rPr>
                <w:color w:val="17242E"/>
                <w:sz w:val="15"/>
              </w:rPr>
              <w:t>jurisdiction, issuer, share class, transfer restriction</w:t>
            </w:r>
          </w:p>
        </w:tc>
      </w:tr>
      <w:tr>
        <w:tc>
          <w:tcPr>
            <w:tcW w:type="dxa" w:w="1728"/>
            <w:tcMar>
              <w:top w:w="80" w:type="dxa"/>
              <w:start w:w="105" w:type="dxa"/>
              <w:bottom w:w="80" w:type="dxa"/>
              <w:end w:w="105" w:type="dxa"/>
            </w:tcMar>
            <w:vAlign w:val="center"/>
            <w:shd w:fill="F4F7F9"/>
          </w:tcPr>
          <w:p>
            <w:pPr>
              <w:spacing w:after="0" w:line="240" w:lineRule="auto"/>
            </w:pPr>
            <w:r>
              <w:rPr>
                <w:color w:val="17242E"/>
                <w:sz w:val="15"/>
              </w:rPr>
              <w:t>CLAIM_DEBT</w:t>
            </w:r>
          </w:p>
        </w:tc>
        <w:tc>
          <w:tcPr>
            <w:tcW w:type="dxa" w:w="4320"/>
            <w:tcMar>
              <w:top w:w="80" w:type="dxa"/>
              <w:start w:w="105" w:type="dxa"/>
              <w:bottom w:w="80" w:type="dxa"/>
              <w:end w:w="105" w:type="dxa"/>
            </w:tcMar>
            <w:vAlign w:val="center"/>
            <w:shd w:fill="F4F7F9"/>
          </w:tcPr>
          <w:p>
            <w:pPr>
              <w:spacing w:after="0" w:line="240" w:lineRule="auto"/>
            </w:pPr>
            <w:r>
              <w:rPr>
                <w:color w:val="17242E"/>
                <w:sz w:val="15"/>
              </w:rPr>
              <w:t>Contractual principal/interest claim.</w:t>
            </w:r>
          </w:p>
        </w:tc>
        <w:tc>
          <w:tcPr>
            <w:tcW w:type="dxa" w:w="3888"/>
            <w:tcMar>
              <w:top w:w="80" w:type="dxa"/>
              <w:start w:w="105" w:type="dxa"/>
              <w:bottom w:w="80" w:type="dxa"/>
              <w:end w:w="105" w:type="dxa"/>
            </w:tcMar>
            <w:vAlign w:val="center"/>
            <w:shd w:fill="F4F7F9"/>
          </w:tcPr>
          <w:p>
            <w:pPr>
              <w:spacing w:after="0" w:line="240" w:lineRule="auto"/>
            </w:pPr>
            <w:r>
              <w:rPr>
                <w:color w:val="17242E"/>
                <w:sz w:val="15"/>
              </w:rPr>
              <w:t>maturity, coupon, seniority, obligor, collateral</w:t>
            </w:r>
          </w:p>
        </w:tc>
      </w:tr>
      <w:tr>
        <w:tc>
          <w:tcPr>
            <w:tcW w:type="dxa" w:w="1728"/>
            <w:tcMar>
              <w:top w:w="80" w:type="dxa"/>
              <w:start w:w="105" w:type="dxa"/>
              <w:bottom w:w="80" w:type="dxa"/>
              <w:end w:w="105" w:type="dxa"/>
            </w:tcMar>
            <w:vAlign w:val="center"/>
          </w:tcPr>
          <w:p>
            <w:pPr>
              <w:spacing w:after="0" w:line="240" w:lineRule="auto"/>
            </w:pPr>
            <w:r>
              <w:rPr>
                <w:color w:val="17242E"/>
                <w:sz w:val="15"/>
              </w:rPr>
              <w:t>CLAIM_NONE</w:t>
            </w:r>
          </w:p>
        </w:tc>
        <w:tc>
          <w:tcPr>
            <w:tcW w:type="dxa" w:w="4320"/>
            <w:tcMar>
              <w:top w:w="80" w:type="dxa"/>
              <w:start w:w="105" w:type="dxa"/>
              <w:bottom w:w="80" w:type="dxa"/>
              <w:end w:w="105" w:type="dxa"/>
            </w:tcMar>
            <w:vAlign w:val="center"/>
          </w:tcPr>
          <w:p>
            <w:pPr>
              <w:spacing w:after="0" w:line="240" w:lineRule="auto"/>
            </w:pPr>
            <w:r>
              <w:rPr>
                <w:color w:val="17242E"/>
                <w:sz w:val="15"/>
              </w:rPr>
              <w:t>No claim against issuer, reserves, cash flow, entity, or governance.</w:t>
            </w:r>
          </w:p>
        </w:tc>
        <w:tc>
          <w:tcPr>
            <w:tcW w:type="dxa" w:w="3888"/>
            <w:tcMar>
              <w:top w:w="80" w:type="dxa"/>
              <w:start w:w="105" w:type="dxa"/>
              <w:bottom w:w="80" w:type="dxa"/>
              <w:end w:w="105" w:type="dxa"/>
            </w:tcMar>
            <w:vAlign w:val="center"/>
          </w:tcPr>
          <w:p>
            <w:pPr>
              <w:spacing w:after="0" w:line="240" w:lineRule="auto"/>
            </w:pPr>
            <w:r>
              <w:rPr>
                <w:color w:val="17242E"/>
                <w:sz w:val="15"/>
              </w:rPr>
              <w:t>protocol-native ownership is not automatically a claim</w:t>
            </w:r>
          </w:p>
        </w:tc>
      </w:tr>
    </w:tbl>
    <w:p>
      <w:pPr>
        <w:spacing w:after="20"/>
      </w:pPr>
    </w:p>
    <w:tbl>
      <w:tblPr>
        <w:tblW w:type="auto" w:w="0"/>
        <w:tblLayout w:type="fixed"/>
        <w:tblLook w:firstColumn="1" w:firstRow="1" w:lastColumn="0" w:lastRow="0" w:noHBand="0" w:noVBand="1" w:val="04A0"/>
      </w:tblPr>
      <w:tblGrid>
        <w:gridCol w:w="9648"/>
      </w:tblGrid>
      <w:tr>
        <w:tc>
          <w:tcPr>
            <w:tcW w:type="dxa" w:w="9878"/>
            <w:shd w:fill="EAF1F5"/>
            <w:tcMar>
              <w:top w:w="130" w:type="dxa"/>
              <w:start w:w="170" w:type="dxa"/>
              <w:bottom w:w="130" w:type="dxa"/>
              <w:end w:w="170" w:type="dxa"/>
            </w:tcMar>
          </w:tcPr>
          <w:p>
            <w:pPr>
              <w:spacing w:after="0"/>
            </w:pPr>
            <w:r>
              <w:rPr>
                <w:b/>
                <w:color w:val="167D7F"/>
              </w:rPr>
              <w:t xml:space="preserve">Important separation  </w:t>
            </w:r>
            <w:r>
              <w:t>Economic exposure is not the same as a legal claim. A token may benefit from network demand without any claim on an issuer; a redeemable stablecoin may have a claim but no reserve yield; a governance token may control a treasury without an automatic cash-flow entitlement.</w:t>
            </w:r>
          </w:p>
        </w:tc>
      </w:tr>
    </w:tbl>
    <w:p>
      <w:pPr>
        <w:spacing w:after="20"/>
      </w:pPr>
    </w:p>
    <w:p>
      <w:pPr>
        <w:pStyle w:val="Heading1"/>
      </w:pPr>
      <w:r>
        <w:rPr>
          <w:b w:val="0"/>
          <w:i w:val="0"/>
        </w:rPr>
        <w:t>6. Quantitative variables and empirical targets</w:t>
      </w:r>
    </w:p>
    <w:p>
      <w:pPr>
        <w:pStyle w:val="Heading2"/>
      </w:pPr>
      <w:r>
        <w:rPr>
          <w:b w:val="0"/>
          <w:i w:val="0"/>
        </w:rPr>
        <w:t>Stablecoin structural and calculated variables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440"/>
            <w:shd w:fill="183A5A"/>
            <w:tcMar>
              <w:top w:w="80" w:type="dxa"/>
              <w:start w:w="105" w:type="dxa"/>
              <w:bottom w:w="80" w:type="dxa"/>
              <w:end w:w="105" w:type="dxa"/>
            </w:tcMar>
            <w:vAlign w:val="center"/>
          </w:tcPr>
          <w:p>
            <w:pPr>
              <w:spacing w:after="0"/>
            </w:pPr>
            <w:r>
              <w:rPr>
                <w:b/>
                <w:color w:val="FFFFFF"/>
                <w:sz w:val="16"/>
              </w:rPr>
              <w:t>Family</w:t>
            </w:r>
          </w:p>
        </w:tc>
        <w:tc>
          <w:tcPr>
            <w:tcW w:type="dxa" w:w="8496"/>
            <w:shd w:fill="183A5A"/>
            <w:tcMar>
              <w:top w:w="80" w:type="dxa"/>
              <w:start w:w="105" w:type="dxa"/>
              <w:bottom w:w="80" w:type="dxa"/>
              <w:end w:w="105" w:type="dxa"/>
            </w:tcMar>
            <w:vAlign w:val="center"/>
          </w:tcPr>
          <w:p>
            <w:pPr>
              <w:spacing w:after="0"/>
            </w:pPr>
            <w:r>
              <w:rPr>
                <w:b/>
                <w:color w:val="FFFFFF"/>
                <w:sz w:val="16"/>
              </w:rPr>
              <w:t>Variables</w:t>
            </w:r>
          </w:p>
        </w:tc>
      </w:tr>
      <w:tr>
        <w:tc>
          <w:tcPr>
            <w:tcW w:type="dxa" w:w="1440"/>
            <w:tcMar>
              <w:top w:w="80" w:type="dxa"/>
              <w:start w:w="105" w:type="dxa"/>
              <w:bottom w:w="80" w:type="dxa"/>
              <w:end w:w="105" w:type="dxa"/>
            </w:tcMar>
            <w:vAlign w:val="center"/>
          </w:tcPr>
          <w:p>
            <w:pPr>
              <w:spacing w:after="0" w:line="240" w:lineRule="auto"/>
            </w:pPr>
            <w:r>
              <w:rPr>
                <w:color w:val="17242E"/>
                <w:sz w:val="16"/>
              </w:rPr>
              <w:t>Design</w:t>
            </w:r>
          </w:p>
        </w:tc>
        <w:tc>
          <w:tcPr>
            <w:tcW w:type="dxa" w:w="8496"/>
            <w:tcMar>
              <w:top w:w="80" w:type="dxa"/>
              <w:start w:w="105" w:type="dxa"/>
              <w:bottom w:w="80" w:type="dxa"/>
              <w:end w:w="105" w:type="dxa"/>
            </w:tcMar>
            <w:vAlign w:val="center"/>
          </w:tcPr>
          <w:p>
            <w:pPr>
              <w:spacing w:after="0" w:line="240" w:lineRule="auto"/>
            </w:pPr>
            <w:r>
              <w:rPr>
                <w:color w:val="17242E"/>
                <w:sz w:val="16"/>
              </w:rPr>
              <w:t>peg_asset; backing_type; collateralization_ratio; centralized_issuer; direct_redemption; redemption_minimum; redemption_fee; settlement_time; suspension_rights; reserve_transparency; report_frequency; holder_yield; yield_source; multi_chain</w:t>
            </w:r>
          </w:p>
        </w:tc>
      </w:tr>
      <w:tr>
        <w:tc>
          <w:tcPr>
            <w:tcW w:type="dxa" w:w="1440"/>
            <w:tcMar>
              <w:top w:w="80" w:type="dxa"/>
              <w:start w:w="105" w:type="dxa"/>
              <w:bottom w:w="80" w:type="dxa"/>
              <w:end w:w="105" w:type="dxa"/>
            </w:tcMar>
            <w:vAlign w:val="center"/>
            <w:shd w:fill="F4F7F9"/>
          </w:tcPr>
          <w:p>
            <w:pPr>
              <w:spacing w:after="0" w:line="240" w:lineRule="auto"/>
            </w:pPr>
            <w:r>
              <w:rPr>
                <w:color w:val="17242E"/>
                <w:sz w:val="16"/>
              </w:rPr>
              <w:t>Peg</w:t>
            </w:r>
          </w:p>
        </w:tc>
        <w:tc>
          <w:tcPr>
            <w:tcW w:type="dxa" w:w="8496"/>
            <w:tcMar>
              <w:top w:w="80" w:type="dxa"/>
              <w:start w:w="105" w:type="dxa"/>
              <w:bottom w:w="80" w:type="dxa"/>
              <w:end w:w="105" w:type="dxa"/>
            </w:tcMar>
            <w:vAlign w:val="center"/>
            <w:shd w:fill="F4F7F9"/>
          </w:tcPr>
          <w:p>
            <w:pPr>
              <w:spacing w:after="0" w:line="240" w:lineRule="auto"/>
            </w:pPr>
            <w:r>
              <w:rPr>
                <w:color w:val="17242E"/>
                <w:sz w:val="16"/>
              </w:rPr>
              <w:t>price; signed_deviation; absolute_peg_error; realized_peg_volatility; max_depeg; band_breach; duration; recovery_time; downside semivariance</w:t>
            </w:r>
          </w:p>
        </w:tc>
      </w:tr>
      <w:tr>
        <w:tc>
          <w:tcPr>
            <w:tcW w:type="dxa" w:w="1440"/>
            <w:tcMar>
              <w:top w:w="80" w:type="dxa"/>
              <w:start w:w="105" w:type="dxa"/>
              <w:bottom w:w="80" w:type="dxa"/>
              <w:end w:w="105" w:type="dxa"/>
            </w:tcMar>
            <w:vAlign w:val="center"/>
          </w:tcPr>
          <w:p>
            <w:pPr>
              <w:spacing w:after="0" w:line="240" w:lineRule="auto"/>
            </w:pPr>
            <w:r>
              <w:rPr>
                <w:color w:val="17242E"/>
                <w:sz w:val="16"/>
              </w:rPr>
              <w:t>Liquidity</w:t>
            </w:r>
          </w:p>
        </w:tc>
        <w:tc>
          <w:tcPr>
            <w:tcW w:type="dxa" w:w="8496"/>
            <w:tcMar>
              <w:top w:w="80" w:type="dxa"/>
              <w:start w:w="105" w:type="dxa"/>
              <w:bottom w:w="80" w:type="dxa"/>
              <w:end w:w="105" w:type="dxa"/>
            </w:tcMar>
            <w:vAlign w:val="center"/>
          </w:tcPr>
          <w:p>
            <w:pPr>
              <w:spacing w:after="0" w:line="240" w:lineRule="auto"/>
            </w:pPr>
            <w:r>
              <w:rPr>
                <w:color w:val="17242E"/>
                <w:sz w:val="16"/>
              </w:rPr>
              <w:t>spot volume; bid–ask spread; depth ±10/50 bps; venue count; DEX liquidity; slippage; primary issuance/redemption flow</w:t>
            </w:r>
          </w:p>
        </w:tc>
      </w:tr>
      <w:tr>
        <w:tc>
          <w:tcPr>
            <w:tcW w:type="dxa" w:w="1440"/>
            <w:tcMar>
              <w:top w:w="80" w:type="dxa"/>
              <w:start w:w="105" w:type="dxa"/>
              <w:bottom w:w="80" w:type="dxa"/>
              <w:end w:w="105" w:type="dxa"/>
            </w:tcMar>
            <w:vAlign w:val="center"/>
            <w:shd w:fill="F4F7F9"/>
          </w:tcPr>
          <w:p>
            <w:pPr>
              <w:spacing w:after="0" w:line="240" w:lineRule="auto"/>
            </w:pPr>
            <w:r>
              <w:rPr>
                <w:color w:val="17242E"/>
                <w:sz w:val="16"/>
              </w:rPr>
              <w:t>Adoption</w:t>
            </w:r>
          </w:p>
        </w:tc>
        <w:tc>
          <w:tcPr>
            <w:tcW w:type="dxa" w:w="8496"/>
            <w:tcMar>
              <w:top w:w="80" w:type="dxa"/>
              <w:start w:w="105" w:type="dxa"/>
              <w:bottom w:w="80" w:type="dxa"/>
              <w:end w:w="105" w:type="dxa"/>
            </w:tcMar>
            <w:vAlign w:val="center"/>
            <w:shd w:fill="F4F7F9"/>
          </w:tcPr>
          <w:p>
            <w:pPr>
              <w:spacing w:after="0" w:line="240" w:lineRule="auto"/>
            </w:pPr>
            <w:r>
              <w:rPr>
                <w:color w:val="17242E"/>
                <w:sz w:val="16"/>
              </w:rPr>
              <w:t>circulating supply; market share; transfer volume; active addresses; chain coverage; protocol/exchange integrations; velocity</w:t>
            </w:r>
          </w:p>
        </w:tc>
      </w:tr>
      <w:tr>
        <w:tc>
          <w:tcPr>
            <w:tcW w:type="dxa" w:w="1440"/>
            <w:tcMar>
              <w:top w:w="80" w:type="dxa"/>
              <w:start w:w="105" w:type="dxa"/>
              <w:bottom w:w="80" w:type="dxa"/>
              <w:end w:w="105" w:type="dxa"/>
            </w:tcMar>
            <w:vAlign w:val="center"/>
          </w:tcPr>
          <w:p>
            <w:pPr>
              <w:spacing w:after="0" w:line="240" w:lineRule="auto"/>
            </w:pPr>
            <w:r>
              <w:rPr>
                <w:color w:val="17242E"/>
                <w:sz w:val="16"/>
              </w:rPr>
              <w:t>Risk</w:t>
            </w:r>
          </w:p>
        </w:tc>
        <w:tc>
          <w:tcPr>
            <w:tcW w:type="dxa" w:w="8496"/>
            <w:tcMar>
              <w:top w:w="80" w:type="dxa"/>
              <w:start w:w="105" w:type="dxa"/>
              <w:bottom w:w="80" w:type="dxa"/>
              <w:end w:w="105" w:type="dxa"/>
            </w:tcMar>
            <w:vAlign w:val="center"/>
          </w:tcPr>
          <w:p>
            <w:pPr>
              <w:spacing w:after="0" w:line="240" w:lineRule="auto"/>
            </w:pPr>
            <w:r>
              <w:rPr>
                <w:color w:val="17242E"/>
                <w:sz w:val="16"/>
              </w:rPr>
              <w:t>reserve-quality score; redemption-friction score; concentration; custodian/bank exposure; smart-contract incidents; oracle/bridge exposure</w:t>
            </w:r>
          </w:p>
        </w:tc>
      </w:tr>
    </w:tbl>
    <w:p>
      <w:pPr>
        <w:spacing w:after="20"/>
      </w:pPr>
    </w:p>
    <w:p>
      <w:pPr>
        <w:spacing w:before="80" w:after="140"/>
        <w:jc w:val="center"/>
      </w:pPr>
      <w:r>
        <w:rPr>
          <w:rFonts w:ascii="Cambria Math" w:hAnsi="Cambria Math"/>
          <w:i/>
          <w:color w:val="183A5A"/>
          <w:sz w:val="21"/>
        </w:rPr>
        <w:t>dᵢₜ = Pᵢₜ / Pegᵢₜ − 1     ;     APEᵢₜ = |dᵢₜ|     ;     Breachᵢₜ(b)=1{|dᵢₜ|&gt;b}</w:t>
      </w:r>
    </w:p>
    <w:p>
      <w:pPr>
        <w:spacing w:before="80" w:after="140"/>
        <w:jc w:val="center"/>
      </w:pPr>
      <w:r>
        <w:rPr>
          <w:rFonts w:ascii="Cambria Math" w:hAnsi="Cambria Math"/>
          <w:i/>
          <w:color w:val="183A5A"/>
          <w:sz w:val="21"/>
        </w:rPr>
        <w:t>TimeOutsideᵢ(b) = (1/Nᵢ) Σₜ 1{|dᵢₜ|&gt;b},  b ∈ {10,25,50,100,500 bps}</w:t>
      </w:r>
    </w:p>
    <w:p>
      <w:pPr>
        <w:pStyle w:val="Heading2"/>
      </w:pPr>
      <w:r>
        <w:rPr>
          <w:b w:val="0"/>
          <w:i w:val="0"/>
        </w:rPr>
        <w:t>Cryptocurrency factor families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shd w:fill="183A5A"/>
            <w:tcMar>
              <w:top w:w="80" w:type="dxa"/>
              <w:start w:w="105" w:type="dxa"/>
              <w:bottom w:w="80" w:type="dxa"/>
              <w:end w:w="105" w:type="dxa"/>
            </w:tcMar>
            <w:vAlign w:val="center"/>
          </w:tcPr>
          <w:p>
            <w:pPr>
              <w:spacing w:after="0"/>
            </w:pPr>
            <w:r>
              <w:rPr>
                <w:b/>
                <w:color w:val="FFFFFF"/>
                <w:sz w:val="15"/>
              </w:rPr>
              <w:t>Factor</w:t>
            </w:r>
          </w:p>
        </w:tc>
        <w:tc>
          <w:tcPr>
            <w:tcW w:type="dxa" w:w="5184"/>
            <w:shd w:fill="183A5A"/>
            <w:tcMar>
              <w:top w:w="80" w:type="dxa"/>
              <w:start w:w="105" w:type="dxa"/>
              <w:bottom w:w="80" w:type="dxa"/>
              <w:end w:w="105" w:type="dxa"/>
            </w:tcMar>
            <w:vAlign w:val="center"/>
          </w:tcPr>
          <w:p>
            <w:pPr>
              <w:spacing w:after="0"/>
            </w:pPr>
            <w:r>
              <w:rPr>
                <w:b/>
                <w:color w:val="FFFFFF"/>
                <w:sz w:val="15"/>
              </w:rPr>
              <w:t>Candidate variables</w:t>
            </w:r>
          </w:p>
        </w:tc>
        <w:tc>
          <w:tcPr>
            <w:tcW w:type="dxa" w:w="3312"/>
            <w:shd w:fill="183A5A"/>
            <w:tcMar>
              <w:top w:w="80" w:type="dxa"/>
              <w:start w:w="105" w:type="dxa"/>
              <w:bottom w:w="80" w:type="dxa"/>
              <w:end w:w="105" w:type="dxa"/>
            </w:tcMar>
            <w:vAlign w:val="center"/>
          </w:tcPr>
          <w:p>
            <w:pPr>
              <w:spacing w:after="0"/>
            </w:pPr>
            <w:r>
              <w:rPr>
                <w:b/>
                <w:color w:val="FFFFFF"/>
                <w:sz w:val="15"/>
              </w:rPr>
              <w:t>Key construction issue</w:t>
            </w:r>
          </w:p>
        </w:tc>
      </w:tr>
      <w:tr>
        <w:tc>
          <w:tcPr>
            <w:tcW w:type="dxa" w:w="1440"/>
            <w:tcMar>
              <w:top w:w="80" w:type="dxa"/>
              <w:start w:w="105" w:type="dxa"/>
              <w:bottom w:w="80" w:type="dxa"/>
              <w:end w:w="105" w:type="dxa"/>
            </w:tcMar>
            <w:vAlign w:val="center"/>
          </w:tcPr>
          <w:p>
            <w:pPr>
              <w:spacing w:after="0" w:line="240" w:lineRule="auto"/>
            </w:pPr>
            <w:r>
              <w:rPr>
                <w:color w:val="17242E"/>
                <w:sz w:val="15"/>
              </w:rPr>
              <w:t>Network N</w:t>
            </w:r>
          </w:p>
        </w:tc>
        <w:tc>
          <w:tcPr>
            <w:tcW w:type="dxa" w:w="5184"/>
            <w:tcMar>
              <w:top w:w="80" w:type="dxa"/>
              <w:start w:w="105" w:type="dxa"/>
              <w:bottom w:w="80" w:type="dxa"/>
              <w:end w:w="105" w:type="dxa"/>
            </w:tcMar>
            <w:vAlign w:val="center"/>
          </w:tcPr>
          <w:p>
            <w:pPr>
              <w:spacing w:after="0" w:line="240" w:lineRule="auto"/>
            </w:pPr>
            <w:r>
              <w:rPr>
                <w:color w:val="17242E"/>
                <w:sz w:val="15"/>
              </w:rPr>
              <w:t>active/new addresses; transactions; adjusted transfer value; growth</w:t>
            </w:r>
          </w:p>
        </w:tc>
        <w:tc>
          <w:tcPr>
            <w:tcW w:type="dxa" w:w="3312"/>
            <w:tcMar>
              <w:top w:w="80" w:type="dxa"/>
              <w:start w:w="105" w:type="dxa"/>
              <w:bottom w:w="80" w:type="dxa"/>
              <w:end w:w="105" w:type="dxa"/>
            </w:tcMar>
            <w:vAlign w:val="center"/>
          </w:tcPr>
          <w:p>
            <w:pPr>
              <w:spacing w:after="0" w:line="240" w:lineRule="auto"/>
            </w:pPr>
            <w:r>
              <w:rPr>
                <w:color w:val="17242E"/>
                <w:sz w:val="15"/>
              </w:rPr>
              <w:t>filter bots, change addresses, sybil activity, internal transfers</w:t>
            </w:r>
          </w:p>
        </w:tc>
      </w:tr>
      <w:tr>
        <w:tc>
          <w:tcPr>
            <w:tcW w:type="dxa" w:w="1440"/>
            <w:tcMar>
              <w:top w:w="80" w:type="dxa"/>
              <w:start w:w="105" w:type="dxa"/>
              <w:bottom w:w="80" w:type="dxa"/>
              <w:end w:w="105" w:type="dxa"/>
            </w:tcMar>
            <w:vAlign w:val="center"/>
            <w:shd w:fill="F4F7F9"/>
          </w:tcPr>
          <w:p>
            <w:pPr>
              <w:spacing w:after="0" w:line="240" w:lineRule="auto"/>
            </w:pPr>
            <w:r>
              <w:rPr>
                <w:color w:val="17242E"/>
                <w:sz w:val="15"/>
              </w:rPr>
              <w:t>Economic E</w:t>
            </w:r>
          </w:p>
        </w:tc>
        <w:tc>
          <w:tcPr>
            <w:tcW w:type="dxa" w:w="5184"/>
            <w:tcMar>
              <w:top w:w="80" w:type="dxa"/>
              <w:start w:w="105" w:type="dxa"/>
              <w:bottom w:w="80" w:type="dxa"/>
              <w:end w:w="105" w:type="dxa"/>
            </w:tcMar>
            <w:vAlign w:val="center"/>
            <w:shd w:fill="F4F7F9"/>
          </w:tcPr>
          <w:p>
            <w:pPr>
              <w:spacing w:after="0" w:line="240" w:lineRule="auto"/>
            </w:pPr>
            <w:r>
              <w:rPr>
                <w:color w:val="17242E"/>
                <w:sz w:val="15"/>
              </w:rPr>
              <w:t>fees; protocol revenue; holder revenue; TVL; DEX volume; stablecoin supply</w:t>
            </w:r>
          </w:p>
        </w:tc>
        <w:tc>
          <w:tcPr>
            <w:tcW w:type="dxa" w:w="3312"/>
            <w:tcMar>
              <w:top w:w="80" w:type="dxa"/>
              <w:start w:w="105" w:type="dxa"/>
              <w:bottom w:w="80" w:type="dxa"/>
              <w:end w:w="105" w:type="dxa"/>
            </w:tcMar>
            <w:vAlign w:val="center"/>
            <w:shd w:fill="F4F7F9"/>
          </w:tcPr>
          <w:p>
            <w:pPr>
              <w:spacing w:after="0" w:line="240" w:lineRule="auto"/>
            </w:pPr>
            <w:r>
              <w:rPr>
                <w:color w:val="17242E"/>
                <w:sz w:val="15"/>
              </w:rPr>
              <w:t>avoid double counting; distinguish fees from revenue and tokenholder revenue</w:t>
            </w:r>
          </w:p>
        </w:tc>
      </w:tr>
      <w:tr>
        <w:tc>
          <w:tcPr>
            <w:tcW w:type="dxa" w:w="1440"/>
            <w:tcMar>
              <w:top w:w="80" w:type="dxa"/>
              <w:start w:w="105" w:type="dxa"/>
              <w:bottom w:w="80" w:type="dxa"/>
              <w:end w:w="105" w:type="dxa"/>
            </w:tcMar>
            <w:vAlign w:val="center"/>
          </w:tcPr>
          <w:p>
            <w:pPr>
              <w:spacing w:after="0" w:line="240" w:lineRule="auto"/>
            </w:pPr>
            <w:r>
              <w:rPr>
                <w:color w:val="17242E"/>
                <w:sz w:val="15"/>
              </w:rPr>
              <w:t>Supply S</w:t>
            </w:r>
          </w:p>
        </w:tc>
        <w:tc>
          <w:tcPr>
            <w:tcW w:type="dxa" w:w="5184"/>
            <w:tcMar>
              <w:top w:w="80" w:type="dxa"/>
              <w:start w:w="105" w:type="dxa"/>
              <w:bottom w:w="80" w:type="dxa"/>
              <w:end w:w="105" w:type="dxa"/>
            </w:tcMar>
            <w:vAlign w:val="center"/>
          </w:tcPr>
          <w:p>
            <w:pPr>
              <w:spacing w:after="0" w:line="240" w:lineRule="auto"/>
            </w:pPr>
            <w:r>
              <w:rPr>
                <w:color w:val="17242E"/>
                <w:sz w:val="15"/>
              </w:rPr>
              <w:t>circulating supply; issuance; burn; net issuance; unlock rate; float/FDV</w:t>
            </w:r>
          </w:p>
        </w:tc>
        <w:tc>
          <w:tcPr>
            <w:tcW w:type="dxa" w:w="3312"/>
            <w:tcMar>
              <w:top w:w="80" w:type="dxa"/>
              <w:start w:w="105" w:type="dxa"/>
              <w:bottom w:w="80" w:type="dxa"/>
              <w:end w:w="105" w:type="dxa"/>
            </w:tcMar>
            <w:vAlign w:val="center"/>
          </w:tcPr>
          <w:p>
            <w:pPr>
              <w:spacing w:after="0" w:line="240" w:lineRule="auto"/>
            </w:pPr>
            <w:r>
              <w:rPr>
                <w:color w:val="17242E"/>
                <w:sz w:val="15"/>
              </w:rPr>
              <w:t>point-in-time supply definitions and vendor differences</w:t>
            </w:r>
          </w:p>
        </w:tc>
      </w:tr>
      <w:tr>
        <w:tc>
          <w:tcPr>
            <w:tcW w:type="dxa" w:w="1440"/>
            <w:tcMar>
              <w:top w:w="80" w:type="dxa"/>
              <w:start w:w="105" w:type="dxa"/>
              <w:bottom w:w="80" w:type="dxa"/>
              <w:end w:w="105" w:type="dxa"/>
            </w:tcMar>
            <w:vAlign w:val="center"/>
            <w:shd w:fill="F4F7F9"/>
          </w:tcPr>
          <w:p>
            <w:pPr>
              <w:spacing w:after="0" w:line="240" w:lineRule="auto"/>
            </w:pPr>
            <w:r>
              <w:rPr>
                <w:color w:val="17242E"/>
                <w:sz w:val="15"/>
              </w:rPr>
              <w:t>Security Q</w:t>
            </w:r>
          </w:p>
        </w:tc>
        <w:tc>
          <w:tcPr>
            <w:tcW w:type="dxa" w:w="5184"/>
            <w:tcMar>
              <w:top w:w="80" w:type="dxa"/>
              <w:start w:w="105" w:type="dxa"/>
              <w:bottom w:w="80" w:type="dxa"/>
              <w:end w:w="105" w:type="dxa"/>
            </w:tcMar>
            <w:vAlign w:val="center"/>
            <w:shd w:fill="F4F7F9"/>
          </w:tcPr>
          <w:p>
            <w:pPr>
              <w:spacing w:after="0" w:line="240" w:lineRule="auto"/>
            </w:pPr>
            <w:r>
              <w:rPr>
                <w:color w:val="17242E"/>
                <w:sz w:val="15"/>
              </w:rPr>
              <w:t>hash rate; stake; staking ratio; validator count/concentration; slashing</w:t>
            </w:r>
          </w:p>
        </w:tc>
        <w:tc>
          <w:tcPr>
            <w:tcW w:type="dxa" w:w="3312"/>
            <w:tcMar>
              <w:top w:w="80" w:type="dxa"/>
              <w:start w:w="105" w:type="dxa"/>
              <w:bottom w:w="80" w:type="dxa"/>
              <w:end w:w="105" w:type="dxa"/>
            </w:tcMar>
            <w:vAlign w:val="center"/>
            <w:shd w:fill="F4F7F9"/>
          </w:tcPr>
          <w:p>
            <w:pPr>
              <w:spacing w:after="0" w:line="240" w:lineRule="auto"/>
            </w:pPr>
            <w:r>
              <w:rPr>
                <w:color w:val="17242E"/>
                <w:sz w:val="15"/>
              </w:rPr>
              <w:t>cross-chain comparability and delegated stake concentration</w:t>
            </w:r>
          </w:p>
        </w:tc>
      </w:tr>
      <w:tr>
        <w:tc>
          <w:tcPr>
            <w:tcW w:type="dxa" w:w="1440"/>
            <w:tcMar>
              <w:top w:w="80" w:type="dxa"/>
              <w:start w:w="105" w:type="dxa"/>
              <w:bottom w:w="80" w:type="dxa"/>
              <w:end w:w="105" w:type="dxa"/>
            </w:tcMar>
            <w:vAlign w:val="center"/>
          </w:tcPr>
          <w:p>
            <w:pPr>
              <w:spacing w:after="0" w:line="240" w:lineRule="auto"/>
            </w:pPr>
            <w:r>
              <w:rPr>
                <w:color w:val="17242E"/>
                <w:sz w:val="15"/>
              </w:rPr>
              <w:t>Liquidity L</w:t>
            </w:r>
          </w:p>
        </w:tc>
        <w:tc>
          <w:tcPr>
            <w:tcW w:type="dxa" w:w="5184"/>
            <w:tcMar>
              <w:top w:w="80" w:type="dxa"/>
              <w:start w:w="105" w:type="dxa"/>
              <w:bottom w:w="80" w:type="dxa"/>
              <w:end w:w="105" w:type="dxa"/>
            </w:tcMar>
            <w:vAlign w:val="center"/>
          </w:tcPr>
          <w:p>
            <w:pPr>
              <w:spacing w:after="0" w:line="240" w:lineRule="auto"/>
            </w:pPr>
            <w:r>
              <w:rPr>
                <w:color w:val="17242E"/>
                <w:sz w:val="15"/>
              </w:rPr>
              <w:t>volume; turnover; spread; depth; venue count; price impact</w:t>
            </w:r>
          </w:p>
        </w:tc>
        <w:tc>
          <w:tcPr>
            <w:tcW w:type="dxa" w:w="3312"/>
            <w:tcMar>
              <w:top w:w="80" w:type="dxa"/>
              <w:start w:w="105" w:type="dxa"/>
              <w:bottom w:w="80" w:type="dxa"/>
              <w:end w:w="105" w:type="dxa"/>
            </w:tcMar>
            <w:vAlign w:val="center"/>
          </w:tcPr>
          <w:p>
            <w:pPr>
              <w:spacing w:after="0" w:line="240" w:lineRule="auto"/>
            </w:pPr>
            <w:r>
              <w:rPr>
                <w:color w:val="17242E"/>
                <w:sz w:val="15"/>
              </w:rPr>
              <w:t>wash trading, offshore venue coverage, survivorship</w:t>
            </w:r>
          </w:p>
        </w:tc>
      </w:tr>
      <w:tr>
        <w:tc>
          <w:tcPr>
            <w:tcW w:type="dxa" w:w="1440"/>
            <w:tcMar>
              <w:top w:w="80" w:type="dxa"/>
              <w:start w:w="105" w:type="dxa"/>
              <w:bottom w:w="80" w:type="dxa"/>
              <w:end w:w="105" w:type="dxa"/>
            </w:tcMar>
            <w:vAlign w:val="center"/>
            <w:shd w:fill="F4F7F9"/>
          </w:tcPr>
          <w:p>
            <w:pPr>
              <w:spacing w:after="0" w:line="240" w:lineRule="auto"/>
            </w:pPr>
            <w:r>
              <w:rPr>
                <w:color w:val="17242E"/>
                <w:sz w:val="15"/>
              </w:rPr>
              <w:t>Adoption A</w:t>
            </w:r>
          </w:p>
        </w:tc>
        <w:tc>
          <w:tcPr>
            <w:tcW w:type="dxa" w:w="5184"/>
            <w:tcMar>
              <w:top w:w="80" w:type="dxa"/>
              <w:start w:w="105" w:type="dxa"/>
              <w:bottom w:w="80" w:type="dxa"/>
              <w:end w:w="105" w:type="dxa"/>
            </w:tcMar>
            <w:vAlign w:val="center"/>
            <w:shd w:fill="F4F7F9"/>
          </w:tcPr>
          <w:p>
            <w:pPr>
              <w:spacing w:after="0" w:line="240" w:lineRule="auto"/>
            </w:pPr>
            <w:r>
              <w:rPr>
                <w:color w:val="17242E"/>
                <w:sz w:val="15"/>
              </w:rPr>
              <w:t>developers; commits; repos; apps; integrations; chain users</w:t>
            </w:r>
          </w:p>
        </w:tc>
        <w:tc>
          <w:tcPr>
            <w:tcW w:type="dxa" w:w="3312"/>
            <w:tcMar>
              <w:top w:w="80" w:type="dxa"/>
              <w:start w:w="105" w:type="dxa"/>
              <w:bottom w:w="80" w:type="dxa"/>
              <w:end w:w="105" w:type="dxa"/>
            </w:tcMar>
            <w:vAlign w:val="center"/>
            <w:shd w:fill="F4F7F9"/>
          </w:tcPr>
          <w:p>
            <w:pPr>
              <w:spacing w:after="0" w:line="240" w:lineRule="auto"/>
            </w:pPr>
            <w:r>
              <w:rPr>
                <w:color w:val="17242E"/>
                <w:sz w:val="15"/>
              </w:rPr>
              <w:t>deduplicate forks and bots; developer identity continuity</w:t>
            </w:r>
          </w:p>
        </w:tc>
      </w:tr>
      <w:tr>
        <w:tc>
          <w:tcPr>
            <w:tcW w:type="dxa" w:w="1440"/>
            <w:tcMar>
              <w:top w:w="80" w:type="dxa"/>
              <w:start w:w="105" w:type="dxa"/>
              <w:bottom w:w="80" w:type="dxa"/>
              <w:end w:w="105" w:type="dxa"/>
            </w:tcMar>
            <w:vAlign w:val="center"/>
          </w:tcPr>
          <w:p>
            <w:pPr>
              <w:spacing w:after="0" w:line="240" w:lineRule="auto"/>
            </w:pPr>
            <w:r>
              <w:rPr>
                <w:color w:val="17242E"/>
                <w:sz w:val="15"/>
              </w:rPr>
              <w:t>Macro M</w:t>
            </w:r>
          </w:p>
        </w:tc>
        <w:tc>
          <w:tcPr>
            <w:tcW w:type="dxa" w:w="5184"/>
            <w:tcMar>
              <w:top w:w="80" w:type="dxa"/>
              <w:start w:w="105" w:type="dxa"/>
              <w:bottom w:w="80" w:type="dxa"/>
              <w:end w:w="105" w:type="dxa"/>
            </w:tcMar>
            <w:vAlign w:val="center"/>
          </w:tcPr>
          <w:p>
            <w:pPr>
              <w:spacing w:after="0" w:line="240" w:lineRule="auto"/>
            </w:pPr>
            <w:r>
              <w:rPr>
                <w:color w:val="17242E"/>
                <w:sz w:val="15"/>
              </w:rPr>
              <w:t>BTC/market return; rates; VIX; dollar; equity factors; funding/liquidations</w:t>
            </w:r>
          </w:p>
        </w:tc>
        <w:tc>
          <w:tcPr>
            <w:tcW w:type="dxa" w:w="3312"/>
            <w:tcMar>
              <w:top w:w="80" w:type="dxa"/>
              <w:start w:w="105" w:type="dxa"/>
              <w:bottom w:w="80" w:type="dxa"/>
              <w:end w:w="105" w:type="dxa"/>
            </w:tcMar>
            <w:vAlign w:val="center"/>
          </w:tcPr>
          <w:p>
            <w:pPr>
              <w:spacing w:after="0" w:line="240" w:lineRule="auto"/>
            </w:pPr>
            <w:r>
              <w:rPr>
                <w:color w:val="17242E"/>
                <w:sz w:val="15"/>
              </w:rPr>
              <w:t>common shocks and endogenous risk appetite</w:t>
            </w:r>
          </w:p>
        </w:tc>
      </w:tr>
    </w:tbl>
    <w:p>
      <w:pPr>
        <w:spacing w:after="20"/>
      </w:pPr>
    </w:p>
    <w:p>
      <w:pPr>
        <w:pStyle w:val="Caption"/>
        <w:spacing w:before="40" w:after="100"/>
      </w:pPr>
      <w:r>
        <w:rPr>
          <w:b/>
        </w:rPr>
        <w:t xml:space="preserve">Source: </w:t>
      </w:r>
      <w:r>
        <w:t>DeFiLlama distinguishes fees, protocol revenue, holder revenue, TVL, incentives, and chain activity — https://defillama.com/data-definitions</w:t>
      </w:r>
    </w:p>
    <w:p>
      <w:pPr>
        <w:pStyle w:val="Heading2"/>
      </w:pPr>
      <w:r>
        <w:rPr>
          <w:b w:val="0"/>
          <w:i w:val="0"/>
        </w:rPr>
        <w:t>Empirical targets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728"/>
            <w:shd w:fill="183A5A"/>
            <w:tcMar>
              <w:top w:w="80" w:type="dxa"/>
              <w:start w:w="105" w:type="dxa"/>
              <w:bottom w:w="80" w:type="dxa"/>
              <w:end w:w="105" w:type="dxa"/>
            </w:tcMar>
            <w:vAlign w:val="center"/>
          </w:tcPr>
          <w:p>
            <w:pPr>
              <w:spacing w:after="0"/>
            </w:pPr>
            <w:r>
              <w:rPr>
                <w:b/>
                <w:color w:val="FFFFFF"/>
                <w:sz w:val="16"/>
              </w:rPr>
              <w:t>Universe</w:t>
            </w:r>
          </w:p>
        </w:tc>
        <w:tc>
          <w:tcPr>
            <w:tcW w:type="dxa" w:w="4464"/>
            <w:shd w:fill="183A5A"/>
            <w:tcMar>
              <w:top w:w="80" w:type="dxa"/>
              <w:start w:w="105" w:type="dxa"/>
              <w:bottom w:w="80" w:type="dxa"/>
              <w:end w:w="105" w:type="dxa"/>
            </w:tcMar>
            <w:vAlign w:val="center"/>
          </w:tcPr>
          <w:p>
            <w:pPr>
              <w:spacing w:after="0"/>
            </w:pPr>
            <w:r>
              <w:rPr>
                <w:b/>
                <w:color w:val="FFFFFF"/>
                <w:sz w:val="16"/>
              </w:rPr>
              <w:t>Primary dependent variables</w:t>
            </w:r>
          </w:p>
        </w:tc>
        <w:tc>
          <w:tcPr>
            <w:tcW w:type="dxa" w:w="3744"/>
            <w:shd w:fill="183A5A"/>
            <w:tcMar>
              <w:top w:w="80" w:type="dxa"/>
              <w:start w:w="105" w:type="dxa"/>
              <w:bottom w:w="80" w:type="dxa"/>
              <w:end w:w="105" w:type="dxa"/>
            </w:tcMar>
            <w:vAlign w:val="center"/>
          </w:tcPr>
          <w:p>
            <w:pPr>
              <w:spacing w:after="0"/>
            </w:pPr>
            <w:r>
              <w:rPr>
                <w:b/>
                <w:color w:val="FFFFFF"/>
                <w:sz w:val="16"/>
              </w:rPr>
              <w:t>Core question</w:t>
            </w:r>
          </w:p>
        </w:tc>
      </w:tr>
      <w:tr>
        <w:tc>
          <w:tcPr>
            <w:tcW w:type="dxa" w:w="1728"/>
            <w:tcMar>
              <w:top w:w="80" w:type="dxa"/>
              <w:start w:w="105" w:type="dxa"/>
              <w:bottom w:w="80" w:type="dxa"/>
              <w:end w:w="105" w:type="dxa"/>
            </w:tcMar>
            <w:vAlign w:val="center"/>
          </w:tcPr>
          <w:p>
            <w:pPr>
              <w:spacing w:after="0" w:line="240" w:lineRule="auto"/>
            </w:pPr>
            <w:r>
              <w:rPr>
                <w:color w:val="17242E"/>
                <w:sz w:val="16"/>
              </w:rPr>
              <w:t>Stablecoins</w:t>
            </w:r>
          </w:p>
        </w:tc>
        <w:tc>
          <w:tcPr>
            <w:tcW w:type="dxa" w:w="4464"/>
            <w:tcMar>
              <w:top w:w="80" w:type="dxa"/>
              <w:start w:w="105" w:type="dxa"/>
              <w:bottom w:w="80" w:type="dxa"/>
              <w:end w:w="105" w:type="dxa"/>
            </w:tcMar>
            <w:vAlign w:val="center"/>
          </w:tcPr>
          <w:p>
            <w:pPr>
              <w:spacing w:after="0" w:line="240" w:lineRule="auto"/>
            </w:pPr>
            <w:r>
              <w:rPr>
                <w:color w:val="17242E"/>
                <w:sz w:val="16"/>
              </w:rPr>
              <w:t>peg deviation; breach probability; depeg duration/recovery; market share; supply growth; settlement volume</w:t>
            </w:r>
          </w:p>
        </w:tc>
        <w:tc>
          <w:tcPr>
            <w:tcW w:type="dxa" w:w="3744"/>
            <w:tcMar>
              <w:top w:w="80" w:type="dxa"/>
              <w:start w:w="105" w:type="dxa"/>
              <w:bottom w:w="80" w:type="dxa"/>
              <w:end w:w="105" w:type="dxa"/>
            </w:tcMar>
            <w:vAlign w:val="center"/>
          </w:tcPr>
          <w:p>
            <w:pPr>
              <w:spacing w:after="0" w:line="240" w:lineRule="auto"/>
            </w:pPr>
            <w:r>
              <w:rPr>
                <w:color w:val="17242E"/>
                <w:sz w:val="16"/>
              </w:rPr>
              <w:t>Which design features improve robustness and adoption, especially in stress?</w:t>
            </w:r>
          </w:p>
        </w:tc>
      </w:tr>
      <w:tr>
        <w:tc>
          <w:tcPr>
            <w:tcW w:type="dxa" w:w="1728"/>
            <w:tcMar>
              <w:top w:w="80" w:type="dxa"/>
              <w:start w:w="105" w:type="dxa"/>
              <w:bottom w:w="80" w:type="dxa"/>
              <w:end w:w="105" w:type="dxa"/>
            </w:tcMar>
            <w:vAlign w:val="center"/>
            <w:shd w:fill="F4F7F9"/>
          </w:tcPr>
          <w:p>
            <w:pPr>
              <w:spacing w:after="0" w:line="240" w:lineRule="auto"/>
            </w:pPr>
            <w:r>
              <w:rPr>
                <w:color w:val="17242E"/>
                <w:sz w:val="16"/>
              </w:rPr>
              <w:t>Non-stable crypto</w:t>
            </w:r>
          </w:p>
        </w:tc>
        <w:tc>
          <w:tcPr>
            <w:tcW w:type="dxa" w:w="4464"/>
            <w:tcMar>
              <w:top w:w="80" w:type="dxa"/>
              <w:start w:w="105" w:type="dxa"/>
              <w:bottom w:w="80" w:type="dxa"/>
              <w:end w:w="105" w:type="dxa"/>
            </w:tcMar>
            <w:vAlign w:val="center"/>
            <w:shd w:fill="F4F7F9"/>
          </w:tcPr>
          <w:p>
            <w:pPr>
              <w:spacing w:after="0" w:line="240" w:lineRule="auto"/>
            </w:pPr>
            <w:r>
              <w:rPr>
                <w:color w:val="17242E"/>
                <w:sz w:val="16"/>
              </w:rPr>
              <w:t>log market cap; returns/forward returns; realized volatility; valuation multiples; crash/drawdown risk</w:t>
            </w:r>
          </w:p>
        </w:tc>
        <w:tc>
          <w:tcPr>
            <w:tcW w:type="dxa" w:w="3744"/>
            <w:tcMar>
              <w:top w:w="80" w:type="dxa"/>
              <w:start w:w="105" w:type="dxa"/>
              <w:bottom w:w="80" w:type="dxa"/>
              <w:end w:w="105" w:type="dxa"/>
            </w:tcMar>
            <w:vAlign w:val="center"/>
            <w:shd w:fill="F4F7F9"/>
          </w:tcPr>
          <w:p>
            <w:pPr>
              <w:spacing w:after="0" w:line="240" w:lineRule="auto"/>
            </w:pPr>
            <w:r>
              <w:rPr>
                <w:color w:val="17242E"/>
                <w:sz w:val="16"/>
              </w:rPr>
              <w:t>Which fundamentals matter, and only when the token captures activity?</w:t>
            </w:r>
          </w:p>
        </w:tc>
      </w:tr>
    </w:tbl>
    <w:p>
      <w:pPr>
        <w:spacing w:after="20"/>
      </w:pPr>
    </w:p>
    <w:p>
      <w:pPr>
        <w:spacing w:before="80" w:after="140"/>
        <w:jc w:val="center"/>
      </w:pPr>
      <w:r>
        <w:rPr>
          <w:rFonts w:ascii="Cambria Math" w:hAnsi="Cambria Math"/>
          <w:i/>
          <w:color w:val="183A5A"/>
          <w:sz w:val="21"/>
        </w:rPr>
        <w:t>log(MCapᵢₜ)=αᵢ+γₜ+β₁log(Usersᵢₜ)+β₂log(Feesᵢₜ)+β₃Liquidityᵢₜ+β₄SupplyGrowthᵢₜ+β₅Stakingᵢₜ+εᵢₜ</w:t>
      </w:r>
    </w:p>
    <w:p>
      <w:pPr>
        <w:pStyle w:val="Heading1"/>
      </w:pPr>
      <w:r>
        <w:rPr>
          <w:b w:val="0"/>
          <w:i w:val="0"/>
        </w:rPr>
        <w:t>7. Hypotheses H1–H8</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648"/>
            <w:shd w:fill="183A5A"/>
            <w:tcMar>
              <w:top w:w="80" w:type="dxa"/>
              <w:start w:w="105" w:type="dxa"/>
              <w:bottom w:w="80" w:type="dxa"/>
              <w:end w:w="105" w:type="dxa"/>
            </w:tcMar>
            <w:vAlign w:val="center"/>
          </w:tcPr>
          <w:p>
            <w:pPr>
              <w:spacing w:after="0"/>
            </w:pPr>
            <w:r>
              <w:rPr>
                <w:b/>
                <w:color w:val="FFFFFF"/>
                <w:sz w:val="15"/>
              </w:rPr>
              <w:t>ID</w:t>
            </w:r>
          </w:p>
        </w:tc>
        <w:tc>
          <w:tcPr>
            <w:tcW w:type="dxa" w:w="5328"/>
            <w:shd w:fill="183A5A"/>
            <w:tcMar>
              <w:top w:w="80" w:type="dxa"/>
              <w:start w:w="105" w:type="dxa"/>
              <w:bottom w:w="80" w:type="dxa"/>
              <w:end w:w="105" w:type="dxa"/>
            </w:tcMar>
            <w:vAlign w:val="center"/>
          </w:tcPr>
          <w:p>
            <w:pPr>
              <w:spacing w:after="0"/>
            </w:pPr>
            <w:r>
              <w:rPr>
                <w:b/>
                <w:color w:val="FFFFFF"/>
                <w:sz w:val="15"/>
              </w:rPr>
              <w:t>Hypothesis</w:t>
            </w:r>
          </w:p>
        </w:tc>
        <w:tc>
          <w:tcPr>
            <w:tcW w:type="dxa" w:w="3960"/>
            <w:shd w:fill="183A5A"/>
            <w:tcMar>
              <w:top w:w="80" w:type="dxa"/>
              <w:start w:w="105" w:type="dxa"/>
              <w:bottom w:w="80" w:type="dxa"/>
              <w:end w:w="105" w:type="dxa"/>
            </w:tcMar>
            <w:vAlign w:val="center"/>
          </w:tcPr>
          <w:p>
            <w:pPr>
              <w:spacing w:after="0"/>
            </w:pPr>
            <w:r>
              <w:rPr>
                <w:b/>
                <w:color w:val="FFFFFF"/>
                <w:sz w:val="15"/>
              </w:rPr>
              <w:t>Primary test / expected sign</w:t>
            </w:r>
          </w:p>
        </w:tc>
      </w:tr>
      <w:tr>
        <w:tc>
          <w:tcPr>
            <w:tcW w:type="dxa" w:w="648"/>
            <w:tcMar>
              <w:top w:w="80" w:type="dxa"/>
              <w:start w:w="105" w:type="dxa"/>
              <w:bottom w:w="80" w:type="dxa"/>
              <w:end w:w="105" w:type="dxa"/>
            </w:tcMar>
            <w:vAlign w:val="center"/>
          </w:tcPr>
          <w:p>
            <w:pPr>
              <w:spacing w:after="0" w:line="240" w:lineRule="auto"/>
            </w:pPr>
            <w:r>
              <w:rPr>
                <w:color w:val="17242E"/>
                <w:sz w:val="15"/>
              </w:rPr>
              <w:t>H1</w:t>
            </w:r>
          </w:p>
        </w:tc>
        <w:tc>
          <w:tcPr>
            <w:tcW w:type="dxa" w:w="5328"/>
            <w:tcMar>
              <w:top w:w="80" w:type="dxa"/>
              <w:start w:w="105" w:type="dxa"/>
              <w:bottom w:w="80" w:type="dxa"/>
              <w:end w:w="105" w:type="dxa"/>
            </w:tcMar>
            <w:vAlign w:val="center"/>
          </w:tcPr>
          <w:p>
            <w:pPr>
              <w:spacing w:after="0" w:line="240" w:lineRule="auto"/>
            </w:pPr>
            <w:r>
              <w:rPr>
                <w:color w:val="17242E"/>
                <w:sz w:val="15"/>
              </w:rPr>
              <w:t>Network effects: greater economically valid usage is associated with higher market capitalization.</w:t>
            </w:r>
          </w:p>
        </w:tc>
        <w:tc>
          <w:tcPr>
            <w:tcW w:type="dxa" w:w="3960"/>
            <w:tcMar>
              <w:top w:w="80" w:type="dxa"/>
              <w:start w:w="105" w:type="dxa"/>
              <w:bottom w:w="80" w:type="dxa"/>
              <w:end w:w="105" w:type="dxa"/>
            </w:tcMar>
            <w:vAlign w:val="center"/>
          </w:tcPr>
          <w:p>
            <w:pPr>
              <w:spacing w:after="0" w:line="240" w:lineRule="auto"/>
            </w:pPr>
            <w:r>
              <w:rPr>
                <w:color w:val="17242E"/>
                <w:sz w:val="15"/>
              </w:rPr>
              <w:t>Panel FE; compare log-linear with quadratic/Metcalfe forms; βusers &gt; 0.</w:t>
            </w:r>
          </w:p>
        </w:tc>
      </w:tr>
      <w:tr>
        <w:tc>
          <w:tcPr>
            <w:tcW w:type="dxa" w:w="648"/>
            <w:tcMar>
              <w:top w:w="80" w:type="dxa"/>
              <w:start w:w="105" w:type="dxa"/>
              <w:bottom w:w="80" w:type="dxa"/>
              <w:end w:w="105" w:type="dxa"/>
            </w:tcMar>
            <w:vAlign w:val="center"/>
            <w:shd w:fill="F4F7F9"/>
          </w:tcPr>
          <w:p>
            <w:pPr>
              <w:spacing w:after="0" w:line="240" w:lineRule="auto"/>
            </w:pPr>
            <w:r>
              <w:rPr>
                <w:color w:val="17242E"/>
                <w:sz w:val="15"/>
              </w:rPr>
              <w:t>H2</w:t>
            </w:r>
          </w:p>
        </w:tc>
        <w:tc>
          <w:tcPr>
            <w:tcW w:type="dxa" w:w="5328"/>
            <w:tcMar>
              <w:top w:w="80" w:type="dxa"/>
              <w:start w:w="105" w:type="dxa"/>
              <w:bottom w:w="80" w:type="dxa"/>
              <w:end w:w="105" w:type="dxa"/>
            </w:tcMar>
            <w:vAlign w:val="center"/>
            <w:shd w:fill="F4F7F9"/>
          </w:tcPr>
          <w:p>
            <w:pPr>
              <w:spacing w:after="0" w:line="240" w:lineRule="auto"/>
            </w:pPr>
            <w:r>
              <w:rPr>
                <w:color w:val="17242E"/>
                <w:sz w:val="15"/>
              </w:rPr>
              <w:t>Economic activity: fees/revenue predict value more strongly when VA_PROTOCOL or VA_BURN is active.</w:t>
            </w:r>
          </w:p>
        </w:tc>
        <w:tc>
          <w:tcPr>
            <w:tcW w:type="dxa" w:w="3960"/>
            <w:tcMar>
              <w:top w:w="80" w:type="dxa"/>
              <w:start w:w="105" w:type="dxa"/>
              <w:bottom w:w="80" w:type="dxa"/>
              <w:end w:w="105" w:type="dxa"/>
            </w:tcMar>
            <w:vAlign w:val="center"/>
            <w:shd w:fill="F4F7F9"/>
          </w:tcPr>
          <w:p>
            <w:pPr>
              <w:spacing w:after="0" w:line="240" w:lineRule="auto"/>
            </w:pPr>
            <w:r>
              <w:rPr>
                <w:color w:val="17242E"/>
                <w:sz w:val="15"/>
              </w:rPr>
              <w:t>Fees × capture interaction &gt; 0; compare gas tokens and governance-only tokens.</w:t>
            </w:r>
          </w:p>
        </w:tc>
      </w:tr>
      <w:tr>
        <w:tc>
          <w:tcPr>
            <w:tcW w:type="dxa" w:w="648"/>
            <w:tcMar>
              <w:top w:w="80" w:type="dxa"/>
              <w:start w:w="105" w:type="dxa"/>
              <w:bottom w:w="80" w:type="dxa"/>
              <w:end w:w="105" w:type="dxa"/>
            </w:tcMar>
            <w:vAlign w:val="center"/>
          </w:tcPr>
          <w:p>
            <w:pPr>
              <w:spacing w:after="0" w:line="240" w:lineRule="auto"/>
            </w:pPr>
            <w:r>
              <w:rPr>
                <w:color w:val="17242E"/>
                <w:sz w:val="15"/>
              </w:rPr>
              <w:t>H3</w:t>
            </w:r>
          </w:p>
        </w:tc>
        <w:tc>
          <w:tcPr>
            <w:tcW w:type="dxa" w:w="5328"/>
            <w:tcMar>
              <w:top w:w="80" w:type="dxa"/>
              <w:start w:w="105" w:type="dxa"/>
              <w:bottom w:w="80" w:type="dxa"/>
              <w:end w:w="105" w:type="dxa"/>
            </w:tcMar>
            <w:vAlign w:val="center"/>
          </w:tcPr>
          <w:p>
            <w:pPr>
              <w:spacing w:after="0" w:line="240" w:lineRule="auto"/>
            </w:pPr>
            <w:r>
              <w:rPr>
                <w:color w:val="17242E"/>
                <w:sz w:val="15"/>
              </w:rPr>
              <w:t>Supply: higher net issuance/unlocks predict lower forward returns, conditional on demand and market regime.</w:t>
            </w:r>
          </w:p>
        </w:tc>
        <w:tc>
          <w:tcPr>
            <w:tcW w:type="dxa" w:w="3960"/>
            <w:tcMar>
              <w:top w:w="80" w:type="dxa"/>
              <w:start w:w="105" w:type="dxa"/>
              <w:bottom w:w="80" w:type="dxa"/>
              <w:end w:w="105" w:type="dxa"/>
            </w:tcMar>
            <w:vAlign w:val="center"/>
          </w:tcPr>
          <w:p>
            <w:pPr>
              <w:spacing w:after="0" w:line="240" w:lineRule="auto"/>
            </w:pPr>
            <w:r>
              <w:rPr>
                <w:color w:val="17242E"/>
                <w:sz w:val="15"/>
              </w:rPr>
              <w:t>Local projections / panel return regressions; βnet issuance &lt; 0.</w:t>
            </w:r>
          </w:p>
        </w:tc>
      </w:tr>
      <w:tr>
        <w:tc>
          <w:tcPr>
            <w:tcW w:type="dxa" w:w="648"/>
            <w:tcMar>
              <w:top w:w="80" w:type="dxa"/>
              <w:start w:w="105" w:type="dxa"/>
              <w:bottom w:w="80" w:type="dxa"/>
              <w:end w:w="105" w:type="dxa"/>
            </w:tcMar>
            <w:vAlign w:val="center"/>
            <w:shd w:fill="F4F7F9"/>
          </w:tcPr>
          <w:p>
            <w:pPr>
              <w:spacing w:after="0" w:line="240" w:lineRule="auto"/>
            </w:pPr>
            <w:r>
              <w:rPr>
                <w:color w:val="17242E"/>
                <w:sz w:val="15"/>
              </w:rPr>
              <w:t>H4</w:t>
            </w:r>
          </w:p>
        </w:tc>
        <w:tc>
          <w:tcPr>
            <w:tcW w:type="dxa" w:w="5328"/>
            <w:tcMar>
              <w:top w:w="80" w:type="dxa"/>
              <w:start w:w="105" w:type="dxa"/>
              <w:bottom w:w="80" w:type="dxa"/>
              <w:end w:w="105" w:type="dxa"/>
            </w:tcMar>
            <w:vAlign w:val="center"/>
            <w:shd w:fill="F4F7F9"/>
          </w:tcPr>
          <w:p>
            <w:pPr>
              <w:spacing w:after="0" w:line="240" w:lineRule="auto"/>
            </w:pPr>
            <w:r>
              <w:rPr>
                <w:color w:val="17242E"/>
                <w:sz w:val="15"/>
              </w:rPr>
              <w:t>Staking: higher staking ratio reduces liquid float but may widen spreads and has ambiguous return/volatility effects.</w:t>
            </w:r>
          </w:p>
        </w:tc>
        <w:tc>
          <w:tcPr>
            <w:tcW w:type="dxa" w:w="3960"/>
            <w:tcMar>
              <w:top w:w="80" w:type="dxa"/>
              <w:start w:w="105" w:type="dxa"/>
              <w:bottom w:w="80" w:type="dxa"/>
              <w:end w:w="105" w:type="dxa"/>
            </w:tcMar>
            <w:vAlign w:val="center"/>
            <w:shd w:fill="F4F7F9"/>
          </w:tcPr>
          <w:p>
            <w:pPr>
              <w:spacing w:after="0" w:line="240" w:lineRule="auto"/>
            </w:pPr>
            <w:r>
              <w:rPr>
                <w:color w:val="17242E"/>
                <w:sz w:val="15"/>
              </w:rPr>
              <w:t>Estimate price, volatility, spread, and depth jointly; no forced one-sided sign.</w:t>
            </w:r>
          </w:p>
        </w:tc>
      </w:tr>
      <w:tr>
        <w:tc>
          <w:tcPr>
            <w:tcW w:type="dxa" w:w="648"/>
            <w:tcMar>
              <w:top w:w="80" w:type="dxa"/>
              <w:start w:w="105" w:type="dxa"/>
              <w:bottom w:w="80" w:type="dxa"/>
              <w:end w:w="105" w:type="dxa"/>
            </w:tcMar>
            <w:vAlign w:val="center"/>
          </w:tcPr>
          <w:p>
            <w:pPr>
              <w:spacing w:after="0" w:line="240" w:lineRule="auto"/>
            </w:pPr>
            <w:r>
              <w:rPr>
                <w:color w:val="17242E"/>
                <w:sz w:val="15"/>
              </w:rPr>
              <w:t>H5</w:t>
            </w:r>
          </w:p>
        </w:tc>
        <w:tc>
          <w:tcPr>
            <w:tcW w:type="dxa" w:w="5328"/>
            <w:tcMar>
              <w:top w:w="80" w:type="dxa"/>
              <w:start w:w="105" w:type="dxa"/>
              <w:bottom w:w="80" w:type="dxa"/>
              <w:end w:w="105" w:type="dxa"/>
            </w:tcMar>
            <w:vAlign w:val="center"/>
          </w:tcPr>
          <w:p>
            <w:pPr>
              <w:spacing w:after="0" w:line="240" w:lineRule="auto"/>
            </w:pPr>
            <w:r>
              <w:rPr>
                <w:color w:val="17242E"/>
                <w:sz w:val="15"/>
              </w:rPr>
              <w:t>Stablecoin reserves: higher liquid, low-credit-risk, short-duration reserve quality lowers depeg probability/severity.</w:t>
            </w:r>
          </w:p>
        </w:tc>
        <w:tc>
          <w:tcPr>
            <w:tcW w:type="dxa" w:w="3960"/>
            <w:tcMar>
              <w:top w:w="80" w:type="dxa"/>
              <w:start w:w="105" w:type="dxa"/>
              <w:bottom w:w="80" w:type="dxa"/>
              <w:end w:w="105" w:type="dxa"/>
            </w:tcMar>
            <w:vAlign w:val="center"/>
          </w:tcPr>
          <w:p>
            <w:pPr>
              <w:spacing w:after="0" w:line="240" w:lineRule="auto"/>
            </w:pPr>
            <w:r>
              <w:rPr>
                <w:color w:val="17242E"/>
                <w:sz w:val="15"/>
              </w:rPr>
              <w:t>Hazard/logit and panel APE; βreserve quality &lt; 0.</w:t>
            </w:r>
          </w:p>
        </w:tc>
      </w:tr>
      <w:tr>
        <w:tc>
          <w:tcPr>
            <w:tcW w:type="dxa" w:w="648"/>
            <w:tcMar>
              <w:top w:w="80" w:type="dxa"/>
              <w:start w:w="105" w:type="dxa"/>
              <w:bottom w:w="80" w:type="dxa"/>
              <w:end w:w="105" w:type="dxa"/>
            </w:tcMar>
            <w:vAlign w:val="center"/>
            <w:shd w:fill="F4F7F9"/>
          </w:tcPr>
          <w:p>
            <w:pPr>
              <w:spacing w:after="0" w:line="240" w:lineRule="auto"/>
            </w:pPr>
            <w:r>
              <w:rPr>
                <w:color w:val="17242E"/>
                <w:sz w:val="15"/>
              </w:rPr>
              <w:t>H6</w:t>
            </w:r>
          </w:p>
        </w:tc>
        <w:tc>
          <w:tcPr>
            <w:tcW w:type="dxa" w:w="5328"/>
            <w:tcMar>
              <w:top w:w="80" w:type="dxa"/>
              <w:start w:w="105" w:type="dxa"/>
              <w:bottom w:w="80" w:type="dxa"/>
              <w:end w:w="105" w:type="dxa"/>
            </w:tcMar>
            <w:vAlign w:val="center"/>
            <w:shd w:fill="F4F7F9"/>
          </w:tcPr>
          <w:p>
            <w:pPr>
              <w:spacing w:after="0" w:line="240" w:lineRule="auto"/>
            </w:pPr>
            <w:r>
              <w:rPr>
                <w:color w:val="17242E"/>
                <w:sz w:val="15"/>
              </w:rPr>
              <w:t>Redemption: greater eligibility, fee, minimum, time, or suspension friction increases secondary-market deviations in stress.</w:t>
            </w:r>
          </w:p>
        </w:tc>
        <w:tc>
          <w:tcPr>
            <w:tcW w:type="dxa" w:w="3960"/>
            <w:tcMar>
              <w:top w:w="80" w:type="dxa"/>
              <w:start w:w="105" w:type="dxa"/>
              <w:bottom w:w="80" w:type="dxa"/>
              <w:end w:w="105" w:type="dxa"/>
            </w:tcMar>
            <w:vAlign w:val="center"/>
            <w:shd w:fill="F4F7F9"/>
          </w:tcPr>
          <w:p>
            <w:pPr>
              <w:spacing w:after="0" w:line="240" w:lineRule="auto"/>
            </w:pPr>
            <w:r>
              <w:rPr>
                <w:color w:val="17242E"/>
                <w:sz w:val="15"/>
              </w:rPr>
              <w:t>Friction × stress &gt; 0 in APE/breach models.</w:t>
            </w:r>
          </w:p>
        </w:tc>
      </w:tr>
      <w:tr>
        <w:tc>
          <w:tcPr>
            <w:tcW w:type="dxa" w:w="648"/>
            <w:tcMar>
              <w:top w:w="80" w:type="dxa"/>
              <w:start w:w="105" w:type="dxa"/>
              <w:bottom w:w="80" w:type="dxa"/>
              <w:end w:w="105" w:type="dxa"/>
            </w:tcMar>
            <w:vAlign w:val="center"/>
          </w:tcPr>
          <w:p>
            <w:pPr>
              <w:spacing w:after="0" w:line="240" w:lineRule="auto"/>
            </w:pPr>
            <w:r>
              <w:rPr>
                <w:color w:val="17242E"/>
                <w:sz w:val="15"/>
              </w:rPr>
              <w:t>H7</w:t>
            </w:r>
          </w:p>
        </w:tc>
        <w:tc>
          <w:tcPr>
            <w:tcW w:type="dxa" w:w="5328"/>
            <w:tcMar>
              <w:top w:w="80" w:type="dxa"/>
              <w:start w:w="105" w:type="dxa"/>
              <w:bottom w:w="80" w:type="dxa"/>
              <w:end w:w="105" w:type="dxa"/>
            </w:tcMar>
            <w:vAlign w:val="center"/>
          </w:tcPr>
          <w:p>
            <w:pPr>
              <w:spacing w:after="0" w:line="240" w:lineRule="auto"/>
            </w:pPr>
            <w:r>
              <w:rPr>
                <w:color w:val="17242E"/>
                <w:sz w:val="15"/>
              </w:rPr>
              <w:t>Stablecoin network effects: liquidity, integrations, and usage predict market share persistence and inflows.</w:t>
            </w:r>
          </w:p>
        </w:tc>
        <w:tc>
          <w:tcPr>
            <w:tcW w:type="dxa" w:w="3960"/>
            <w:tcMar>
              <w:top w:w="80" w:type="dxa"/>
              <w:start w:w="105" w:type="dxa"/>
              <w:bottom w:w="80" w:type="dxa"/>
              <w:end w:w="105" w:type="dxa"/>
            </w:tcMar>
            <w:vAlign w:val="center"/>
          </w:tcPr>
          <w:p>
            <w:pPr>
              <w:spacing w:after="0" w:line="240" w:lineRule="auto"/>
            </w:pPr>
            <w:r>
              <w:rPr>
                <w:color w:val="17242E"/>
                <w:sz w:val="15"/>
              </w:rPr>
              <w:t>Dynamic panel / share-change model; positive adoption coefficients.</w:t>
            </w:r>
          </w:p>
        </w:tc>
      </w:tr>
      <w:tr>
        <w:tc>
          <w:tcPr>
            <w:tcW w:type="dxa" w:w="648"/>
            <w:tcMar>
              <w:top w:w="80" w:type="dxa"/>
              <w:start w:w="105" w:type="dxa"/>
              <w:bottom w:w="80" w:type="dxa"/>
              <w:end w:w="105" w:type="dxa"/>
            </w:tcMar>
            <w:vAlign w:val="center"/>
            <w:shd w:fill="F4F7F9"/>
          </w:tcPr>
          <w:p>
            <w:pPr>
              <w:spacing w:after="0" w:line="240" w:lineRule="auto"/>
            </w:pPr>
            <w:r>
              <w:rPr>
                <w:color w:val="17242E"/>
                <w:sz w:val="15"/>
              </w:rPr>
              <w:t>H8</w:t>
            </w:r>
          </w:p>
        </w:tc>
        <w:tc>
          <w:tcPr>
            <w:tcW w:type="dxa" w:w="5328"/>
            <w:tcMar>
              <w:top w:w="80" w:type="dxa"/>
              <w:start w:w="105" w:type="dxa"/>
              <w:bottom w:w="80" w:type="dxa"/>
              <w:end w:w="105" w:type="dxa"/>
            </w:tcMar>
            <w:vAlign w:val="center"/>
            <w:shd w:fill="F4F7F9"/>
          </w:tcPr>
          <w:p>
            <w:pPr>
              <w:spacing w:after="0" w:line="240" w:lineRule="auto"/>
            </w:pPr>
            <w:r>
              <w:rPr>
                <w:color w:val="17242E"/>
                <w:sz w:val="15"/>
              </w:rPr>
              <w:t>Multi-function assets command a valuation premium only when functions are active and material.</w:t>
            </w:r>
          </w:p>
        </w:tc>
        <w:tc>
          <w:tcPr>
            <w:tcW w:type="dxa" w:w="3960"/>
            <w:tcMar>
              <w:top w:w="80" w:type="dxa"/>
              <w:start w:w="105" w:type="dxa"/>
              <w:bottom w:w="80" w:type="dxa"/>
              <w:end w:w="105" w:type="dxa"/>
            </w:tcMar>
            <w:vAlign w:val="center"/>
            <w:shd w:fill="F4F7F9"/>
          </w:tcPr>
          <w:p>
            <w:pPr>
              <w:spacing w:after="0" w:line="240" w:lineRule="auto"/>
            </w:pPr>
            <w:r>
              <w:rPr>
                <w:color w:val="17242E"/>
                <w:sz w:val="15"/>
              </w:rPr>
              <w:t>Weighted VA breadth × quality; compare raw count; βbreadth &gt; 0 after controls.</w:t>
            </w:r>
          </w:p>
        </w:tc>
      </w:tr>
    </w:tbl>
    <w:p>
      <w:pPr>
        <w:spacing w:after="20"/>
      </w:pPr>
    </w:p>
    <w:p>
      <w:pPr>
        <w:pStyle w:val="Heading2"/>
      </w:pPr>
      <w:r>
        <w:rPr>
          <w:b w:val="0"/>
          <w:i w:val="0"/>
        </w:rPr>
        <w:t>Pre-specified falsification logic</w:t>
      </w:r>
    </w:p>
    <w:p>
      <w:pPr>
        <w:pStyle w:val="ListBullet"/>
      </w:pPr>
      <w:r>
        <w:rPr>
          <w:b w:val="0"/>
          <w:i w:val="0"/>
        </w:rPr>
        <w:t>Reject mechanism stories that rely on contemporaneous correlation alone; test lags, events, and placebo dates.</w:t>
      </w:r>
    </w:p>
    <w:p>
      <w:pPr>
        <w:pStyle w:val="ListBullet"/>
      </w:pPr>
      <w:r>
        <w:rPr>
          <w:b w:val="0"/>
          <w:i w:val="0"/>
        </w:rPr>
        <w:t>For H2 and H8, inactive or merely promised mechanisms form explicit negative controls.</w:t>
      </w:r>
    </w:p>
    <w:p>
      <w:pPr>
        <w:pStyle w:val="ListBullet"/>
      </w:pPr>
      <w:r>
        <w:rPr>
          <w:b w:val="0"/>
          <w:i w:val="0"/>
        </w:rPr>
        <w:t>For H5–H6, include failed stablecoins and test both normal and stress periods.</w:t>
      </w:r>
    </w:p>
    <w:p>
      <w:pPr>
        <w:pStyle w:val="ListBullet"/>
      </w:pPr>
      <w:r>
        <w:rPr>
          <w:b w:val="0"/>
          <w:i w:val="0"/>
        </w:rPr>
        <w:t>Report economic magnitudes, confidence intervals, within-R², out-of-sample performance, and multiple-testing adjusted q-values.</w:t>
      </w:r>
    </w:p>
    <w:p>
      <w:pPr>
        <w:pStyle w:val="Heading1"/>
      </w:pPr>
      <w:r>
        <w:rPr>
          <w:b w:val="0"/>
          <w:i w:val="0"/>
        </w:rPr>
        <w:t>8. Reproducible data schemas</w:t>
      </w:r>
    </w:p>
    <w:p>
      <w:pPr>
        <w:pStyle w:val="Heading2"/>
      </w:pPr>
      <w:r>
        <w:rPr>
          <w:b w:val="0"/>
          <w:i w:val="0"/>
        </w:rPr>
        <w:t>General database conventions</w:t>
      </w:r>
    </w:p>
    <w:p>
      <w:pPr>
        <w:pStyle w:val="ListBullet"/>
      </w:pPr>
      <w:r>
        <w:rPr>
          <w:b w:val="0"/>
          <w:i w:val="0"/>
        </w:rPr>
        <w:t>Primary keys are stable internal IDs, never ticker symbols alone.</w:t>
      </w:r>
    </w:p>
    <w:p>
      <w:pPr>
        <w:pStyle w:val="ListBullet"/>
      </w:pPr>
      <w:r>
        <w:rPr>
          <w:b w:val="0"/>
          <w:i w:val="0"/>
        </w:rPr>
        <w:t>All time-varying design tables use valid_from and valid_to; open intervals use null valid_to.</w:t>
      </w:r>
    </w:p>
    <w:p>
      <w:pPr>
        <w:pStyle w:val="ListBullet"/>
      </w:pPr>
      <w:r>
        <w:rPr>
          <w:b w:val="0"/>
          <w:i w:val="0"/>
        </w:rPr>
        <w:t>All numeric fields carry units, frequency, source_id, retrieved_at_utc, and transformation version in lineage tables.</w:t>
      </w:r>
    </w:p>
    <w:p>
      <w:pPr>
        <w:pStyle w:val="ListBullet"/>
      </w:pPr>
      <w:r>
        <w:rPr>
          <w:b w:val="0"/>
          <w:i w:val="0"/>
        </w:rPr>
        <w:t>Unknown is null—not zero. Boolean 0 means reviewed and criterion not met.</w:t>
      </w:r>
    </w:p>
    <w:p>
      <w:pPr>
        <w:pStyle w:val="ListBullet"/>
      </w:pPr>
      <w:r>
        <w:rPr>
          <w:b w:val="0"/>
          <w:i w:val="0"/>
        </w:rPr>
        <w:t>Raw, staged, and analytical layers are immutable/versioned; transformations run from code and configuration.</w:t>
      </w:r>
    </w:p>
    <w:p>
      <w:pPr>
        <w:pStyle w:val="Heading2"/>
      </w:pPr>
      <w:r>
        <w:rPr>
          <w:b w:val="0"/>
          <w:i w:val="0"/>
        </w:rPr>
        <w:t>asset_master</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592"/>
            <w:shd w:fill="183A5A"/>
            <w:tcMar>
              <w:top w:w="80" w:type="dxa"/>
              <w:start w:w="105" w:type="dxa"/>
              <w:bottom w:w="80" w:type="dxa"/>
              <w:end w:w="105" w:type="dxa"/>
            </w:tcMar>
            <w:vAlign w:val="center"/>
          </w:tcPr>
          <w:p>
            <w:pPr>
              <w:spacing w:after="0"/>
            </w:pPr>
            <w:r>
              <w:rPr>
                <w:b/>
                <w:color w:val="FFFFFF"/>
                <w:sz w:val="15"/>
              </w:rPr>
              <w:t>Field</w:t>
            </w:r>
          </w:p>
        </w:tc>
        <w:tc>
          <w:tcPr>
            <w:tcW w:type="dxa" w:w="1584"/>
            <w:shd w:fill="183A5A"/>
            <w:tcMar>
              <w:top w:w="80" w:type="dxa"/>
              <w:start w:w="105" w:type="dxa"/>
              <w:bottom w:w="80" w:type="dxa"/>
              <w:end w:w="105" w:type="dxa"/>
            </w:tcMar>
            <w:vAlign w:val="center"/>
          </w:tcPr>
          <w:p>
            <w:pPr>
              <w:spacing w:after="0"/>
            </w:pPr>
            <w:r>
              <w:rPr>
                <w:b/>
                <w:color w:val="FFFFFF"/>
                <w:sz w:val="15"/>
              </w:rPr>
              <w:t>Type</w:t>
            </w:r>
          </w:p>
        </w:tc>
        <w:tc>
          <w:tcPr>
            <w:tcW w:type="dxa" w:w="5760"/>
            <w:shd w:fill="183A5A"/>
            <w:tcMar>
              <w:top w:w="80" w:type="dxa"/>
              <w:start w:w="105" w:type="dxa"/>
              <w:bottom w:w="80" w:type="dxa"/>
              <w:end w:w="105" w:type="dxa"/>
            </w:tcMar>
            <w:vAlign w:val="center"/>
          </w:tcPr>
          <w:p>
            <w:pPr>
              <w:spacing w:after="0"/>
            </w:pPr>
            <w:r>
              <w:rPr>
                <w:b/>
                <w:color w:val="FFFFFF"/>
                <w:sz w:val="15"/>
              </w:rPr>
              <w:t>Definition</w:t>
            </w:r>
          </w:p>
        </w:tc>
      </w:tr>
      <w:tr>
        <w:tc>
          <w:tcPr>
            <w:tcW w:type="dxa" w:w="2592"/>
            <w:tcMar>
              <w:top w:w="80" w:type="dxa"/>
              <w:start w:w="105" w:type="dxa"/>
              <w:bottom w:w="80" w:type="dxa"/>
              <w:end w:w="105" w:type="dxa"/>
            </w:tcMar>
            <w:vAlign w:val="center"/>
          </w:tcPr>
          <w:p>
            <w:pPr>
              <w:spacing w:after="0" w:line="240" w:lineRule="auto"/>
            </w:pPr>
            <w:r>
              <w:rPr>
                <w:color w:val="17242E"/>
                <w:sz w:val="15"/>
              </w:rPr>
              <w:t>asset_id</w:t>
            </w:r>
          </w:p>
        </w:tc>
        <w:tc>
          <w:tcPr>
            <w:tcW w:type="dxa" w:w="1584"/>
            <w:tcMar>
              <w:top w:w="80" w:type="dxa"/>
              <w:start w:w="105" w:type="dxa"/>
              <w:bottom w:w="80" w:type="dxa"/>
              <w:end w:w="105" w:type="dxa"/>
            </w:tcMar>
            <w:vAlign w:val="center"/>
          </w:tcPr>
          <w:p>
            <w:pPr>
              <w:spacing w:after="0" w:line="240" w:lineRule="auto"/>
            </w:pPr>
            <w:r>
              <w:rPr>
                <w:color w:val="17242E"/>
                <w:sz w:val="15"/>
              </w:rPr>
              <w:t>string PK</w:t>
            </w:r>
          </w:p>
        </w:tc>
        <w:tc>
          <w:tcPr>
            <w:tcW w:type="dxa" w:w="5760"/>
            <w:tcMar>
              <w:top w:w="80" w:type="dxa"/>
              <w:start w:w="105" w:type="dxa"/>
              <w:bottom w:w="80" w:type="dxa"/>
              <w:end w:w="105" w:type="dxa"/>
            </w:tcMar>
            <w:vAlign w:val="center"/>
          </w:tcPr>
          <w:p>
            <w:pPr>
              <w:spacing w:after="0" w:line="240" w:lineRule="auto"/>
            </w:pPr>
            <w:r>
              <w:rPr>
                <w:color w:val="17242E"/>
                <w:sz w:val="15"/>
              </w:rPr>
              <w:t>stable internal identifier</w:t>
            </w:r>
          </w:p>
        </w:tc>
      </w:tr>
      <w:tr>
        <w:tc>
          <w:tcPr>
            <w:tcW w:type="dxa" w:w="2592"/>
            <w:tcMar>
              <w:top w:w="80" w:type="dxa"/>
              <w:start w:w="105" w:type="dxa"/>
              <w:bottom w:w="80" w:type="dxa"/>
              <w:end w:w="105" w:type="dxa"/>
            </w:tcMar>
            <w:vAlign w:val="center"/>
            <w:shd w:fill="F4F7F9"/>
          </w:tcPr>
          <w:p>
            <w:pPr>
              <w:spacing w:after="0" w:line="240" w:lineRule="auto"/>
            </w:pPr>
            <w:r>
              <w:rPr>
                <w:color w:val="17242E"/>
                <w:sz w:val="15"/>
              </w:rPr>
              <w:t>symbol</w:t>
            </w:r>
          </w:p>
        </w:tc>
        <w:tc>
          <w:tcPr>
            <w:tcW w:type="dxa" w:w="1584"/>
            <w:tcMar>
              <w:top w:w="80" w:type="dxa"/>
              <w:start w:w="105" w:type="dxa"/>
              <w:bottom w:w="80" w:type="dxa"/>
              <w:end w:w="105" w:type="dxa"/>
            </w:tcMar>
            <w:vAlign w:val="center"/>
            <w:shd w:fill="F4F7F9"/>
          </w:tcPr>
          <w:p>
            <w:pPr>
              <w:spacing w:after="0" w:line="240" w:lineRule="auto"/>
            </w:pPr>
            <w:r>
              <w:rPr>
                <w:color w:val="17242E"/>
                <w:sz w:val="15"/>
              </w:rPr>
              <w:t>string</w:t>
            </w:r>
          </w:p>
        </w:tc>
        <w:tc>
          <w:tcPr>
            <w:tcW w:type="dxa" w:w="5760"/>
            <w:tcMar>
              <w:top w:w="80" w:type="dxa"/>
              <w:start w:w="105" w:type="dxa"/>
              <w:bottom w:w="80" w:type="dxa"/>
              <w:end w:w="105" w:type="dxa"/>
            </w:tcMar>
            <w:vAlign w:val="center"/>
            <w:shd w:fill="F4F7F9"/>
          </w:tcPr>
          <w:p>
            <w:pPr>
              <w:spacing w:after="0" w:line="240" w:lineRule="auto"/>
            </w:pPr>
            <w:r>
              <w:rPr>
                <w:color w:val="17242E"/>
                <w:sz w:val="15"/>
              </w:rPr>
              <w:t>point-in-time ticker; aliases in child table</w:t>
            </w:r>
          </w:p>
        </w:tc>
      </w:tr>
      <w:tr>
        <w:tc>
          <w:tcPr>
            <w:tcW w:type="dxa" w:w="2592"/>
            <w:tcMar>
              <w:top w:w="80" w:type="dxa"/>
              <w:start w:w="105" w:type="dxa"/>
              <w:bottom w:w="80" w:type="dxa"/>
              <w:end w:w="105" w:type="dxa"/>
            </w:tcMar>
            <w:vAlign w:val="center"/>
          </w:tcPr>
          <w:p>
            <w:pPr>
              <w:spacing w:after="0" w:line="240" w:lineRule="auto"/>
            </w:pPr>
            <w:r>
              <w:rPr>
                <w:color w:val="17242E"/>
                <w:sz w:val="15"/>
              </w:rPr>
              <w:t>asset_name</w:t>
            </w:r>
          </w:p>
        </w:tc>
        <w:tc>
          <w:tcPr>
            <w:tcW w:type="dxa" w:w="1584"/>
            <w:tcMar>
              <w:top w:w="80" w:type="dxa"/>
              <w:start w:w="105" w:type="dxa"/>
              <w:bottom w:w="80" w:type="dxa"/>
              <w:end w:w="105" w:type="dxa"/>
            </w:tcMar>
            <w:vAlign w:val="center"/>
          </w:tcPr>
          <w:p>
            <w:pPr>
              <w:spacing w:after="0" w:line="240" w:lineRule="auto"/>
            </w:pPr>
            <w:r>
              <w:rPr>
                <w:color w:val="17242E"/>
                <w:sz w:val="15"/>
              </w:rPr>
              <w:t>string</w:t>
            </w:r>
          </w:p>
        </w:tc>
        <w:tc>
          <w:tcPr>
            <w:tcW w:type="dxa" w:w="5760"/>
            <w:tcMar>
              <w:top w:w="80" w:type="dxa"/>
              <w:start w:w="105" w:type="dxa"/>
              <w:bottom w:w="80" w:type="dxa"/>
              <w:end w:w="105" w:type="dxa"/>
            </w:tcMar>
            <w:vAlign w:val="center"/>
          </w:tcPr>
          <w:p>
            <w:pPr>
              <w:spacing w:after="0" w:line="240" w:lineRule="auto"/>
            </w:pPr>
            <w:r>
              <w:rPr>
                <w:color w:val="17242E"/>
                <w:sz w:val="15"/>
              </w:rPr>
              <w:t>canonical name</w:t>
            </w:r>
          </w:p>
        </w:tc>
      </w:tr>
      <w:tr>
        <w:tc>
          <w:tcPr>
            <w:tcW w:type="dxa" w:w="2592"/>
            <w:tcMar>
              <w:top w:w="80" w:type="dxa"/>
              <w:start w:w="105" w:type="dxa"/>
              <w:bottom w:w="80" w:type="dxa"/>
              <w:end w:w="105" w:type="dxa"/>
            </w:tcMar>
            <w:vAlign w:val="center"/>
            <w:shd w:fill="F4F7F9"/>
          </w:tcPr>
          <w:p>
            <w:pPr>
              <w:spacing w:after="0" w:line="240" w:lineRule="auto"/>
            </w:pPr>
            <w:r>
              <w:rPr>
                <w:color w:val="17242E"/>
                <w:sz w:val="15"/>
              </w:rPr>
              <w:t>asset_family</w:t>
            </w:r>
          </w:p>
        </w:tc>
        <w:tc>
          <w:tcPr>
            <w:tcW w:type="dxa" w:w="1584"/>
            <w:tcMar>
              <w:top w:w="80" w:type="dxa"/>
              <w:start w:w="105" w:type="dxa"/>
              <w:bottom w:w="80" w:type="dxa"/>
              <w:end w:w="105" w:type="dxa"/>
            </w:tcMar>
            <w:vAlign w:val="center"/>
            <w:shd w:fill="F4F7F9"/>
          </w:tcPr>
          <w:p>
            <w:pPr>
              <w:spacing w:after="0" w:line="240" w:lineRule="auto"/>
            </w:pPr>
            <w:r>
              <w:rPr>
                <w:color w:val="17242E"/>
                <w:sz w:val="15"/>
              </w:rPr>
              <w:t>enum</w:t>
            </w:r>
          </w:p>
        </w:tc>
        <w:tc>
          <w:tcPr>
            <w:tcW w:type="dxa" w:w="5760"/>
            <w:tcMar>
              <w:top w:w="80" w:type="dxa"/>
              <w:start w:w="105" w:type="dxa"/>
              <w:bottom w:w="80" w:type="dxa"/>
              <w:end w:w="105" w:type="dxa"/>
            </w:tcMar>
            <w:vAlign w:val="center"/>
            <w:shd w:fill="F4F7F9"/>
          </w:tcPr>
          <w:p>
            <w:pPr>
              <w:spacing w:after="0" w:line="240" w:lineRule="auto"/>
            </w:pPr>
            <w:r>
              <w:rPr>
                <w:color w:val="17242E"/>
                <w:sz w:val="15"/>
              </w:rPr>
              <w:t>stablecoin, L1, L2, DeFi, oracle, utility, claim, other</w:t>
            </w:r>
          </w:p>
        </w:tc>
      </w:tr>
      <w:tr>
        <w:tc>
          <w:tcPr>
            <w:tcW w:type="dxa" w:w="2592"/>
            <w:tcMar>
              <w:top w:w="80" w:type="dxa"/>
              <w:start w:w="105" w:type="dxa"/>
              <w:bottom w:w="80" w:type="dxa"/>
              <w:end w:w="105" w:type="dxa"/>
            </w:tcMar>
            <w:vAlign w:val="center"/>
          </w:tcPr>
          <w:p>
            <w:pPr>
              <w:spacing w:after="0" w:line="240" w:lineRule="auto"/>
            </w:pPr>
            <w:r>
              <w:rPr>
                <w:color w:val="17242E"/>
                <w:sz w:val="15"/>
              </w:rPr>
              <w:t>economic_function_primary</w:t>
            </w:r>
          </w:p>
        </w:tc>
        <w:tc>
          <w:tcPr>
            <w:tcW w:type="dxa" w:w="1584"/>
            <w:tcMar>
              <w:top w:w="80" w:type="dxa"/>
              <w:start w:w="105" w:type="dxa"/>
              <w:bottom w:w="80" w:type="dxa"/>
              <w:end w:w="105" w:type="dxa"/>
            </w:tcMar>
            <w:vAlign w:val="center"/>
          </w:tcPr>
          <w:p>
            <w:pPr>
              <w:spacing w:after="0" w:line="240" w:lineRule="auto"/>
            </w:pPr>
            <w:r>
              <w:rPr>
                <w:color w:val="17242E"/>
                <w:sz w:val="15"/>
              </w:rPr>
              <w:t>enum</w:t>
            </w:r>
          </w:p>
        </w:tc>
        <w:tc>
          <w:tcPr>
            <w:tcW w:type="dxa" w:w="5760"/>
            <w:tcMar>
              <w:top w:w="80" w:type="dxa"/>
              <w:start w:w="105" w:type="dxa"/>
              <w:bottom w:w="80" w:type="dxa"/>
              <w:end w:w="105" w:type="dxa"/>
            </w:tcMar>
            <w:vAlign w:val="center"/>
          </w:tcPr>
          <w:p>
            <w:pPr>
              <w:spacing w:after="0" w:line="240" w:lineRule="auto"/>
            </w:pPr>
            <w:r>
              <w:rPr>
                <w:color w:val="17242E"/>
                <w:sz w:val="15"/>
              </w:rPr>
              <w:t>principal economic service</w:t>
            </w:r>
          </w:p>
        </w:tc>
      </w:tr>
      <w:tr>
        <w:tc>
          <w:tcPr>
            <w:tcW w:type="dxa" w:w="2592"/>
            <w:tcMar>
              <w:top w:w="80" w:type="dxa"/>
              <w:start w:w="105" w:type="dxa"/>
              <w:bottom w:w="80" w:type="dxa"/>
              <w:end w:w="105" w:type="dxa"/>
            </w:tcMar>
            <w:vAlign w:val="center"/>
            <w:shd w:fill="F4F7F9"/>
          </w:tcPr>
          <w:p>
            <w:pPr>
              <w:spacing w:after="0" w:line="240" w:lineRule="auto"/>
            </w:pPr>
            <w:r>
              <w:rPr>
                <w:color w:val="17242E"/>
                <w:sz w:val="15"/>
              </w:rPr>
              <w:t>economic_function_secondary</w:t>
            </w:r>
          </w:p>
        </w:tc>
        <w:tc>
          <w:tcPr>
            <w:tcW w:type="dxa" w:w="1584"/>
            <w:tcMar>
              <w:top w:w="80" w:type="dxa"/>
              <w:start w:w="105" w:type="dxa"/>
              <w:bottom w:w="80" w:type="dxa"/>
              <w:end w:w="105" w:type="dxa"/>
            </w:tcMar>
            <w:vAlign w:val="center"/>
            <w:shd w:fill="F4F7F9"/>
          </w:tcPr>
          <w:p>
            <w:pPr>
              <w:spacing w:after="0" w:line="240" w:lineRule="auto"/>
            </w:pPr>
            <w:r>
              <w:rPr>
                <w:color w:val="17242E"/>
                <w:sz w:val="15"/>
              </w:rPr>
              <w:t>array/bridge</w:t>
            </w:r>
          </w:p>
        </w:tc>
        <w:tc>
          <w:tcPr>
            <w:tcW w:type="dxa" w:w="5760"/>
            <w:tcMar>
              <w:top w:w="80" w:type="dxa"/>
              <w:start w:w="105" w:type="dxa"/>
              <w:bottom w:w="80" w:type="dxa"/>
              <w:end w:w="105" w:type="dxa"/>
            </w:tcMar>
            <w:vAlign w:val="center"/>
            <w:shd w:fill="F4F7F9"/>
          </w:tcPr>
          <w:p>
            <w:pPr>
              <w:spacing w:after="0" w:line="240" w:lineRule="auto"/>
            </w:pPr>
            <w:r>
              <w:rPr>
                <w:color w:val="17242E"/>
                <w:sz w:val="15"/>
              </w:rPr>
              <w:t>additional functions</w:t>
            </w:r>
          </w:p>
        </w:tc>
      </w:tr>
      <w:tr>
        <w:tc>
          <w:tcPr>
            <w:tcW w:type="dxa" w:w="2592"/>
            <w:tcMar>
              <w:top w:w="80" w:type="dxa"/>
              <w:start w:w="105" w:type="dxa"/>
              <w:bottom w:w="80" w:type="dxa"/>
              <w:end w:w="105" w:type="dxa"/>
            </w:tcMar>
            <w:vAlign w:val="center"/>
          </w:tcPr>
          <w:p>
            <w:pPr>
              <w:spacing w:after="0" w:line="240" w:lineRule="auto"/>
            </w:pPr>
            <w:r>
              <w:rPr>
                <w:color w:val="17242E"/>
                <w:sz w:val="15"/>
              </w:rPr>
              <w:t>layer</w:t>
            </w:r>
          </w:p>
        </w:tc>
        <w:tc>
          <w:tcPr>
            <w:tcW w:type="dxa" w:w="1584"/>
            <w:tcMar>
              <w:top w:w="80" w:type="dxa"/>
              <w:start w:w="105" w:type="dxa"/>
              <w:bottom w:w="80" w:type="dxa"/>
              <w:end w:w="105" w:type="dxa"/>
            </w:tcMar>
            <w:vAlign w:val="center"/>
          </w:tcPr>
          <w:p>
            <w:pPr>
              <w:spacing w:after="0" w:line="240" w:lineRule="auto"/>
            </w:pPr>
            <w:r>
              <w:rPr>
                <w:color w:val="17242E"/>
                <w:sz w:val="15"/>
              </w:rPr>
              <w:t>enum</w:t>
            </w:r>
          </w:p>
        </w:tc>
        <w:tc>
          <w:tcPr>
            <w:tcW w:type="dxa" w:w="5760"/>
            <w:tcMar>
              <w:top w:w="80" w:type="dxa"/>
              <w:start w:w="105" w:type="dxa"/>
              <w:bottom w:w="80" w:type="dxa"/>
              <w:end w:w="105" w:type="dxa"/>
            </w:tcMar>
            <w:vAlign w:val="center"/>
          </w:tcPr>
          <w:p>
            <w:pPr>
              <w:spacing w:after="0" w:line="240" w:lineRule="auto"/>
            </w:pPr>
            <w:r>
              <w:rPr>
                <w:color w:val="17242E"/>
                <w:sz w:val="15"/>
              </w:rPr>
              <w:t>L1, L2, app, off-chain claim, multi</w:t>
            </w:r>
          </w:p>
        </w:tc>
      </w:tr>
      <w:tr>
        <w:tc>
          <w:tcPr>
            <w:tcW w:type="dxa" w:w="2592"/>
            <w:tcMar>
              <w:top w:w="80" w:type="dxa"/>
              <w:start w:w="105" w:type="dxa"/>
              <w:bottom w:w="80" w:type="dxa"/>
              <w:end w:w="105" w:type="dxa"/>
            </w:tcMar>
            <w:vAlign w:val="center"/>
            <w:shd w:fill="F4F7F9"/>
          </w:tcPr>
          <w:p>
            <w:pPr>
              <w:spacing w:after="0" w:line="240" w:lineRule="auto"/>
            </w:pPr>
            <w:r>
              <w:rPr>
                <w:color w:val="17242E"/>
                <w:sz w:val="15"/>
              </w:rPr>
              <w:t>native_chain_id</w:t>
            </w:r>
          </w:p>
        </w:tc>
        <w:tc>
          <w:tcPr>
            <w:tcW w:type="dxa" w:w="1584"/>
            <w:tcMar>
              <w:top w:w="80" w:type="dxa"/>
              <w:start w:w="105" w:type="dxa"/>
              <w:bottom w:w="80" w:type="dxa"/>
              <w:end w:w="105" w:type="dxa"/>
            </w:tcMar>
            <w:vAlign w:val="center"/>
            <w:shd w:fill="F4F7F9"/>
          </w:tcPr>
          <w:p>
            <w:pPr>
              <w:spacing w:after="0" w:line="240" w:lineRule="auto"/>
            </w:pPr>
            <w:r>
              <w:rPr>
                <w:color w:val="17242E"/>
                <w:sz w:val="15"/>
              </w:rPr>
              <w:t>string FK</w:t>
            </w:r>
          </w:p>
        </w:tc>
        <w:tc>
          <w:tcPr>
            <w:tcW w:type="dxa" w:w="5760"/>
            <w:tcMar>
              <w:top w:w="80" w:type="dxa"/>
              <w:start w:w="105" w:type="dxa"/>
              <w:bottom w:w="80" w:type="dxa"/>
              <w:end w:w="105" w:type="dxa"/>
            </w:tcMar>
            <w:vAlign w:val="center"/>
            <w:shd w:fill="F4F7F9"/>
          </w:tcPr>
          <w:p>
            <w:pPr>
              <w:spacing w:after="0" w:line="240" w:lineRule="auto"/>
            </w:pPr>
            <w:r>
              <w:rPr>
                <w:color w:val="17242E"/>
                <w:sz w:val="15"/>
              </w:rPr>
              <w:t>origin chain/network</w:t>
            </w:r>
          </w:p>
        </w:tc>
      </w:tr>
      <w:tr>
        <w:tc>
          <w:tcPr>
            <w:tcW w:type="dxa" w:w="2592"/>
            <w:tcMar>
              <w:top w:w="80" w:type="dxa"/>
              <w:start w:w="105" w:type="dxa"/>
              <w:bottom w:w="80" w:type="dxa"/>
              <w:end w:w="105" w:type="dxa"/>
            </w:tcMar>
            <w:vAlign w:val="center"/>
          </w:tcPr>
          <w:p>
            <w:pPr>
              <w:spacing w:after="0" w:line="240" w:lineRule="auto"/>
            </w:pPr>
            <w:r>
              <w:rPr>
                <w:color w:val="17242E"/>
                <w:sz w:val="15"/>
              </w:rPr>
              <w:t>contract_address</w:t>
            </w:r>
          </w:p>
        </w:tc>
        <w:tc>
          <w:tcPr>
            <w:tcW w:type="dxa" w:w="1584"/>
            <w:tcMar>
              <w:top w:w="80" w:type="dxa"/>
              <w:start w:w="105" w:type="dxa"/>
              <w:bottom w:w="80" w:type="dxa"/>
              <w:end w:w="105" w:type="dxa"/>
            </w:tcMar>
            <w:vAlign w:val="center"/>
          </w:tcPr>
          <w:p>
            <w:pPr>
              <w:spacing w:after="0" w:line="240" w:lineRule="auto"/>
            </w:pPr>
            <w:r>
              <w:rPr>
                <w:color w:val="17242E"/>
                <w:sz w:val="15"/>
              </w:rPr>
              <w:t>string nullable</w:t>
            </w:r>
          </w:p>
        </w:tc>
        <w:tc>
          <w:tcPr>
            <w:tcW w:type="dxa" w:w="5760"/>
            <w:tcMar>
              <w:top w:w="80" w:type="dxa"/>
              <w:start w:w="105" w:type="dxa"/>
              <w:bottom w:w="80" w:type="dxa"/>
              <w:end w:w="105" w:type="dxa"/>
            </w:tcMar>
            <w:vAlign w:val="center"/>
          </w:tcPr>
          <w:p>
            <w:pPr>
              <w:spacing w:after="0" w:line="240" w:lineRule="auto"/>
            </w:pPr>
            <w:r>
              <w:rPr>
                <w:color w:val="17242E"/>
                <w:sz w:val="15"/>
              </w:rPr>
              <w:t>checksummed address; chain-qualified</w:t>
            </w:r>
          </w:p>
        </w:tc>
      </w:tr>
      <w:tr>
        <w:tc>
          <w:tcPr>
            <w:tcW w:type="dxa" w:w="2592"/>
            <w:tcMar>
              <w:top w:w="80" w:type="dxa"/>
              <w:start w:w="105" w:type="dxa"/>
              <w:bottom w:w="80" w:type="dxa"/>
              <w:end w:w="105" w:type="dxa"/>
            </w:tcMar>
            <w:vAlign w:val="center"/>
            <w:shd w:fill="F4F7F9"/>
          </w:tcPr>
          <w:p>
            <w:pPr>
              <w:spacing w:after="0" w:line="240" w:lineRule="auto"/>
            </w:pPr>
            <w:r>
              <w:rPr>
                <w:color w:val="17242E"/>
                <w:sz w:val="15"/>
              </w:rPr>
              <w:t>consensus</w:t>
            </w:r>
          </w:p>
        </w:tc>
        <w:tc>
          <w:tcPr>
            <w:tcW w:type="dxa" w:w="1584"/>
            <w:tcMar>
              <w:top w:w="80" w:type="dxa"/>
              <w:start w:w="105" w:type="dxa"/>
              <w:bottom w:w="80" w:type="dxa"/>
              <w:end w:w="105" w:type="dxa"/>
            </w:tcMar>
            <w:vAlign w:val="center"/>
            <w:shd w:fill="F4F7F9"/>
          </w:tcPr>
          <w:p>
            <w:pPr>
              <w:spacing w:after="0" w:line="240" w:lineRule="auto"/>
            </w:pPr>
            <w:r>
              <w:rPr>
                <w:color w:val="17242E"/>
                <w:sz w:val="15"/>
              </w:rPr>
              <w:t>enum nullable</w:t>
            </w:r>
          </w:p>
        </w:tc>
        <w:tc>
          <w:tcPr>
            <w:tcW w:type="dxa" w:w="5760"/>
            <w:tcMar>
              <w:top w:w="80" w:type="dxa"/>
              <w:start w:w="105" w:type="dxa"/>
              <w:bottom w:w="80" w:type="dxa"/>
              <w:end w:w="105" w:type="dxa"/>
            </w:tcMar>
            <w:vAlign w:val="center"/>
            <w:shd w:fill="F4F7F9"/>
          </w:tcPr>
          <w:p>
            <w:pPr>
              <w:spacing w:after="0" w:line="240" w:lineRule="auto"/>
            </w:pPr>
            <w:r>
              <w:rPr>
                <w:color w:val="17242E"/>
                <w:sz w:val="15"/>
              </w:rPr>
              <w:t>PoW, PoS family, other, NA</w:t>
            </w:r>
          </w:p>
        </w:tc>
      </w:tr>
      <w:tr>
        <w:tc>
          <w:tcPr>
            <w:tcW w:type="dxa" w:w="2592"/>
            <w:tcMar>
              <w:top w:w="80" w:type="dxa"/>
              <w:start w:w="105" w:type="dxa"/>
              <w:bottom w:w="80" w:type="dxa"/>
              <w:end w:w="105" w:type="dxa"/>
            </w:tcMar>
            <w:vAlign w:val="center"/>
          </w:tcPr>
          <w:p>
            <w:pPr>
              <w:spacing w:after="0" w:line="240" w:lineRule="auto"/>
            </w:pPr>
            <w:r>
              <w:rPr>
                <w:color w:val="17242E"/>
                <w:sz w:val="15"/>
              </w:rPr>
              <w:t>issuer_type</w:t>
            </w:r>
          </w:p>
        </w:tc>
        <w:tc>
          <w:tcPr>
            <w:tcW w:type="dxa" w:w="1584"/>
            <w:tcMar>
              <w:top w:w="80" w:type="dxa"/>
              <w:start w:w="105" w:type="dxa"/>
              <w:bottom w:w="80" w:type="dxa"/>
              <w:end w:w="105" w:type="dxa"/>
            </w:tcMar>
            <w:vAlign w:val="center"/>
          </w:tcPr>
          <w:p>
            <w:pPr>
              <w:spacing w:after="0" w:line="240" w:lineRule="auto"/>
            </w:pPr>
            <w:r>
              <w:rPr>
                <w:color w:val="17242E"/>
                <w:sz w:val="15"/>
              </w:rPr>
              <w:t>enum</w:t>
            </w:r>
          </w:p>
        </w:tc>
        <w:tc>
          <w:tcPr>
            <w:tcW w:type="dxa" w:w="5760"/>
            <w:tcMar>
              <w:top w:w="80" w:type="dxa"/>
              <w:start w:w="105" w:type="dxa"/>
              <w:bottom w:w="80" w:type="dxa"/>
              <w:end w:w="105" w:type="dxa"/>
            </w:tcMar>
            <w:vAlign w:val="center"/>
          </w:tcPr>
          <w:p>
            <w:pPr>
              <w:spacing w:after="0" w:line="240" w:lineRule="auto"/>
            </w:pPr>
            <w:r>
              <w:rPr>
                <w:color w:val="17242E"/>
                <w:sz w:val="15"/>
              </w:rPr>
              <w:t>none, corporate, foundation, DAO, protocol, SPV</w:t>
            </w:r>
          </w:p>
        </w:tc>
      </w:tr>
      <w:tr>
        <w:tc>
          <w:tcPr>
            <w:tcW w:type="dxa" w:w="2592"/>
            <w:tcMar>
              <w:top w:w="80" w:type="dxa"/>
              <w:start w:w="105" w:type="dxa"/>
              <w:bottom w:w="80" w:type="dxa"/>
              <w:end w:w="105" w:type="dxa"/>
            </w:tcMar>
            <w:vAlign w:val="center"/>
            <w:shd w:fill="F4F7F9"/>
          </w:tcPr>
          <w:p>
            <w:pPr>
              <w:spacing w:after="0" w:line="240" w:lineRule="auto"/>
            </w:pPr>
            <w:r>
              <w:rPr>
                <w:color w:val="17242E"/>
                <w:sz w:val="15"/>
              </w:rPr>
              <w:t>launch_date</w:t>
            </w:r>
          </w:p>
        </w:tc>
        <w:tc>
          <w:tcPr>
            <w:tcW w:type="dxa" w:w="1584"/>
            <w:tcMar>
              <w:top w:w="80" w:type="dxa"/>
              <w:start w:w="105" w:type="dxa"/>
              <w:bottom w:w="80" w:type="dxa"/>
              <w:end w:w="105" w:type="dxa"/>
            </w:tcMar>
            <w:vAlign w:val="center"/>
            <w:shd w:fill="F4F7F9"/>
          </w:tcPr>
          <w:p>
            <w:pPr>
              <w:spacing w:after="0" w:line="240" w:lineRule="auto"/>
            </w:pPr>
            <w:r>
              <w:rPr>
                <w:color w:val="17242E"/>
                <w:sz w:val="15"/>
              </w:rPr>
              <w:t>date</w:t>
            </w:r>
          </w:p>
        </w:tc>
        <w:tc>
          <w:tcPr>
            <w:tcW w:type="dxa" w:w="5760"/>
            <w:tcMar>
              <w:top w:w="80" w:type="dxa"/>
              <w:start w:w="105" w:type="dxa"/>
              <w:bottom w:w="80" w:type="dxa"/>
              <w:end w:w="105" w:type="dxa"/>
            </w:tcMar>
            <w:vAlign w:val="center"/>
            <w:shd w:fill="F4F7F9"/>
          </w:tcPr>
          <w:p>
            <w:pPr>
              <w:spacing w:after="0" w:line="240" w:lineRule="auto"/>
            </w:pPr>
            <w:r>
              <w:rPr>
                <w:color w:val="17242E"/>
                <w:sz w:val="15"/>
              </w:rPr>
              <w:t>first economically live date</w:t>
            </w:r>
          </w:p>
        </w:tc>
      </w:tr>
      <w:tr>
        <w:tc>
          <w:tcPr>
            <w:tcW w:type="dxa" w:w="2592"/>
            <w:tcMar>
              <w:top w:w="80" w:type="dxa"/>
              <w:start w:w="105" w:type="dxa"/>
              <w:bottom w:w="80" w:type="dxa"/>
              <w:end w:w="105" w:type="dxa"/>
            </w:tcMar>
            <w:vAlign w:val="center"/>
          </w:tcPr>
          <w:p>
            <w:pPr>
              <w:spacing w:after="0" w:line="240" w:lineRule="auto"/>
            </w:pPr>
            <w:r>
              <w:rPr>
                <w:color w:val="17242E"/>
                <w:sz w:val="15"/>
              </w:rPr>
              <w:t>inactive_date</w:t>
            </w:r>
          </w:p>
        </w:tc>
        <w:tc>
          <w:tcPr>
            <w:tcW w:type="dxa" w:w="1584"/>
            <w:tcMar>
              <w:top w:w="80" w:type="dxa"/>
              <w:start w:w="105" w:type="dxa"/>
              <w:bottom w:w="80" w:type="dxa"/>
              <w:end w:w="105" w:type="dxa"/>
            </w:tcMar>
            <w:vAlign w:val="center"/>
          </w:tcPr>
          <w:p>
            <w:pPr>
              <w:spacing w:after="0" w:line="240" w:lineRule="auto"/>
            </w:pPr>
            <w:r>
              <w:rPr>
                <w:color w:val="17242E"/>
                <w:sz w:val="15"/>
              </w:rPr>
              <w:t>date nullable</w:t>
            </w:r>
          </w:p>
        </w:tc>
        <w:tc>
          <w:tcPr>
            <w:tcW w:type="dxa" w:w="5760"/>
            <w:tcMar>
              <w:top w:w="80" w:type="dxa"/>
              <w:start w:w="105" w:type="dxa"/>
              <w:bottom w:w="80" w:type="dxa"/>
              <w:end w:w="105" w:type="dxa"/>
            </w:tcMar>
            <w:vAlign w:val="center"/>
          </w:tcPr>
          <w:p>
            <w:pPr>
              <w:spacing w:after="0" w:line="240" w:lineRule="auto"/>
            </w:pPr>
            <w:r>
              <w:rPr>
                <w:color w:val="17242E"/>
                <w:sz w:val="15"/>
              </w:rPr>
              <w:t>failure/delisting/sunset date</w:t>
            </w:r>
          </w:p>
        </w:tc>
      </w:tr>
      <w:tr>
        <w:tc>
          <w:tcPr>
            <w:tcW w:type="dxa" w:w="2592"/>
            <w:tcMar>
              <w:top w:w="80" w:type="dxa"/>
              <w:start w:w="105" w:type="dxa"/>
              <w:bottom w:w="80" w:type="dxa"/>
              <w:end w:w="105" w:type="dxa"/>
            </w:tcMar>
            <w:vAlign w:val="center"/>
            <w:shd w:fill="F4F7F9"/>
          </w:tcPr>
          <w:p>
            <w:pPr>
              <w:spacing w:after="0" w:line="240" w:lineRule="auto"/>
            </w:pPr>
            <w:r>
              <w:rPr>
                <w:color w:val="17242E"/>
                <w:sz w:val="15"/>
              </w:rPr>
              <w:t>status</w:t>
            </w:r>
          </w:p>
        </w:tc>
        <w:tc>
          <w:tcPr>
            <w:tcW w:type="dxa" w:w="1584"/>
            <w:tcMar>
              <w:top w:w="80" w:type="dxa"/>
              <w:start w:w="105" w:type="dxa"/>
              <w:bottom w:w="80" w:type="dxa"/>
              <w:end w:w="105" w:type="dxa"/>
            </w:tcMar>
            <w:vAlign w:val="center"/>
            <w:shd w:fill="F4F7F9"/>
          </w:tcPr>
          <w:p>
            <w:pPr>
              <w:spacing w:after="0" w:line="240" w:lineRule="auto"/>
            </w:pPr>
            <w:r>
              <w:rPr>
                <w:color w:val="17242E"/>
                <w:sz w:val="15"/>
              </w:rPr>
              <w:t>enum</w:t>
            </w:r>
          </w:p>
        </w:tc>
        <w:tc>
          <w:tcPr>
            <w:tcW w:type="dxa" w:w="5760"/>
            <w:tcMar>
              <w:top w:w="80" w:type="dxa"/>
              <w:start w:w="105" w:type="dxa"/>
              <w:bottom w:w="80" w:type="dxa"/>
              <w:end w:w="105" w:type="dxa"/>
            </w:tcMar>
            <w:vAlign w:val="center"/>
            <w:shd w:fill="F4F7F9"/>
          </w:tcPr>
          <w:p>
            <w:pPr>
              <w:spacing w:after="0" w:line="240" w:lineRule="auto"/>
            </w:pPr>
            <w:r>
              <w:rPr>
                <w:color w:val="17242E"/>
                <w:sz w:val="15"/>
              </w:rPr>
              <w:t>active, inactive, failed, migrated</w:t>
            </w:r>
          </w:p>
        </w:tc>
      </w:tr>
      <w:tr>
        <w:tc>
          <w:tcPr>
            <w:tcW w:type="dxa" w:w="2592"/>
            <w:tcMar>
              <w:top w:w="80" w:type="dxa"/>
              <w:start w:w="105" w:type="dxa"/>
              <w:bottom w:w="80" w:type="dxa"/>
              <w:end w:w="105" w:type="dxa"/>
            </w:tcMar>
            <w:vAlign w:val="center"/>
          </w:tcPr>
          <w:p>
            <w:pPr>
              <w:spacing w:after="0" w:line="240" w:lineRule="auto"/>
            </w:pPr>
            <w:r>
              <w:rPr>
                <w:color w:val="17242E"/>
                <w:sz w:val="15"/>
              </w:rPr>
              <w:t>source_id</w:t>
            </w:r>
          </w:p>
        </w:tc>
        <w:tc>
          <w:tcPr>
            <w:tcW w:type="dxa" w:w="1584"/>
            <w:tcMar>
              <w:top w:w="80" w:type="dxa"/>
              <w:start w:w="105" w:type="dxa"/>
              <w:bottom w:w="80" w:type="dxa"/>
              <w:end w:w="105" w:type="dxa"/>
            </w:tcMar>
            <w:vAlign w:val="center"/>
          </w:tcPr>
          <w:p>
            <w:pPr>
              <w:spacing w:after="0" w:line="240" w:lineRule="auto"/>
            </w:pPr>
            <w:r>
              <w:rPr>
                <w:color w:val="17242E"/>
                <w:sz w:val="15"/>
              </w:rPr>
              <w:t>string FK</w:t>
            </w:r>
          </w:p>
        </w:tc>
        <w:tc>
          <w:tcPr>
            <w:tcW w:type="dxa" w:w="5760"/>
            <w:tcMar>
              <w:top w:w="80" w:type="dxa"/>
              <w:start w:w="105" w:type="dxa"/>
              <w:bottom w:w="80" w:type="dxa"/>
              <w:end w:w="105" w:type="dxa"/>
            </w:tcMar>
            <w:vAlign w:val="center"/>
          </w:tcPr>
          <w:p>
            <w:pPr>
              <w:spacing w:after="0" w:line="240" w:lineRule="auto"/>
            </w:pPr>
            <w:r>
              <w:rPr>
                <w:color w:val="17242E"/>
                <w:sz w:val="15"/>
              </w:rPr>
              <w:t>authoritative evidence record</w:t>
            </w:r>
          </w:p>
        </w:tc>
      </w:tr>
    </w:tbl>
    <w:p>
      <w:pPr>
        <w:spacing w:after="20"/>
      </w:pPr>
    </w:p>
    <w:p>
      <w:pPr>
        <w:pStyle w:val="Heading2"/>
      </w:pPr>
      <w:r>
        <w:rPr>
          <w:b w:val="0"/>
          <w:i w:val="0"/>
        </w:rPr>
        <w:t>economic_design (effective-dated)</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83A5A"/>
            <w:tcMar>
              <w:top w:w="80" w:type="dxa"/>
              <w:start w:w="105" w:type="dxa"/>
              <w:bottom w:w="80" w:type="dxa"/>
              <w:end w:w="105" w:type="dxa"/>
            </w:tcMar>
            <w:vAlign w:val="center"/>
          </w:tcPr>
          <w:p>
            <w:pPr>
              <w:spacing w:after="0"/>
            </w:pPr>
            <w:r>
              <w:rPr>
                <w:b/>
                <w:color w:val="FFFFFF"/>
                <w:sz w:val="16"/>
              </w:rPr>
              <w:t>Field group</w:t>
            </w:r>
          </w:p>
        </w:tc>
        <w:tc>
          <w:tcPr>
            <w:tcW w:type="dxa" w:w="7704"/>
            <w:shd w:fill="183A5A"/>
            <w:tcMar>
              <w:top w:w="80" w:type="dxa"/>
              <w:start w:w="105" w:type="dxa"/>
              <w:bottom w:w="80" w:type="dxa"/>
              <w:end w:w="105" w:type="dxa"/>
            </w:tcMar>
            <w:vAlign w:val="center"/>
          </w:tcPr>
          <w:p>
            <w:pPr>
              <w:spacing w:after="0"/>
            </w:pPr>
            <w:r>
              <w:rPr>
                <w:b/>
                <w:color w:val="FFFFFF"/>
                <w:sz w:val="16"/>
              </w:rPr>
              <w:t>Fields</w:t>
            </w:r>
          </w:p>
        </w:tc>
      </w:tr>
      <w:tr>
        <w:tc>
          <w:tcPr>
            <w:tcW w:type="dxa" w:w="2232"/>
            <w:tcMar>
              <w:top w:w="80" w:type="dxa"/>
              <w:start w:w="105" w:type="dxa"/>
              <w:bottom w:w="80" w:type="dxa"/>
              <w:end w:w="105" w:type="dxa"/>
            </w:tcMar>
            <w:vAlign w:val="center"/>
          </w:tcPr>
          <w:p>
            <w:pPr>
              <w:spacing w:after="0" w:line="240" w:lineRule="auto"/>
            </w:pPr>
            <w:r>
              <w:rPr>
                <w:color w:val="17242E"/>
                <w:sz w:val="16"/>
              </w:rPr>
              <w:t>Keys/time</w:t>
            </w:r>
          </w:p>
        </w:tc>
        <w:tc>
          <w:tcPr>
            <w:tcW w:type="dxa" w:w="7704"/>
            <w:tcMar>
              <w:top w:w="80" w:type="dxa"/>
              <w:start w:w="105" w:type="dxa"/>
              <w:bottom w:w="80" w:type="dxa"/>
              <w:end w:w="105" w:type="dxa"/>
            </w:tcMar>
            <w:vAlign w:val="center"/>
          </w:tcPr>
          <w:p>
            <w:pPr>
              <w:spacing w:after="0" w:line="240" w:lineRule="auto"/>
            </w:pPr>
            <w:r>
              <w:rPr>
                <w:color w:val="17242E"/>
                <w:sz w:val="16"/>
              </w:rPr>
              <w:t>asset_id; design_version; valid_from; valid_to</w:t>
            </w:r>
          </w:p>
        </w:tc>
      </w:tr>
      <w:tr>
        <w:tc>
          <w:tcPr>
            <w:tcW w:type="dxa" w:w="2232"/>
            <w:tcMar>
              <w:top w:w="80" w:type="dxa"/>
              <w:start w:w="105" w:type="dxa"/>
              <w:bottom w:w="80" w:type="dxa"/>
              <w:end w:w="105" w:type="dxa"/>
            </w:tcMar>
            <w:vAlign w:val="center"/>
            <w:shd w:fill="F4F7F9"/>
          </w:tcPr>
          <w:p>
            <w:pPr>
              <w:spacing w:after="0" w:line="240" w:lineRule="auto"/>
            </w:pPr>
            <w:r>
              <w:rPr>
                <w:color w:val="17242E"/>
                <w:sz w:val="16"/>
              </w:rPr>
              <w:t>Value accrual binary</w:t>
            </w:r>
          </w:p>
        </w:tc>
        <w:tc>
          <w:tcPr>
            <w:tcW w:type="dxa" w:w="7704"/>
            <w:tcMar>
              <w:top w:w="80" w:type="dxa"/>
              <w:start w:w="105" w:type="dxa"/>
              <w:bottom w:w="80" w:type="dxa"/>
              <w:end w:w="105" w:type="dxa"/>
            </w:tcMar>
            <w:vAlign w:val="center"/>
            <w:shd w:fill="F4F7F9"/>
          </w:tcPr>
          <w:p>
            <w:pPr>
              <w:spacing w:after="0" w:line="240" w:lineRule="auto"/>
            </w:pPr>
            <w:r>
              <w:rPr>
                <w:color w:val="17242E"/>
                <w:sz w:val="16"/>
              </w:rPr>
              <w:t>va_monetary; va_gas; va_stake; va_burn; va_scarcity; va_collateral; va_gov; va_protocol; va_utility; va_incentive</w:t>
            </w:r>
          </w:p>
        </w:tc>
      </w:tr>
      <w:tr>
        <w:tc>
          <w:tcPr>
            <w:tcW w:type="dxa" w:w="2232"/>
            <w:tcMar>
              <w:top w:w="80" w:type="dxa"/>
              <w:start w:w="105" w:type="dxa"/>
              <w:bottom w:w="80" w:type="dxa"/>
              <w:end w:w="105" w:type="dxa"/>
            </w:tcMar>
            <w:vAlign w:val="center"/>
          </w:tcPr>
          <w:p>
            <w:pPr>
              <w:spacing w:after="0" w:line="240" w:lineRule="auto"/>
            </w:pPr>
            <w:r>
              <w:rPr>
                <w:color w:val="17242E"/>
                <w:sz w:val="16"/>
              </w:rPr>
              <w:t>Strength</w:t>
            </w:r>
          </w:p>
        </w:tc>
        <w:tc>
          <w:tcPr>
            <w:tcW w:type="dxa" w:w="7704"/>
            <w:tcMar>
              <w:top w:w="80" w:type="dxa"/>
              <w:start w:w="105" w:type="dxa"/>
              <w:bottom w:w="80" w:type="dxa"/>
              <w:end w:w="105" w:type="dxa"/>
            </w:tcMar>
            <w:vAlign w:val="center"/>
          </w:tcPr>
          <w:p>
            <w:pPr>
              <w:spacing w:after="0" w:line="240" w:lineRule="auto"/>
            </w:pPr>
            <w:r>
              <w:rPr>
                <w:color w:val="17242E"/>
                <w:sz w:val="16"/>
              </w:rPr>
              <w:t>corresponding va_*_strength 0/1/2; va_breadth_count; va_breadth_weighted</w:t>
            </w:r>
          </w:p>
        </w:tc>
      </w:tr>
      <w:tr>
        <w:tc>
          <w:tcPr>
            <w:tcW w:type="dxa" w:w="2232"/>
            <w:tcMar>
              <w:top w:w="80" w:type="dxa"/>
              <w:start w:w="105" w:type="dxa"/>
              <w:bottom w:w="80" w:type="dxa"/>
              <w:end w:w="105" w:type="dxa"/>
            </w:tcMar>
            <w:vAlign w:val="center"/>
            <w:shd w:fill="F4F7F9"/>
          </w:tcPr>
          <w:p>
            <w:pPr>
              <w:spacing w:after="0" w:line="240" w:lineRule="auto"/>
            </w:pPr>
            <w:r>
              <w:rPr>
                <w:color w:val="17242E"/>
                <w:sz w:val="16"/>
              </w:rPr>
              <w:t>Claims</w:t>
            </w:r>
          </w:p>
        </w:tc>
        <w:tc>
          <w:tcPr>
            <w:tcW w:type="dxa" w:w="7704"/>
            <w:tcMar>
              <w:top w:w="80" w:type="dxa"/>
              <w:start w:w="105" w:type="dxa"/>
              <w:bottom w:w="80" w:type="dxa"/>
              <w:end w:w="105" w:type="dxa"/>
            </w:tcMar>
            <w:vAlign w:val="center"/>
            <w:shd w:fill="F4F7F9"/>
          </w:tcPr>
          <w:p>
            <w:pPr>
              <w:spacing w:after="0" w:line="240" w:lineRule="auto"/>
            </w:pPr>
            <w:r>
              <w:rPr>
                <w:color w:val="17242E"/>
                <w:sz w:val="16"/>
              </w:rPr>
              <w:t>claim_redemption; claim_collateral; claim_cashflow; claim_governance; claim_equity; claim_debt; claim_none</w:t>
            </w:r>
          </w:p>
        </w:tc>
      </w:tr>
      <w:tr>
        <w:tc>
          <w:tcPr>
            <w:tcW w:type="dxa" w:w="2232"/>
            <w:tcMar>
              <w:top w:w="80" w:type="dxa"/>
              <w:start w:w="105" w:type="dxa"/>
              <w:bottom w:w="80" w:type="dxa"/>
              <w:end w:w="105" w:type="dxa"/>
            </w:tcMar>
            <w:vAlign w:val="center"/>
          </w:tcPr>
          <w:p>
            <w:pPr>
              <w:spacing w:after="0" w:line="240" w:lineRule="auto"/>
            </w:pPr>
            <w:r>
              <w:rPr>
                <w:color w:val="17242E"/>
                <w:sz w:val="16"/>
              </w:rPr>
              <w:t>Supply</w:t>
            </w:r>
          </w:p>
        </w:tc>
        <w:tc>
          <w:tcPr>
            <w:tcW w:type="dxa" w:w="7704"/>
            <w:tcMar>
              <w:top w:w="80" w:type="dxa"/>
              <w:start w:w="105" w:type="dxa"/>
              <w:bottom w:w="80" w:type="dxa"/>
              <w:end w:w="105" w:type="dxa"/>
            </w:tcMar>
            <w:vAlign w:val="center"/>
          </w:tcPr>
          <w:p>
            <w:pPr>
              <w:spacing w:after="0" w:line="240" w:lineRule="auto"/>
            </w:pPr>
            <w:r>
              <w:rPr>
                <w:color w:val="17242E"/>
                <w:sz w:val="16"/>
              </w:rPr>
              <w:t>supply_model; max_supply; cap_credibility; issuance_rule; burn_rule; unlock_rule</w:t>
            </w:r>
          </w:p>
        </w:tc>
      </w:tr>
      <w:tr>
        <w:tc>
          <w:tcPr>
            <w:tcW w:type="dxa" w:w="2232"/>
            <w:tcMar>
              <w:top w:w="80" w:type="dxa"/>
              <w:start w:w="105" w:type="dxa"/>
              <w:bottom w:w="80" w:type="dxa"/>
              <w:end w:w="105" w:type="dxa"/>
            </w:tcMar>
            <w:vAlign w:val="center"/>
            <w:shd w:fill="F4F7F9"/>
          </w:tcPr>
          <w:p>
            <w:pPr>
              <w:spacing w:after="0" w:line="240" w:lineRule="auto"/>
            </w:pPr>
            <w:r>
              <w:rPr>
                <w:color w:val="17242E"/>
                <w:sz w:val="16"/>
              </w:rPr>
              <w:t>Control</w:t>
            </w:r>
          </w:p>
        </w:tc>
        <w:tc>
          <w:tcPr>
            <w:tcW w:type="dxa" w:w="7704"/>
            <w:tcMar>
              <w:top w:w="80" w:type="dxa"/>
              <w:start w:w="105" w:type="dxa"/>
              <w:bottom w:w="80" w:type="dxa"/>
              <w:end w:w="105" w:type="dxa"/>
            </w:tcMar>
            <w:vAlign w:val="center"/>
            <w:shd w:fill="F4F7F9"/>
          </w:tcPr>
          <w:p>
            <w:pPr>
              <w:spacing w:after="0" w:line="240" w:lineRule="auto"/>
            </w:pPr>
            <w:r>
              <w:rPr>
                <w:color w:val="17242E"/>
                <w:sz w:val="16"/>
              </w:rPr>
              <w:t>upgrade_authority; admin_key; governance_activation; concentration metric</w:t>
            </w:r>
          </w:p>
        </w:tc>
      </w:tr>
      <w:tr>
        <w:tc>
          <w:tcPr>
            <w:tcW w:type="dxa" w:w="2232"/>
            <w:tcMar>
              <w:top w:w="80" w:type="dxa"/>
              <w:start w:w="105" w:type="dxa"/>
              <w:bottom w:w="80" w:type="dxa"/>
              <w:end w:w="105" w:type="dxa"/>
            </w:tcMar>
            <w:vAlign w:val="center"/>
          </w:tcPr>
          <w:p>
            <w:pPr>
              <w:spacing w:after="0" w:line="240" w:lineRule="auto"/>
            </w:pPr>
            <w:r>
              <w:rPr>
                <w:color w:val="17242E"/>
                <w:sz w:val="16"/>
              </w:rPr>
              <w:t>Evidence</w:t>
            </w:r>
          </w:p>
        </w:tc>
        <w:tc>
          <w:tcPr>
            <w:tcW w:type="dxa" w:w="7704"/>
            <w:tcMar>
              <w:top w:w="80" w:type="dxa"/>
              <w:start w:w="105" w:type="dxa"/>
              <w:bottom w:w="80" w:type="dxa"/>
              <w:end w:w="105" w:type="dxa"/>
            </w:tcMar>
            <w:vAlign w:val="center"/>
          </w:tcPr>
          <w:p>
            <w:pPr>
              <w:spacing w:after="0" w:line="240" w:lineRule="auto"/>
            </w:pPr>
            <w:r>
              <w:rPr>
                <w:color w:val="17242E"/>
                <w:sz w:val="16"/>
              </w:rPr>
              <w:t>evidence_url; evidence_date; coder; reviewer; confidence; rationale; created_at</w:t>
            </w:r>
          </w:p>
        </w:tc>
      </w:tr>
    </w:tbl>
    <w:p>
      <w:pPr>
        <w:spacing w:after="20"/>
      </w:pPr>
    </w:p>
    <w:p>
      <w:pPr>
        <w:pStyle w:val="Heading2"/>
      </w:pPr>
      <w:r>
        <w:rPr>
          <w:b w:val="0"/>
          <w:i w:val="0"/>
        </w:rPr>
        <w:t>stablecoin_design (effective-dated)</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83A5A"/>
            <w:tcMar>
              <w:top w:w="80" w:type="dxa"/>
              <w:start w:w="105" w:type="dxa"/>
              <w:bottom w:w="80" w:type="dxa"/>
              <w:end w:w="105" w:type="dxa"/>
            </w:tcMar>
            <w:vAlign w:val="center"/>
          </w:tcPr>
          <w:p>
            <w:pPr>
              <w:spacing w:after="0"/>
            </w:pPr>
            <w:r>
              <w:rPr>
                <w:b/>
                <w:color w:val="FFFFFF"/>
                <w:sz w:val="15"/>
              </w:rPr>
              <w:t>Field group</w:t>
            </w:r>
          </w:p>
        </w:tc>
        <w:tc>
          <w:tcPr>
            <w:tcW w:type="dxa" w:w="7704"/>
            <w:shd w:fill="183A5A"/>
            <w:tcMar>
              <w:top w:w="80" w:type="dxa"/>
              <w:start w:w="105" w:type="dxa"/>
              <w:bottom w:w="80" w:type="dxa"/>
              <w:end w:w="105" w:type="dxa"/>
            </w:tcMar>
            <w:vAlign w:val="center"/>
          </w:tcPr>
          <w:p>
            <w:pPr>
              <w:spacing w:after="0"/>
            </w:pPr>
            <w:r>
              <w:rPr>
                <w:b/>
                <w:color w:val="FFFFFF"/>
                <w:sz w:val="15"/>
              </w:rPr>
              <w:t>Fields</w:t>
            </w:r>
          </w:p>
        </w:tc>
      </w:tr>
      <w:tr>
        <w:tc>
          <w:tcPr>
            <w:tcW w:type="dxa" w:w="2232"/>
            <w:tcMar>
              <w:top w:w="80" w:type="dxa"/>
              <w:start w:w="105" w:type="dxa"/>
              <w:bottom w:w="80" w:type="dxa"/>
              <w:end w:w="105" w:type="dxa"/>
            </w:tcMar>
            <w:vAlign w:val="center"/>
          </w:tcPr>
          <w:p>
            <w:pPr>
              <w:spacing w:after="0" w:line="240" w:lineRule="auto"/>
            </w:pPr>
            <w:r>
              <w:rPr>
                <w:color w:val="17242E"/>
                <w:sz w:val="15"/>
              </w:rPr>
              <w:t>Keys/time</w:t>
            </w:r>
          </w:p>
        </w:tc>
        <w:tc>
          <w:tcPr>
            <w:tcW w:type="dxa" w:w="7704"/>
            <w:tcMar>
              <w:top w:w="80" w:type="dxa"/>
              <w:start w:w="105" w:type="dxa"/>
              <w:bottom w:w="80" w:type="dxa"/>
              <w:end w:w="105" w:type="dxa"/>
            </w:tcMar>
            <w:vAlign w:val="center"/>
          </w:tcPr>
          <w:p>
            <w:pPr>
              <w:spacing w:after="0" w:line="240" w:lineRule="auto"/>
            </w:pPr>
            <w:r>
              <w:rPr>
                <w:color w:val="17242E"/>
                <w:sz w:val="15"/>
              </w:rPr>
              <w:t>asset_id; design_version; valid_from; valid_to</w:t>
            </w:r>
          </w:p>
        </w:tc>
      </w:tr>
      <w:tr>
        <w:tc>
          <w:tcPr>
            <w:tcW w:type="dxa" w:w="2232"/>
            <w:tcMar>
              <w:top w:w="80" w:type="dxa"/>
              <w:start w:w="105" w:type="dxa"/>
              <w:bottom w:w="80" w:type="dxa"/>
              <w:end w:w="105" w:type="dxa"/>
            </w:tcMar>
            <w:vAlign w:val="center"/>
            <w:shd w:fill="F4F7F9"/>
          </w:tcPr>
          <w:p>
            <w:pPr>
              <w:spacing w:after="0" w:line="240" w:lineRule="auto"/>
            </w:pPr>
            <w:r>
              <w:rPr>
                <w:color w:val="17242E"/>
                <w:sz w:val="15"/>
              </w:rPr>
              <w:t>Reference</w:t>
            </w:r>
          </w:p>
        </w:tc>
        <w:tc>
          <w:tcPr>
            <w:tcW w:type="dxa" w:w="7704"/>
            <w:tcMar>
              <w:top w:w="80" w:type="dxa"/>
              <w:start w:w="105" w:type="dxa"/>
              <w:bottom w:w="80" w:type="dxa"/>
              <w:end w:w="105" w:type="dxa"/>
            </w:tcMar>
            <w:vAlign w:val="center"/>
            <w:shd w:fill="F4F7F9"/>
          </w:tcPr>
          <w:p>
            <w:pPr>
              <w:spacing w:after="0" w:line="240" w:lineRule="auto"/>
            </w:pPr>
            <w:r>
              <w:rPr>
                <w:color w:val="17242E"/>
                <w:sz w:val="15"/>
              </w:rPr>
              <w:t>peg_asset; peg_value; peg_currency; target_type</w:t>
            </w:r>
          </w:p>
        </w:tc>
      </w:tr>
      <w:tr>
        <w:tc>
          <w:tcPr>
            <w:tcW w:type="dxa" w:w="2232"/>
            <w:tcMar>
              <w:top w:w="80" w:type="dxa"/>
              <w:start w:w="105" w:type="dxa"/>
              <w:bottom w:w="80" w:type="dxa"/>
              <w:end w:w="105" w:type="dxa"/>
            </w:tcMar>
            <w:vAlign w:val="center"/>
          </w:tcPr>
          <w:p>
            <w:pPr>
              <w:spacing w:after="0" w:line="240" w:lineRule="auto"/>
            </w:pPr>
            <w:r>
              <w:rPr>
                <w:color w:val="17242E"/>
                <w:sz w:val="15"/>
              </w:rPr>
              <w:t>Backing</w:t>
            </w:r>
          </w:p>
        </w:tc>
        <w:tc>
          <w:tcPr>
            <w:tcW w:type="dxa" w:w="7704"/>
            <w:tcMar>
              <w:top w:w="80" w:type="dxa"/>
              <w:start w:w="105" w:type="dxa"/>
              <w:bottom w:w="80" w:type="dxa"/>
              <w:end w:w="105" w:type="dxa"/>
            </w:tcMar>
            <w:vAlign w:val="center"/>
          </w:tcPr>
          <w:p>
            <w:pPr>
              <w:spacing w:after="0" w:line="240" w:lineRule="auto"/>
            </w:pPr>
            <w:r>
              <w:rPr>
                <w:color w:val="17242E"/>
                <w:sz w:val="15"/>
              </w:rPr>
              <w:t>backing_class S1–S5; reserve_type; reserve_asset_breakdown; collateralization_target; hedge_type</w:t>
            </w:r>
          </w:p>
        </w:tc>
      </w:tr>
      <w:tr>
        <w:tc>
          <w:tcPr>
            <w:tcW w:type="dxa" w:w="2232"/>
            <w:tcMar>
              <w:top w:w="80" w:type="dxa"/>
              <w:start w:w="105" w:type="dxa"/>
              <w:bottom w:w="80" w:type="dxa"/>
              <w:end w:w="105" w:type="dxa"/>
            </w:tcMar>
            <w:vAlign w:val="center"/>
            <w:shd w:fill="F4F7F9"/>
          </w:tcPr>
          <w:p>
            <w:pPr>
              <w:spacing w:after="0" w:line="240" w:lineRule="auto"/>
            </w:pPr>
            <w:r>
              <w:rPr>
                <w:color w:val="17242E"/>
                <w:sz w:val="15"/>
              </w:rPr>
              <w:t>Issuer/control</w:t>
            </w:r>
          </w:p>
        </w:tc>
        <w:tc>
          <w:tcPr>
            <w:tcW w:type="dxa" w:w="7704"/>
            <w:tcMar>
              <w:top w:w="80" w:type="dxa"/>
              <w:start w:w="105" w:type="dxa"/>
              <w:bottom w:w="80" w:type="dxa"/>
              <w:end w:w="105" w:type="dxa"/>
            </w:tcMar>
            <w:vAlign w:val="center"/>
            <w:shd w:fill="F4F7F9"/>
          </w:tcPr>
          <w:p>
            <w:pPr>
              <w:spacing w:after="0" w:line="240" w:lineRule="auto"/>
            </w:pPr>
            <w:r>
              <w:rPr>
                <w:color w:val="17242E"/>
                <w:sz w:val="15"/>
              </w:rPr>
              <w:t>issuer; issuer_jurisdiction; centralized_issuer; protocol_governance</w:t>
            </w:r>
          </w:p>
        </w:tc>
      </w:tr>
      <w:tr>
        <w:tc>
          <w:tcPr>
            <w:tcW w:type="dxa" w:w="2232"/>
            <w:tcMar>
              <w:top w:w="80" w:type="dxa"/>
              <w:start w:w="105" w:type="dxa"/>
              <w:bottom w:w="80" w:type="dxa"/>
              <w:end w:w="105" w:type="dxa"/>
            </w:tcMar>
            <w:vAlign w:val="center"/>
          </w:tcPr>
          <w:p>
            <w:pPr>
              <w:spacing w:after="0" w:line="240" w:lineRule="auto"/>
            </w:pPr>
            <w:r>
              <w:rPr>
                <w:color w:val="17242E"/>
                <w:sz w:val="15"/>
              </w:rPr>
              <w:t>Redemption</w:t>
            </w:r>
          </w:p>
        </w:tc>
        <w:tc>
          <w:tcPr>
            <w:tcW w:type="dxa" w:w="7704"/>
            <w:tcMar>
              <w:top w:w="80" w:type="dxa"/>
              <w:start w:w="105" w:type="dxa"/>
              <w:bottom w:w="80" w:type="dxa"/>
              <w:end w:w="105" w:type="dxa"/>
            </w:tcMar>
            <w:vAlign w:val="center"/>
          </w:tcPr>
          <w:p>
            <w:pPr>
              <w:spacing w:after="0" w:line="240" w:lineRule="auto"/>
            </w:pPr>
            <w:r>
              <w:rPr>
                <w:color w:val="17242E"/>
                <w:sz w:val="15"/>
              </w:rPr>
              <w:t>direct_redemption; eligibility; KYC; min_amount; fee_fixed; fee_bps; settlement_target; hours; suspension/gating; in_kind_right</w:t>
            </w:r>
          </w:p>
        </w:tc>
      </w:tr>
      <w:tr>
        <w:tc>
          <w:tcPr>
            <w:tcW w:type="dxa" w:w="2232"/>
            <w:tcMar>
              <w:top w:w="80" w:type="dxa"/>
              <w:start w:w="105" w:type="dxa"/>
              <w:bottom w:w="80" w:type="dxa"/>
              <w:end w:w="105" w:type="dxa"/>
            </w:tcMar>
            <w:vAlign w:val="center"/>
            <w:shd w:fill="F4F7F9"/>
          </w:tcPr>
          <w:p>
            <w:pPr>
              <w:spacing w:after="0" w:line="240" w:lineRule="auto"/>
            </w:pPr>
            <w:r>
              <w:rPr>
                <w:color w:val="17242E"/>
                <w:sz w:val="15"/>
              </w:rPr>
              <w:t>Yield</w:t>
            </w:r>
          </w:p>
        </w:tc>
        <w:tc>
          <w:tcPr>
            <w:tcW w:type="dxa" w:w="7704"/>
            <w:tcMar>
              <w:top w:w="80" w:type="dxa"/>
              <w:start w:w="105" w:type="dxa"/>
              <w:bottom w:w="80" w:type="dxa"/>
              <w:end w:w="105" w:type="dxa"/>
            </w:tcMar>
            <w:vAlign w:val="center"/>
            <w:shd w:fill="F4F7F9"/>
          </w:tcPr>
          <w:p>
            <w:pPr>
              <w:spacing w:after="0" w:line="240" w:lineRule="auto"/>
            </w:pPr>
            <w:r>
              <w:rPr>
                <w:color w:val="17242E"/>
                <w:sz w:val="15"/>
              </w:rPr>
              <w:t>holder_yield; wrapper_required; yield_source; yield_variable</w:t>
            </w:r>
          </w:p>
        </w:tc>
      </w:tr>
      <w:tr>
        <w:tc>
          <w:tcPr>
            <w:tcW w:type="dxa" w:w="2232"/>
            <w:tcMar>
              <w:top w:w="80" w:type="dxa"/>
              <w:start w:w="105" w:type="dxa"/>
              <w:bottom w:w="80" w:type="dxa"/>
              <w:end w:w="105" w:type="dxa"/>
            </w:tcMar>
            <w:vAlign w:val="center"/>
          </w:tcPr>
          <w:p>
            <w:pPr>
              <w:spacing w:after="0" w:line="240" w:lineRule="auto"/>
            </w:pPr>
            <w:r>
              <w:rPr>
                <w:color w:val="17242E"/>
                <w:sz w:val="15"/>
              </w:rPr>
              <w:t>Transparency</w:t>
            </w:r>
          </w:p>
        </w:tc>
        <w:tc>
          <w:tcPr>
            <w:tcW w:type="dxa" w:w="7704"/>
            <w:tcMar>
              <w:top w:w="80" w:type="dxa"/>
              <w:start w:w="105" w:type="dxa"/>
              <w:bottom w:w="80" w:type="dxa"/>
              <w:end w:w="105" w:type="dxa"/>
            </w:tcMar>
            <w:vAlign w:val="center"/>
          </w:tcPr>
          <w:p>
            <w:pPr>
              <w:spacing w:after="0" w:line="240" w:lineRule="auto"/>
            </w:pPr>
            <w:r>
              <w:rPr>
                <w:color w:val="17242E"/>
                <w:sz w:val="15"/>
              </w:rPr>
              <w:t>attestation/audit; provider; frequency; lag_days; asset granularity; liability coverage</w:t>
            </w:r>
          </w:p>
        </w:tc>
      </w:tr>
      <w:tr>
        <w:tc>
          <w:tcPr>
            <w:tcW w:type="dxa" w:w="2232"/>
            <w:tcMar>
              <w:top w:w="80" w:type="dxa"/>
              <w:start w:w="105" w:type="dxa"/>
              <w:bottom w:w="80" w:type="dxa"/>
              <w:end w:w="105" w:type="dxa"/>
            </w:tcMar>
            <w:vAlign w:val="center"/>
            <w:shd w:fill="F4F7F9"/>
          </w:tcPr>
          <w:p>
            <w:pPr>
              <w:spacing w:after="0" w:line="240" w:lineRule="auto"/>
            </w:pPr>
            <w:r>
              <w:rPr>
                <w:color w:val="17242E"/>
                <w:sz w:val="15"/>
              </w:rPr>
              <w:t>Risk scores</w:t>
            </w:r>
          </w:p>
        </w:tc>
        <w:tc>
          <w:tcPr>
            <w:tcW w:type="dxa" w:w="7704"/>
            <w:tcMar>
              <w:top w:w="80" w:type="dxa"/>
              <w:start w:w="105" w:type="dxa"/>
              <w:bottom w:w="80" w:type="dxa"/>
              <w:end w:w="105" w:type="dxa"/>
            </w:tcMar>
            <w:vAlign w:val="center"/>
            <w:shd w:fill="F4F7F9"/>
          </w:tcPr>
          <w:p>
            <w:pPr>
              <w:spacing w:after="0" w:line="240" w:lineRule="auto"/>
            </w:pPr>
            <w:r>
              <w:rPr>
                <w:color w:val="17242E"/>
                <w:sz w:val="15"/>
              </w:rPr>
              <w:t>reserve_quality_score; redemption_friction_score; transparency_score; backing_concentration; counterparty_concentration</w:t>
            </w:r>
          </w:p>
        </w:tc>
      </w:tr>
      <w:tr>
        <w:tc>
          <w:tcPr>
            <w:tcW w:type="dxa" w:w="2232"/>
            <w:tcMar>
              <w:top w:w="80" w:type="dxa"/>
              <w:start w:w="105" w:type="dxa"/>
              <w:bottom w:w="80" w:type="dxa"/>
              <w:end w:w="105" w:type="dxa"/>
            </w:tcMar>
            <w:vAlign w:val="center"/>
          </w:tcPr>
          <w:p>
            <w:pPr>
              <w:spacing w:after="0" w:line="240" w:lineRule="auto"/>
            </w:pPr>
            <w:r>
              <w:rPr>
                <w:color w:val="17242E"/>
                <w:sz w:val="15"/>
              </w:rPr>
              <w:t>Evidence</w:t>
            </w:r>
          </w:p>
        </w:tc>
        <w:tc>
          <w:tcPr>
            <w:tcW w:type="dxa" w:w="7704"/>
            <w:tcMar>
              <w:top w:w="80" w:type="dxa"/>
              <w:start w:w="105" w:type="dxa"/>
              <w:bottom w:w="80" w:type="dxa"/>
              <w:end w:w="105" w:type="dxa"/>
            </w:tcMar>
            <w:vAlign w:val="center"/>
          </w:tcPr>
          <w:p>
            <w:pPr>
              <w:spacing w:after="0" w:line="240" w:lineRule="auto"/>
            </w:pPr>
            <w:r>
              <w:rPr>
                <w:color w:val="17242E"/>
                <w:sz w:val="15"/>
              </w:rPr>
              <w:t>terms_url; reserve_report_url; evidence_date; coder; reviewer; confidence</w:t>
            </w:r>
          </w:p>
        </w:tc>
      </w:tr>
    </w:tbl>
    <w:p>
      <w:pPr>
        <w:spacing w:after="20"/>
      </w:pPr>
    </w:p>
    <w:p>
      <w:pPr>
        <w:pStyle w:val="Heading2"/>
      </w:pPr>
      <w:r>
        <w:rPr>
          <w:b w:val="0"/>
          <w:i w:val="0"/>
        </w:rPr>
        <w:t>Required companion tables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592"/>
            <w:shd w:fill="183A5A"/>
            <w:tcMar>
              <w:top w:w="80" w:type="dxa"/>
              <w:start w:w="105" w:type="dxa"/>
              <w:bottom w:w="80" w:type="dxa"/>
              <w:end w:w="105" w:type="dxa"/>
            </w:tcMar>
            <w:vAlign w:val="center"/>
          </w:tcPr>
          <w:p>
            <w:pPr>
              <w:spacing w:after="0"/>
            </w:pPr>
            <w:r>
              <w:rPr>
                <w:b/>
                <w:color w:val="FFFFFF"/>
                <w:sz w:val="16"/>
              </w:rPr>
              <w:t>Table</w:t>
            </w:r>
          </w:p>
        </w:tc>
        <w:tc>
          <w:tcPr>
            <w:tcW w:type="dxa" w:w="7344"/>
            <w:shd w:fill="183A5A"/>
            <w:tcMar>
              <w:top w:w="80" w:type="dxa"/>
              <w:start w:w="105" w:type="dxa"/>
              <w:bottom w:w="80" w:type="dxa"/>
              <w:end w:w="105" w:type="dxa"/>
            </w:tcMar>
            <w:vAlign w:val="center"/>
          </w:tcPr>
          <w:p>
            <w:pPr>
              <w:spacing w:after="0"/>
            </w:pPr>
            <w:r>
              <w:rPr>
                <w:b/>
                <w:color w:val="FFFFFF"/>
                <w:sz w:val="16"/>
              </w:rPr>
              <w:t>Purpose</w:t>
            </w:r>
          </w:p>
        </w:tc>
      </w:tr>
      <w:tr>
        <w:tc>
          <w:tcPr>
            <w:tcW w:type="dxa" w:w="2592"/>
            <w:tcMar>
              <w:top w:w="80" w:type="dxa"/>
              <w:start w:w="105" w:type="dxa"/>
              <w:bottom w:w="80" w:type="dxa"/>
              <w:end w:w="105" w:type="dxa"/>
            </w:tcMar>
            <w:vAlign w:val="center"/>
          </w:tcPr>
          <w:p>
            <w:pPr>
              <w:spacing w:after="0" w:line="240" w:lineRule="auto"/>
            </w:pPr>
            <w:r>
              <w:rPr>
                <w:color w:val="17242E"/>
                <w:sz w:val="16"/>
              </w:rPr>
              <w:t>source_registry</w:t>
            </w:r>
          </w:p>
        </w:tc>
        <w:tc>
          <w:tcPr>
            <w:tcW w:type="dxa" w:w="7344"/>
            <w:tcMar>
              <w:top w:w="80" w:type="dxa"/>
              <w:start w:w="105" w:type="dxa"/>
              <w:bottom w:w="80" w:type="dxa"/>
              <w:end w:w="105" w:type="dxa"/>
            </w:tcMar>
            <w:vAlign w:val="center"/>
          </w:tcPr>
          <w:p>
            <w:pPr>
              <w:spacing w:after="0" w:line="240" w:lineRule="auto"/>
            </w:pPr>
            <w:r>
              <w:rPr>
                <w:color w:val="17242E"/>
                <w:sz w:val="16"/>
              </w:rPr>
              <w:t>URL/provider, license, frequency, access method, retrieved_at, checksum</w:t>
            </w:r>
          </w:p>
        </w:tc>
      </w:tr>
      <w:tr>
        <w:tc>
          <w:tcPr>
            <w:tcW w:type="dxa" w:w="2592"/>
            <w:tcMar>
              <w:top w:w="80" w:type="dxa"/>
              <w:start w:w="105" w:type="dxa"/>
              <w:bottom w:w="80" w:type="dxa"/>
              <w:end w:w="105" w:type="dxa"/>
            </w:tcMar>
            <w:vAlign w:val="center"/>
            <w:shd w:fill="F4F7F9"/>
          </w:tcPr>
          <w:p>
            <w:pPr>
              <w:spacing w:after="0" w:line="240" w:lineRule="auto"/>
            </w:pPr>
            <w:r>
              <w:rPr>
                <w:color w:val="17242E"/>
                <w:sz w:val="16"/>
              </w:rPr>
              <w:t>asset_alias</w:t>
            </w:r>
          </w:p>
        </w:tc>
        <w:tc>
          <w:tcPr>
            <w:tcW w:type="dxa" w:w="7344"/>
            <w:tcMar>
              <w:top w:w="80" w:type="dxa"/>
              <w:start w:w="105" w:type="dxa"/>
              <w:bottom w:w="80" w:type="dxa"/>
              <w:end w:w="105" w:type="dxa"/>
            </w:tcMar>
            <w:vAlign w:val="center"/>
            <w:shd w:fill="F4F7F9"/>
          </w:tcPr>
          <w:p>
            <w:pPr>
              <w:spacing w:after="0" w:line="240" w:lineRule="auto"/>
            </w:pPr>
            <w:r>
              <w:rPr>
                <w:color w:val="17242E"/>
                <w:sz w:val="16"/>
              </w:rPr>
              <w:t>symbol/name/contract migrations by date</w:t>
            </w:r>
          </w:p>
        </w:tc>
      </w:tr>
      <w:tr>
        <w:tc>
          <w:tcPr>
            <w:tcW w:type="dxa" w:w="2592"/>
            <w:tcMar>
              <w:top w:w="80" w:type="dxa"/>
              <w:start w:w="105" w:type="dxa"/>
              <w:bottom w:w="80" w:type="dxa"/>
              <w:end w:w="105" w:type="dxa"/>
            </w:tcMar>
            <w:vAlign w:val="center"/>
          </w:tcPr>
          <w:p>
            <w:pPr>
              <w:spacing w:after="0" w:line="240" w:lineRule="auto"/>
            </w:pPr>
            <w:r>
              <w:rPr>
                <w:color w:val="17242E"/>
                <w:sz w:val="16"/>
              </w:rPr>
              <w:t>market_observation</w:t>
            </w:r>
          </w:p>
        </w:tc>
        <w:tc>
          <w:tcPr>
            <w:tcW w:type="dxa" w:w="7344"/>
            <w:tcMar>
              <w:top w:w="80" w:type="dxa"/>
              <w:start w:w="105" w:type="dxa"/>
              <w:bottom w:w="80" w:type="dxa"/>
              <w:end w:w="105" w:type="dxa"/>
            </w:tcMar>
            <w:vAlign w:val="center"/>
          </w:tcPr>
          <w:p>
            <w:pPr>
              <w:spacing w:after="0" w:line="240" w:lineRule="auto"/>
            </w:pPr>
            <w:r>
              <w:rPr>
                <w:color w:val="17242E"/>
                <w:sz w:val="16"/>
              </w:rPr>
              <w:t>price, market cap, volume, venue, quote, timestamp, vendor</w:t>
            </w:r>
          </w:p>
        </w:tc>
      </w:tr>
      <w:tr>
        <w:tc>
          <w:tcPr>
            <w:tcW w:type="dxa" w:w="2592"/>
            <w:tcMar>
              <w:top w:w="80" w:type="dxa"/>
              <w:start w:w="105" w:type="dxa"/>
              <w:bottom w:w="80" w:type="dxa"/>
              <w:end w:w="105" w:type="dxa"/>
            </w:tcMar>
            <w:vAlign w:val="center"/>
            <w:shd w:fill="F4F7F9"/>
          </w:tcPr>
          <w:p>
            <w:pPr>
              <w:spacing w:after="0" w:line="240" w:lineRule="auto"/>
            </w:pPr>
            <w:r>
              <w:rPr>
                <w:color w:val="17242E"/>
                <w:sz w:val="16"/>
              </w:rPr>
              <w:t>network_observation</w:t>
            </w:r>
          </w:p>
        </w:tc>
        <w:tc>
          <w:tcPr>
            <w:tcW w:type="dxa" w:w="7344"/>
            <w:tcMar>
              <w:top w:w="80" w:type="dxa"/>
              <w:start w:w="105" w:type="dxa"/>
              <w:bottom w:w="80" w:type="dxa"/>
              <w:end w:w="105" w:type="dxa"/>
            </w:tcMar>
            <w:vAlign w:val="center"/>
            <w:shd w:fill="F4F7F9"/>
          </w:tcPr>
          <w:p>
            <w:pPr>
              <w:spacing w:after="0" w:line="240" w:lineRule="auto"/>
            </w:pPr>
            <w:r>
              <w:rPr>
                <w:color w:val="17242E"/>
                <w:sz w:val="16"/>
              </w:rPr>
              <w:t>on-chain usage/security/supply metrics</w:t>
            </w:r>
          </w:p>
        </w:tc>
      </w:tr>
      <w:tr>
        <w:tc>
          <w:tcPr>
            <w:tcW w:type="dxa" w:w="2592"/>
            <w:tcMar>
              <w:top w:w="80" w:type="dxa"/>
              <w:start w:w="105" w:type="dxa"/>
              <w:bottom w:w="80" w:type="dxa"/>
              <w:end w:w="105" w:type="dxa"/>
            </w:tcMar>
            <w:vAlign w:val="center"/>
          </w:tcPr>
          <w:p>
            <w:pPr>
              <w:spacing w:after="0" w:line="240" w:lineRule="auto"/>
            </w:pPr>
            <w:r>
              <w:rPr>
                <w:color w:val="17242E"/>
                <w:sz w:val="16"/>
              </w:rPr>
              <w:t>stablecoin_reserve_snapshot</w:t>
            </w:r>
          </w:p>
        </w:tc>
        <w:tc>
          <w:tcPr>
            <w:tcW w:type="dxa" w:w="7344"/>
            <w:tcMar>
              <w:top w:w="80" w:type="dxa"/>
              <w:start w:w="105" w:type="dxa"/>
              <w:bottom w:w="80" w:type="dxa"/>
              <w:end w:w="105" w:type="dxa"/>
            </w:tcMar>
            <w:vAlign w:val="center"/>
          </w:tcPr>
          <w:p>
            <w:pPr>
              <w:spacing w:after="0" w:line="240" w:lineRule="auto"/>
            </w:pPr>
            <w:r>
              <w:rPr>
                <w:color w:val="17242E"/>
                <w:sz w:val="16"/>
              </w:rPr>
              <w:t>reported reserve weights and attributes by report date</w:t>
            </w:r>
          </w:p>
        </w:tc>
      </w:tr>
      <w:tr>
        <w:tc>
          <w:tcPr>
            <w:tcW w:type="dxa" w:w="2592"/>
            <w:tcMar>
              <w:top w:w="80" w:type="dxa"/>
              <w:start w:w="105" w:type="dxa"/>
              <w:bottom w:w="80" w:type="dxa"/>
              <w:end w:w="105" w:type="dxa"/>
            </w:tcMar>
            <w:vAlign w:val="center"/>
            <w:shd w:fill="F4F7F9"/>
          </w:tcPr>
          <w:p>
            <w:pPr>
              <w:spacing w:after="0" w:line="240" w:lineRule="auto"/>
            </w:pPr>
            <w:r>
              <w:rPr>
                <w:color w:val="17242E"/>
                <w:sz w:val="16"/>
              </w:rPr>
              <w:t>event_registry</w:t>
            </w:r>
          </w:p>
        </w:tc>
        <w:tc>
          <w:tcPr>
            <w:tcW w:type="dxa" w:w="7344"/>
            <w:tcMar>
              <w:top w:w="80" w:type="dxa"/>
              <w:start w:w="105" w:type="dxa"/>
              <w:bottom w:w="80" w:type="dxa"/>
              <w:end w:w="105" w:type="dxa"/>
            </w:tcMar>
            <w:vAlign w:val="center"/>
            <w:shd w:fill="F4F7F9"/>
          </w:tcPr>
          <w:p>
            <w:pPr>
              <w:spacing w:after="0" w:line="240" w:lineRule="auto"/>
            </w:pPr>
            <w:r>
              <w:rPr>
                <w:color w:val="17242E"/>
                <w:sz w:val="16"/>
              </w:rPr>
              <w:t>depegs, hacks, freezes, bank/custodian events, upgrades, governance actions</w:t>
            </w:r>
          </w:p>
        </w:tc>
      </w:tr>
      <w:tr>
        <w:tc>
          <w:tcPr>
            <w:tcW w:type="dxa" w:w="2592"/>
            <w:tcMar>
              <w:top w:w="80" w:type="dxa"/>
              <w:start w:w="105" w:type="dxa"/>
              <w:bottom w:w="80" w:type="dxa"/>
              <w:end w:w="105" w:type="dxa"/>
            </w:tcMar>
            <w:vAlign w:val="center"/>
          </w:tcPr>
          <w:p>
            <w:pPr>
              <w:spacing w:after="0" w:line="240" w:lineRule="auto"/>
            </w:pPr>
            <w:r>
              <w:rPr>
                <w:color w:val="17242E"/>
                <w:sz w:val="16"/>
              </w:rPr>
              <w:t>classification_log</w:t>
            </w:r>
          </w:p>
        </w:tc>
        <w:tc>
          <w:tcPr>
            <w:tcW w:type="dxa" w:w="7344"/>
            <w:tcMar>
              <w:top w:w="80" w:type="dxa"/>
              <w:start w:w="105" w:type="dxa"/>
              <w:bottom w:w="80" w:type="dxa"/>
              <w:end w:w="105" w:type="dxa"/>
            </w:tcMar>
            <w:vAlign w:val="center"/>
          </w:tcPr>
          <w:p>
            <w:pPr>
              <w:spacing w:after="0" w:line="240" w:lineRule="auto"/>
            </w:pPr>
            <w:r>
              <w:rPr>
                <w:color w:val="17242E"/>
                <w:sz w:val="16"/>
              </w:rPr>
              <w:t>old/new code, reason, evidence, coder, adjudicator, timestamp</w:t>
            </w:r>
          </w:p>
        </w:tc>
      </w:tr>
    </w:tbl>
    <w:p>
      <w:pPr>
        <w:spacing w:after="20"/>
      </w:pPr>
    </w:p>
    <w:p>
      <w:pPr>
        <w:pStyle w:val="Heading1"/>
      </w:pPr>
      <w:r>
        <w:rPr>
          <w:b w:val="0"/>
          <w:i w:val="0"/>
        </w:rPr>
        <w:t>9. Stablecoin backing and redemption codebook</w:t>
      </w:r>
    </w:p>
    <w:p>
      <w:pPr>
        <w:pStyle w:val="Heading2"/>
      </w:pPr>
      <w:r>
        <w:rPr>
          <w:b w:val="0"/>
          <w:i w:val="0"/>
        </w:rPr>
        <w:t>Backing classification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72"/>
            <w:shd w:fill="183A5A"/>
            <w:tcMar>
              <w:top w:w="80" w:type="dxa"/>
              <w:start w:w="105" w:type="dxa"/>
              <w:bottom w:w="80" w:type="dxa"/>
              <w:end w:w="105" w:type="dxa"/>
            </w:tcMar>
            <w:vAlign w:val="center"/>
          </w:tcPr>
          <w:p>
            <w:pPr>
              <w:spacing w:after="0"/>
            </w:pPr>
            <w:r>
              <w:rPr>
                <w:b/>
                <w:color w:val="FFFFFF"/>
                <w:sz w:val="15"/>
              </w:rPr>
              <w:t>Variable</w:t>
            </w:r>
          </w:p>
        </w:tc>
        <w:tc>
          <w:tcPr>
            <w:tcW w:type="dxa" w:w="3168"/>
            <w:shd w:fill="183A5A"/>
            <w:tcMar>
              <w:top w:w="80" w:type="dxa"/>
              <w:start w:w="105" w:type="dxa"/>
              <w:bottom w:w="80" w:type="dxa"/>
              <w:end w:w="105" w:type="dxa"/>
            </w:tcMar>
            <w:vAlign w:val="center"/>
          </w:tcPr>
          <w:p>
            <w:pPr>
              <w:spacing w:after="0"/>
            </w:pPr>
            <w:r>
              <w:rPr>
                <w:b/>
                <w:color w:val="FFFFFF"/>
                <w:sz w:val="15"/>
              </w:rPr>
              <w:t>Allowed values</w:t>
            </w:r>
          </w:p>
        </w:tc>
        <w:tc>
          <w:tcPr>
            <w:tcW w:type="dxa" w:w="4896"/>
            <w:shd w:fill="183A5A"/>
            <w:tcMar>
              <w:top w:w="80" w:type="dxa"/>
              <w:start w:w="105" w:type="dxa"/>
              <w:bottom w:w="80" w:type="dxa"/>
              <w:end w:w="105" w:type="dxa"/>
            </w:tcMar>
            <w:vAlign w:val="center"/>
          </w:tcPr>
          <w:p>
            <w:pPr>
              <w:spacing w:after="0"/>
            </w:pPr>
            <w:r>
              <w:rPr>
                <w:b/>
                <w:color w:val="FFFFFF"/>
                <w:sz w:val="15"/>
              </w:rPr>
              <w:t>Rule</w:t>
            </w:r>
          </w:p>
        </w:tc>
      </w:tr>
      <w:tr>
        <w:tc>
          <w:tcPr>
            <w:tcW w:type="dxa" w:w="1872"/>
            <w:tcMar>
              <w:top w:w="80" w:type="dxa"/>
              <w:start w:w="105" w:type="dxa"/>
              <w:bottom w:w="80" w:type="dxa"/>
              <w:end w:w="105" w:type="dxa"/>
            </w:tcMar>
            <w:vAlign w:val="center"/>
          </w:tcPr>
          <w:p>
            <w:pPr>
              <w:spacing w:after="0" w:line="240" w:lineRule="auto"/>
            </w:pPr>
            <w:r>
              <w:rPr>
                <w:color w:val="17242E"/>
                <w:sz w:val="15"/>
              </w:rPr>
              <w:t>backing_class</w:t>
            </w:r>
          </w:p>
        </w:tc>
        <w:tc>
          <w:tcPr>
            <w:tcW w:type="dxa" w:w="3168"/>
            <w:tcMar>
              <w:top w:w="80" w:type="dxa"/>
              <w:start w:w="105" w:type="dxa"/>
              <w:bottom w:w="80" w:type="dxa"/>
              <w:end w:w="105" w:type="dxa"/>
            </w:tcMar>
            <w:vAlign w:val="center"/>
          </w:tcPr>
          <w:p>
            <w:pPr>
              <w:spacing w:after="0" w:line="240" w:lineRule="auto"/>
            </w:pPr>
            <w:r>
              <w:rPr>
                <w:color w:val="17242E"/>
                <w:sz w:val="15"/>
              </w:rPr>
              <w:t>S1/S2/S3/S4/S5</w:t>
            </w:r>
          </w:p>
        </w:tc>
        <w:tc>
          <w:tcPr>
            <w:tcW w:type="dxa" w:w="4896"/>
            <w:tcMar>
              <w:top w:w="80" w:type="dxa"/>
              <w:start w:w="105" w:type="dxa"/>
              <w:bottom w:w="80" w:type="dxa"/>
              <w:end w:w="105" w:type="dxa"/>
            </w:tcMar>
            <w:vAlign w:val="center"/>
          </w:tcPr>
          <w:p>
            <w:pPr>
              <w:spacing w:after="0" w:line="240" w:lineRule="auto"/>
            </w:pPr>
            <w:r>
              <w:rPr>
                <w:color w:val="17242E"/>
                <w:sz w:val="15"/>
              </w:rPr>
              <w:t>classify economic stabilization mechanism, not branding</w:t>
            </w:r>
          </w:p>
        </w:tc>
      </w:tr>
      <w:tr>
        <w:tc>
          <w:tcPr>
            <w:tcW w:type="dxa" w:w="1872"/>
            <w:tcMar>
              <w:top w:w="80" w:type="dxa"/>
              <w:start w:w="105" w:type="dxa"/>
              <w:bottom w:w="80" w:type="dxa"/>
              <w:end w:w="105" w:type="dxa"/>
            </w:tcMar>
            <w:vAlign w:val="center"/>
            <w:shd w:fill="F4F7F9"/>
          </w:tcPr>
          <w:p>
            <w:pPr>
              <w:spacing w:after="0" w:line="240" w:lineRule="auto"/>
            </w:pPr>
            <w:r>
              <w:rPr>
                <w:color w:val="17242E"/>
                <w:sz w:val="15"/>
              </w:rPr>
              <w:t>reserve_type</w:t>
            </w:r>
          </w:p>
        </w:tc>
        <w:tc>
          <w:tcPr>
            <w:tcW w:type="dxa" w:w="3168"/>
            <w:tcMar>
              <w:top w:w="80" w:type="dxa"/>
              <w:start w:w="105" w:type="dxa"/>
              <w:bottom w:w="80" w:type="dxa"/>
              <w:end w:w="105" w:type="dxa"/>
            </w:tcMar>
            <w:vAlign w:val="center"/>
            <w:shd w:fill="F4F7F9"/>
          </w:tcPr>
          <w:p>
            <w:pPr>
              <w:spacing w:after="0" w:line="240" w:lineRule="auto"/>
            </w:pPr>
            <w:r>
              <w:rPr>
                <w:color w:val="17242E"/>
                <w:sz w:val="15"/>
              </w:rPr>
              <w:t>cash; bank deposit; T-bill; repo; MMF; bond; loan; CP/CD; crypto; stablecoin; commodity; derivative receivable; other</w:t>
            </w:r>
          </w:p>
        </w:tc>
        <w:tc>
          <w:tcPr>
            <w:tcW w:type="dxa" w:w="4896"/>
            <w:tcMar>
              <w:top w:w="80" w:type="dxa"/>
              <w:start w:w="105" w:type="dxa"/>
              <w:bottom w:w="80" w:type="dxa"/>
              <w:end w:w="105" w:type="dxa"/>
            </w:tcMar>
            <w:vAlign w:val="center"/>
            <w:shd w:fill="F4F7F9"/>
          </w:tcPr>
          <w:p>
            <w:pPr>
              <w:spacing w:after="0" w:line="240" w:lineRule="auto"/>
            </w:pPr>
            <w:r>
              <w:rPr>
                <w:color w:val="17242E"/>
                <w:sz w:val="15"/>
              </w:rPr>
              <w:t>code market-value weights from latest eligible report</w:t>
            </w:r>
          </w:p>
        </w:tc>
      </w:tr>
      <w:tr>
        <w:tc>
          <w:tcPr>
            <w:tcW w:type="dxa" w:w="1872"/>
            <w:tcMar>
              <w:top w:w="80" w:type="dxa"/>
              <w:start w:w="105" w:type="dxa"/>
              <w:bottom w:w="80" w:type="dxa"/>
              <w:end w:w="105" w:type="dxa"/>
            </w:tcMar>
            <w:vAlign w:val="center"/>
          </w:tcPr>
          <w:p>
            <w:pPr>
              <w:spacing w:after="0" w:line="240" w:lineRule="auto"/>
            </w:pPr>
            <w:r>
              <w:rPr>
                <w:color w:val="17242E"/>
                <w:sz w:val="15"/>
              </w:rPr>
              <w:t>collateral_location</w:t>
            </w:r>
          </w:p>
        </w:tc>
        <w:tc>
          <w:tcPr>
            <w:tcW w:type="dxa" w:w="3168"/>
            <w:tcMar>
              <w:top w:w="80" w:type="dxa"/>
              <w:start w:w="105" w:type="dxa"/>
              <w:bottom w:w="80" w:type="dxa"/>
              <w:end w:w="105" w:type="dxa"/>
            </w:tcMar>
            <w:vAlign w:val="center"/>
          </w:tcPr>
          <w:p>
            <w:pPr>
              <w:spacing w:after="0" w:line="240" w:lineRule="auto"/>
            </w:pPr>
            <w:r>
              <w:rPr>
                <w:color w:val="17242E"/>
                <w:sz w:val="15"/>
              </w:rPr>
              <w:t>off-chain; on-chain; hybrid</w:t>
            </w:r>
          </w:p>
        </w:tc>
        <w:tc>
          <w:tcPr>
            <w:tcW w:type="dxa" w:w="4896"/>
            <w:tcMar>
              <w:top w:w="80" w:type="dxa"/>
              <w:start w:w="105" w:type="dxa"/>
              <w:bottom w:w="80" w:type="dxa"/>
              <w:end w:w="105" w:type="dxa"/>
            </w:tcMar>
            <w:vAlign w:val="center"/>
          </w:tcPr>
          <w:p>
            <w:pPr>
              <w:spacing w:after="0" w:line="240" w:lineRule="auto"/>
            </w:pPr>
            <w:r>
              <w:rPr>
                <w:color w:val="17242E"/>
                <w:sz w:val="15"/>
              </w:rPr>
              <w:t>where enforceable backing resides</w:t>
            </w:r>
          </w:p>
        </w:tc>
      </w:tr>
      <w:tr>
        <w:tc>
          <w:tcPr>
            <w:tcW w:type="dxa" w:w="1872"/>
            <w:tcMar>
              <w:top w:w="80" w:type="dxa"/>
              <w:start w:w="105" w:type="dxa"/>
              <w:bottom w:w="80" w:type="dxa"/>
              <w:end w:w="105" w:type="dxa"/>
            </w:tcMar>
            <w:vAlign w:val="center"/>
            <w:shd w:fill="F4F7F9"/>
          </w:tcPr>
          <w:p>
            <w:pPr>
              <w:spacing w:after="0" w:line="240" w:lineRule="auto"/>
            </w:pPr>
            <w:r>
              <w:rPr>
                <w:color w:val="17242E"/>
                <w:sz w:val="15"/>
              </w:rPr>
              <w:t>collateralization_basis</w:t>
            </w:r>
          </w:p>
        </w:tc>
        <w:tc>
          <w:tcPr>
            <w:tcW w:type="dxa" w:w="3168"/>
            <w:tcMar>
              <w:top w:w="80" w:type="dxa"/>
              <w:start w:w="105" w:type="dxa"/>
              <w:bottom w:w="80" w:type="dxa"/>
              <w:end w:w="105" w:type="dxa"/>
            </w:tcMar>
            <w:vAlign w:val="center"/>
            <w:shd w:fill="F4F7F9"/>
          </w:tcPr>
          <w:p>
            <w:pPr>
              <w:spacing w:after="0" w:line="240" w:lineRule="auto"/>
            </w:pPr>
            <w:r>
              <w:rPr>
                <w:color w:val="17242E"/>
                <w:sz w:val="15"/>
              </w:rPr>
              <w:t>par; market value; risk-adjusted; protocol oracle</w:t>
            </w:r>
          </w:p>
        </w:tc>
        <w:tc>
          <w:tcPr>
            <w:tcW w:type="dxa" w:w="4896"/>
            <w:tcMar>
              <w:top w:w="80" w:type="dxa"/>
              <w:start w:w="105" w:type="dxa"/>
              <w:bottom w:w="80" w:type="dxa"/>
              <w:end w:w="105" w:type="dxa"/>
            </w:tcMar>
            <w:vAlign w:val="center"/>
            <w:shd w:fill="F4F7F9"/>
          </w:tcPr>
          <w:p>
            <w:pPr>
              <w:spacing w:after="0" w:line="240" w:lineRule="auto"/>
            </w:pPr>
            <w:r>
              <w:rPr>
                <w:color w:val="17242E"/>
                <w:sz w:val="15"/>
              </w:rPr>
              <w:t>denominator and valuation method must be stored</w:t>
            </w:r>
          </w:p>
        </w:tc>
      </w:tr>
      <w:tr>
        <w:tc>
          <w:tcPr>
            <w:tcW w:type="dxa" w:w="1872"/>
            <w:tcMar>
              <w:top w:w="80" w:type="dxa"/>
              <w:start w:w="105" w:type="dxa"/>
              <w:bottom w:w="80" w:type="dxa"/>
              <w:end w:w="105" w:type="dxa"/>
            </w:tcMar>
            <w:vAlign w:val="center"/>
          </w:tcPr>
          <w:p>
            <w:pPr>
              <w:spacing w:after="0" w:line="240" w:lineRule="auto"/>
            </w:pPr>
            <w:r>
              <w:rPr>
                <w:color w:val="17242E"/>
                <w:sz w:val="15"/>
              </w:rPr>
              <w:t>segregation</w:t>
            </w:r>
          </w:p>
        </w:tc>
        <w:tc>
          <w:tcPr>
            <w:tcW w:type="dxa" w:w="3168"/>
            <w:tcMar>
              <w:top w:w="80" w:type="dxa"/>
              <w:start w:w="105" w:type="dxa"/>
              <w:bottom w:w="80" w:type="dxa"/>
              <w:end w:w="105" w:type="dxa"/>
            </w:tcMar>
            <w:vAlign w:val="center"/>
          </w:tcPr>
          <w:p>
            <w:pPr>
              <w:spacing w:after="0" w:line="240" w:lineRule="auto"/>
            </w:pPr>
            <w:r>
              <w:rPr>
                <w:color w:val="17242E"/>
                <w:sz w:val="15"/>
              </w:rPr>
              <w:t>verified; asserted; absent; unknown</w:t>
            </w:r>
          </w:p>
        </w:tc>
        <w:tc>
          <w:tcPr>
            <w:tcW w:type="dxa" w:w="4896"/>
            <w:tcMar>
              <w:top w:w="80" w:type="dxa"/>
              <w:start w:w="105" w:type="dxa"/>
              <w:bottom w:w="80" w:type="dxa"/>
              <w:end w:w="105" w:type="dxa"/>
            </w:tcMar>
            <w:vAlign w:val="center"/>
          </w:tcPr>
          <w:p>
            <w:pPr>
              <w:spacing w:after="0" w:line="240" w:lineRule="auto"/>
            </w:pPr>
            <w:r>
              <w:rPr>
                <w:color w:val="17242E"/>
                <w:sz w:val="15"/>
              </w:rPr>
              <w:t>verified requires legal/audit evidence, not website language alone</w:t>
            </w:r>
          </w:p>
        </w:tc>
      </w:tr>
      <w:tr>
        <w:tc>
          <w:tcPr>
            <w:tcW w:type="dxa" w:w="1872"/>
            <w:tcMar>
              <w:top w:w="80" w:type="dxa"/>
              <w:start w:w="105" w:type="dxa"/>
              <w:bottom w:w="80" w:type="dxa"/>
              <w:end w:w="105" w:type="dxa"/>
            </w:tcMar>
            <w:vAlign w:val="center"/>
            <w:shd w:fill="F4F7F9"/>
          </w:tcPr>
          <w:p>
            <w:pPr>
              <w:spacing w:after="0" w:line="240" w:lineRule="auto"/>
            </w:pPr>
            <w:r>
              <w:rPr>
                <w:color w:val="17242E"/>
                <w:sz w:val="15"/>
              </w:rPr>
              <w:t>bankruptcy_remoteness</w:t>
            </w:r>
          </w:p>
        </w:tc>
        <w:tc>
          <w:tcPr>
            <w:tcW w:type="dxa" w:w="3168"/>
            <w:tcMar>
              <w:top w:w="80" w:type="dxa"/>
              <w:start w:w="105" w:type="dxa"/>
              <w:bottom w:w="80" w:type="dxa"/>
              <w:end w:w="105" w:type="dxa"/>
            </w:tcMar>
            <w:vAlign w:val="center"/>
            <w:shd w:fill="F4F7F9"/>
          </w:tcPr>
          <w:p>
            <w:pPr>
              <w:spacing w:after="0" w:line="240" w:lineRule="auto"/>
            </w:pPr>
            <w:r>
              <w:rPr>
                <w:color w:val="17242E"/>
                <w:sz w:val="15"/>
              </w:rPr>
              <w:t>verified; asserted; absent; unknown</w:t>
            </w:r>
          </w:p>
        </w:tc>
        <w:tc>
          <w:tcPr>
            <w:tcW w:type="dxa" w:w="4896"/>
            <w:tcMar>
              <w:top w:w="80" w:type="dxa"/>
              <w:start w:w="105" w:type="dxa"/>
              <w:bottom w:w="80" w:type="dxa"/>
              <w:end w:w="105" w:type="dxa"/>
            </w:tcMar>
            <w:vAlign w:val="center"/>
            <w:shd w:fill="F4F7F9"/>
          </w:tcPr>
          <w:p>
            <w:pPr>
              <w:spacing w:after="0" w:line="240" w:lineRule="auto"/>
            </w:pPr>
            <w:r>
              <w:rPr>
                <w:color w:val="17242E"/>
                <w:sz w:val="15"/>
              </w:rPr>
              <w:t>jurisdiction-specific legal analysis; never infer from segregation</w:t>
            </w:r>
          </w:p>
        </w:tc>
      </w:tr>
      <w:tr>
        <w:tc>
          <w:tcPr>
            <w:tcW w:type="dxa" w:w="1872"/>
            <w:tcMar>
              <w:top w:w="80" w:type="dxa"/>
              <w:start w:w="105" w:type="dxa"/>
              <w:bottom w:w="80" w:type="dxa"/>
              <w:end w:w="105" w:type="dxa"/>
            </w:tcMar>
            <w:vAlign w:val="center"/>
          </w:tcPr>
          <w:p>
            <w:pPr>
              <w:spacing w:after="0" w:line="240" w:lineRule="auto"/>
            </w:pPr>
            <w:r>
              <w:rPr>
                <w:color w:val="17242E"/>
                <w:sz w:val="15"/>
              </w:rPr>
              <w:t>hedge_coverage</w:t>
            </w:r>
          </w:p>
        </w:tc>
        <w:tc>
          <w:tcPr>
            <w:tcW w:type="dxa" w:w="3168"/>
            <w:tcMar>
              <w:top w:w="80" w:type="dxa"/>
              <w:start w:w="105" w:type="dxa"/>
              <w:bottom w:w="80" w:type="dxa"/>
              <w:end w:w="105" w:type="dxa"/>
            </w:tcMar>
            <w:vAlign w:val="center"/>
          </w:tcPr>
          <w:p>
            <w:pPr>
              <w:spacing w:after="0" w:line="240" w:lineRule="auto"/>
            </w:pPr>
            <w:r>
              <w:rPr>
                <w:color w:val="17242E"/>
                <w:sz w:val="15"/>
              </w:rPr>
              <w:t>gross delta; net delta; basis; venue/custodian shares</w:t>
            </w:r>
          </w:p>
        </w:tc>
        <w:tc>
          <w:tcPr>
            <w:tcW w:type="dxa" w:w="4896"/>
            <w:tcMar>
              <w:top w:w="80" w:type="dxa"/>
              <w:start w:w="105" w:type="dxa"/>
              <w:bottom w:w="80" w:type="dxa"/>
              <w:end w:w="105" w:type="dxa"/>
            </w:tcMar>
            <w:vAlign w:val="center"/>
          </w:tcPr>
          <w:p>
            <w:pPr>
              <w:spacing w:after="0" w:line="240" w:lineRule="auto"/>
            </w:pPr>
            <w:r>
              <w:rPr>
                <w:color w:val="17242E"/>
                <w:sz w:val="15"/>
              </w:rPr>
              <w:t>for S3; record methodology and frequency</w:t>
            </w:r>
          </w:p>
        </w:tc>
      </w:tr>
    </w:tbl>
    <w:p>
      <w:pPr>
        <w:spacing w:after="20"/>
      </w:pPr>
    </w:p>
    <w:p>
      <w:pPr>
        <w:pStyle w:val="Heading2"/>
      </w:pPr>
      <w:r>
        <w:rPr>
          <w:b w:val="0"/>
          <w:i w:val="0"/>
        </w:rPr>
        <w:t>Redemption classification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944"/>
            <w:shd w:fill="183A5A"/>
            <w:tcMar>
              <w:top w:w="80" w:type="dxa"/>
              <w:start w:w="105" w:type="dxa"/>
              <w:bottom w:w="80" w:type="dxa"/>
              <w:end w:w="105" w:type="dxa"/>
            </w:tcMar>
            <w:vAlign w:val="center"/>
          </w:tcPr>
          <w:p>
            <w:pPr>
              <w:spacing w:after="0"/>
            </w:pPr>
            <w:r>
              <w:rPr>
                <w:b/>
                <w:color w:val="FFFFFF"/>
                <w:sz w:val="16"/>
              </w:rPr>
              <w:t>Code</w:t>
            </w:r>
          </w:p>
        </w:tc>
        <w:tc>
          <w:tcPr>
            <w:tcW w:type="dxa" w:w="7992"/>
            <w:shd w:fill="183A5A"/>
            <w:tcMar>
              <w:top w:w="80" w:type="dxa"/>
              <w:start w:w="105" w:type="dxa"/>
              <w:bottom w:w="80" w:type="dxa"/>
              <w:end w:w="105" w:type="dxa"/>
            </w:tcMar>
            <w:vAlign w:val="center"/>
          </w:tcPr>
          <w:p>
            <w:pPr>
              <w:spacing w:after="0"/>
            </w:pPr>
            <w:r>
              <w:rPr>
                <w:b/>
                <w:color w:val="FFFFFF"/>
                <w:sz w:val="16"/>
              </w:rPr>
              <w:t>Definition</w:t>
            </w:r>
          </w:p>
        </w:tc>
      </w:tr>
      <w:tr>
        <w:tc>
          <w:tcPr>
            <w:tcW w:type="dxa" w:w="1944"/>
            <w:tcMar>
              <w:top w:w="80" w:type="dxa"/>
              <w:start w:w="105" w:type="dxa"/>
              <w:bottom w:w="80" w:type="dxa"/>
              <w:end w:w="105" w:type="dxa"/>
            </w:tcMar>
            <w:vAlign w:val="center"/>
          </w:tcPr>
          <w:p>
            <w:pPr>
              <w:spacing w:after="0" w:line="240" w:lineRule="auto"/>
            </w:pPr>
            <w:r>
              <w:rPr>
                <w:color w:val="17242E"/>
                <w:sz w:val="16"/>
              </w:rPr>
              <w:t>R0 — none</w:t>
            </w:r>
          </w:p>
        </w:tc>
        <w:tc>
          <w:tcPr>
            <w:tcW w:type="dxa" w:w="7992"/>
            <w:tcMar>
              <w:top w:w="80" w:type="dxa"/>
              <w:start w:w="105" w:type="dxa"/>
              <w:bottom w:w="80" w:type="dxa"/>
              <w:end w:w="105" w:type="dxa"/>
            </w:tcMar>
            <w:vAlign w:val="center"/>
          </w:tcPr>
          <w:p>
            <w:pPr>
              <w:spacing w:after="0" w:line="240" w:lineRule="auto"/>
            </w:pPr>
            <w:r>
              <w:rPr>
                <w:color w:val="17242E"/>
                <w:sz w:val="16"/>
              </w:rPr>
              <w:t>No functioning redemption into reference asset; secondary-market exit only.</w:t>
            </w:r>
          </w:p>
        </w:tc>
      </w:tr>
      <w:tr>
        <w:tc>
          <w:tcPr>
            <w:tcW w:type="dxa" w:w="1944"/>
            <w:tcMar>
              <w:top w:w="80" w:type="dxa"/>
              <w:start w:w="105" w:type="dxa"/>
              <w:bottom w:w="80" w:type="dxa"/>
              <w:end w:w="105" w:type="dxa"/>
            </w:tcMar>
            <w:vAlign w:val="center"/>
            <w:shd w:fill="F4F7F9"/>
          </w:tcPr>
          <w:p>
            <w:pPr>
              <w:spacing w:after="0" w:line="240" w:lineRule="auto"/>
            </w:pPr>
            <w:r>
              <w:rPr>
                <w:color w:val="17242E"/>
                <w:sz w:val="16"/>
              </w:rPr>
              <w:t>R1 — protocol/open</w:t>
            </w:r>
          </w:p>
        </w:tc>
        <w:tc>
          <w:tcPr>
            <w:tcW w:type="dxa" w:w="7992"/>
            <w:tcMar>
              <w:top w:w="80" w:type="dxa"/>
              <w:start w:w="105" w:type="dxa"/>
              <w:bottom w:w="80" w:type="dxa"/>
              <w:end w:w="105" w:type="dxa"/>
            </w:tcMar>
            <w:vAlign w:val="center"/>
            <w:shd w:fill="F4F7F9"/>
          </w:tcPr>
          <w:p>
            <w:pPr>
              <w:spacing w:after="0" w:line="240" w:lineRule="auto"/>
            </w:pPr>
            <w:r>
              <w:rPr>
                <w:color w:val="17242E"/>
                <w:sz w:val="16"/>
              </w:rPr>
              <w:t>Any holder can use an on-chain mechanism, subject only to protocol fees/limits.</w:t>
            </w:r>
          </w:p>
        </w:tc>
      </w:tr>
      <w:tr>
        <w:tc>
          <w:tcPr>
            <w:tcW w:type="dxa" w:w="1944"/>
            <w:tcMar>
              <w:top w:w="80" w:type="dxa"/>
              <w:start w:w="105" w:type="dxa"/>
              <w:bottom w:w="80" w:type="dxa"/>
              <w:end w:w="105" w:type="dxa"/>
            </w:tcMar>
            <w:vAlign w:val="center"/>
          </w:tcPr>
          <w:p>
            <w:pPr>
              <w:spacing w:after="0" w:line="240" w:lineRule="auto"/>
            </w:pPr>
            <w:r>
              <w:rPr>
                <w:color w:val="17242E"/>
                <w:sz w:val="16"/>
              </w:rPr>
              <w:t>R2 — issuer/direct broad</w:t>
            </w:r>
          </w:p>
        </w:tc>
        <w:tc>
          <w:tcPr>
            <w:tcW w:type="dxa" w:w="7992"/>
            <w:tcMar>
              <w:top w:w="80" w:type="dxa"/>
              <w:start w:w="105" w:type="dxa"/>
              <w:bottom w:w="80" w:type="dxa"/>
              <w:end w:w="105" w:type="dxa"/>
            </w:tcMar>
            <w:vAlign w:val="center"/>
          </w:tcPr>
          <w:p>
            <w:pPr>
              <w:spacing w:after="0" w:line="240" w:lineRule="auto"/>
            </w:pPr>
            <w:r>
              <w:rPr>
                <w:color w:val="17242E"/>
                <w:sz w:val="16"/>
              </w:rPr>
              <w:t>Eligible verified customers can redeem directly; access is broadly available in stated jurisdictions.</w:t>
            </w:r>
          </w:p>
        </w:tc>
      </w:tr>
      <w:tr>
        <w:tc>
          <w:tcPr>
            <w:tcW w:type="dxa" w:w="1944"/>
            <w:tcMar>
              <w:top w:w="80" w:type="dxa"/>
              <w:start w:w="105" w:type="dxa"/>
              <w:bottom w:w="80" w:type="dxa"/>
              <w:end w:w="105" w:type="dxa"/>
            </w:tcMar>
            <w:vAlign w:val="center"/>
            <w:shd w:fill="F4F7F9"/>
          </w:tcPr>
          <w:p>
            <w:pPr>
              <w:spacing w:after="0" w:line="240" w:lineRule="auto"/>
            </w:pPr>
            <w:r>
              <w:rPr>
                <w:color w:val="17242E"/>
                <w:sz w:val="16"/>
              </w:rPr>
              <w:t>R3 — issuer/direct restricted</w:t>
            </w:r>
          </w:p>
        </w:tc>
        <w:tc>
          <w:tcPr>
            <w:tcW w:type="dxa" w:w="7992"/>
            <w:tcMar>
              <w:top w:w="80" w:type="dxa"/>
              <w:start w:w="105" w:type="dxa"/>
              <w:bottom w:w="80" w:type="dxa"/>
              <w:end w:w="105" w:type="dxa"/>
            </w:tcMar>
            <w:vAlign w:val="center"/>
            <w:shd w:fill="F4F7F9"/>
          </w:tcPr>
          <w:p>
            <w:pPr>
              <w:spacing w:after="0" w:line="240" w:lineRule="auto"/>
            </w:pPr>
            <w:r>
              <w:rPr>
                <w:color w:val="17242E"/>
                <w:sz w:val="16"/>
              </w:rPr>
              <w:t>Whitelisting, institutional status, geography, minimum size, banking access, or material onboarding restricts access.</w:t>
            </w:r>
          </w:p>
        </w:tc>
      </w:tr>
      <w:tr>
        <w:tc>
          <w:tcPr>
            <w:tcW w:type="dxa" w:w="1944"/>
            <w:tcMar>
              <w:top w:w="80" w:type="dxa"/>
              <w:start w:w="105" w:type="dxa"/>
              <w:bottom w:w="80" w:type="dxa"/>
              <w:end w:w="105" w:type="dxa"/>
            </w:tcMar>
            <w:vAlign w:val="center"/>
          </w:tcPr>
          <w:p>
            <w:pPr>
              <w:spacing w:after="0" w:line="240" w:lineRule="auto"/>
            </w:pPr>
            <w:r>
              <w:rPr>
                <w:color w:val="17242E"/>
                <w:sz w:val="16"/>
              </w:rPr>
              <w:t>R4 — intermediated</w:t>
            </w:r>
          </w:p>
        </w:tc>
        <w:tc>
          <w:tcPr>
            <w:tcW w:type="dxa" w:w="7992"/>
            <w:tcMar>
              <w:top w:w="80" w:type="dxa"/>
              <w:start w:w="105" w:type="dxa"/>
              <w:bottom w:w="80" w:type="dxa"/>
              <w:end w:w="105" w:type="dxa"/>
            </w:tcMar>
            <w:vAlign w:val="center"/>
          </w:tcPr>
          <w:p>
            <w:pPr>
              <w:spacing w:after="0" w:line="240" w:lineRule="auto"/>
            </w:pPr>
            <w:r>
              <w:rPr>
                <w:color w:val="17242E"/>
                <w:sz w:val="16"/>
              </w:rPr>
              <w:t>Most holders rely on exchanges, market makers, or authorized participants; no direct claim/process for ordinary holders.</w:t>
            </w:r>
          </w:p>
        </w:tc>
      </w:tr>
      <w:tr>
        <w:tc>
          <w:tcPr>
            <w:tcW w:type="dxa" w:w="1944"/>
            <w:tcMar>
              <w:top w:w="80" w:type="dxa"/>
              <w:start w:w="105" w:type="dxa"/>
              <w:bottom w:w="80" w:type="dxa"/>
              <w:end w:w="105" w:type="dxa"/>
            </w:tcMar>
            <w:vAlign w:val="center"/>
            <w:shd w:fill="F4F7F9"/>
          </w:tcPr>
          <w:p>
            <w:pPr>
              <w:spacing w:after="0" w:line="240" w:lineRule="auto"/>
            </w:pPr>
            <w:r>
              <w:rPr>
                <w:color w:val="17242E"/>
                <w:sz w:val="16"/>
              </w:rPr>
              <w:t>R5 — discretionary/gated</w:t>
            </w:r>
          </w:p>
        </w:tc>
        <w:tc>
          <w:tcPr>
            <w:tcW w:type="dxa" w:w="7992"/>
            <w:tcMar>
              <w:top w:w="80" w:type="dxa"/>
              <w:start w:w="105" w:type="dxa"/>
              <w:bottom w:w="80" w:type="dxa"/>
              <w:end w:w="105" w:type="dxa"/>
            </w:tcMar>
            <w:vAlign w:val="center"/>
            <w:shd w:fill="F4F7F9"/>
          </w:tcPr>
          <w:p>
            <w:pPr>
              <w:spacing w:after="0" w:line="240" w:lineRule="auto"/>
            </w:pPr>
            <w:r>
              <w:rPr>
                <w:color w:val="17242E"/>
                <w:sz w:val="16"/>
              </w:rPr>
              <w:t>Issuer/protocol retains or has exercised material suspension, delay, in-kind, quota, or gate rights.</w:t>
            </w:r>
          </w:p>
        </w:tc>
      </w:tr>
    </w:tbl>
    <w:p>
      <w:pPr>
        <w:spacing w:after="20"/>
      </w:pPr>
    </w:p>
    <w:p>
      <w:pPr>
        <w:pStyle w:val="Heading2"/>
      </w:pPr>
      <w:r>
        <w:rPr>
          <w:b w:val="0"/>
          <w:i w:val="0"/>
        </w:rPr>
        <w:t>Redemption-friction score (0 best; 100 worst)</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shd w:fill="183A5A"/>
            <w:tcMar>
              <w:top w:w="80" w:type="dxa"/>
              <w:start w:w="105" w:type="dxa"/>
              <w:bottom w:w="80" w:type="dxa"/>
              <w:end w:w="105" w:type="dxa"/>
            </w:tcMar>
            <w:vAlign w:val="center"/>
          </w:tcPr>
          <w:p>
            <w:pPr>
              <w:spacing w:after="0"/>
            </w:pPr>
            <w:r>
              <w:rPr>
                <w:b/>
                <w:color w:val="FFFFFF"/>
                <w:sz w:val="15"/>
              </w:rPr>
              <w:t>Component</w:t>
            </w:r>
          </w:p>
        </w:tc>
        <w:tc>
          <w:tcPr>
            <w:tcW w:type="dxa" w:w="936"/>
            <w:shd w:fill="183A5A"/>
            <w:tcMar>
              <w:top w:w="80" w:type="dxa"/>
              <w:start w:w="105" w:type="dxa"/>
              <w:bottom w:w="80" w:type="dxa"/>
              <w:end w:w="105" w:type="dxa"/>
            </w:tcMar>
            <w:vAlign w:val="center"/>
          </w:tcPr>
          <w:p>
            <w:pPr>
              <w:spacing w:after="0"/>
            </w:pPr>
            <w:r>
              <w:rPr>
                <w:b/>
                <w:color w:val="FFFFFF"/>
                <w:sz w:val="15"/>
              </w:rPr>
              <w:t>Weight</w:t>
            </w:r>
          </w:p>
        </w:tc>
        <w:tc>
          <w:tcPr>
            <w:tcW w:type="dxa" w:w="6120"/>
            <w:shd w:fill="183A5A"/>
            <w:tcMar>
              <w:top w:w="80" w:type="dxa"/>
              <w:start w:w="105" w:type="dxa"/>
              <w:bottom w:w="80" w:type="dxa"/>
              <w:end w:w="105" w:type="dxa"/>
            </w:tcMar>
            <w:vAlign w:val="center"/>
          </w:tcPr>
          <w:p>
            <w:pPr>
              <w:spacing w:after="0"/>
            </w:pPr>
            <w:r>
              <w:rPr>
                <w:b/>
                <w:color w:val="FFFFFF"/>
                <w:sz w:val="15"/>
              </w:rPr>
              <w:t>Example scoring anchors</w:t>
            </w:r>
          </w:p>
        </w:tc>
      </w:tr>
      <w:tr>
        <w:tc>
          <w:tcPr>
            <w:tcW w:type="dxa" w:w="2880"/>
            <w:tcMar>
              <w:top w:w="80" w:type="dxa"/>
              <w:start w:w="105" w:type="dxa"/>
              <w:bottom w:w="80" w:type="dxa"/>
              <w:end w:w="105" w:type="dxa"/>
            </w:tcMar>
            <w:vAlign w:val="center"/>
          </w:tcPr>
          <w:p>
            <w:pPr>
              <w:spacing w:after="0" w:line="240" w:lineRule="auto"/>
            </w:pPr>
            <w:r>
              <w:rPr>
                <w:color w:val="17242E"/>
                <w:sz w:val="15"/>
              </w:rPr>
              <w:t>Access/eligibility</w:t>
            </w:r>
          </w:p>
        </w:tc>
        <w:tc>
          <w:tcPr>
            <w:tcW w:type="dxa" w:w="936"/>
            <w:tcMar>
              <w:top w:w="80" w:type="dxa"/>
              <w:start w:w="105" w:type="dxa"/>
              <w:bottom w:w="80" w:type="dxa"/>
              <w:end w:w="105" w:type="dxa"/>
            </w:tcMar>
            <w:vAlign w:val="center"/>
          </w:tcPr>
          <w:p>
            <w:pPr>
              <w:spacing w:after="0" w:line="240" w:lineRule="auto"/>
            </w:pPr>
            <w:r>
              <w:rPr>
                <w:color w:val="17242E"/>
                <w:sz w:val="15"/>
              </w:rPr>
              <w:t>25</w:t>
            </w:r>
          </w:p>
        </w:tc>
        <w:tc>
          <w:tcPr>
            <w:tcW w:type="dxa" w:w="6120"/>
            <w:tcMar>
              <w:top w:w="80" w:type="dxa"/>
              <w:start w:w="105" w:type="dxa"/>
              <w:bottom w:w="80" w:type="dxa"/>
              <w:end w:w="105" w:type="dxa"/>
            </w:tcMar>
            <w:vAlign w:val="center"/>
          </w:tcPr>
          <w:p>
            <w:pPr>
              <w:spacing w:after="0" w:line="240" w:lineRule="auto"/>
            </w:pPr>
            <w:r>
              <w:rPr>
                <w:color w:val="17242E"/>
                <w:sz w:val="15"/>
              </w:rPr>
              <w:t>0 open; 10 standard KYC broad; 25 institutional/whitelist/geographic constraint</w:t>
            </w:r>
          </w:p>
        </w:tc>
      </w:tr>
      <w:tr>
        <w:tc>
          <w:tcPr>
            <w:tcW w:type="dxa" w:w="2880"/>
            <w:tcMar>
              <w:top w:w="80" w:type="dxa"/>
              <w:start w:w="105" w:type="dxa"/>
              <w:bottom w:w="80" w:type="dxa"/>
              <w:end w:w="105" w:type="dxa"/>
            </w:tcMar>
            <w:vAlign w:val="center"/>
            <w:shd w:fill="F4F7F9"/>
          </w:tcPr>
          <w:p>
            <w:pPr>
              <w:spacing w:after="0" w:line="240" w:lineRule="auto"/>
            </w:pPr>
            <w:r>
              <w:rPr>
                <w:color w:val="17242E"/>
                <w:sz w:val="15"/>
              </w:rPr>
              <w:t>Minimum size</w:t>
            </w:r>
          </w:p>
        </w:tc>
        <w:tc>
          <w:tcPr>
            <w:tcW w:type="dxa" w:w="936"/>
            <w:tcMar>
              <w:top w:w="80" w:type="dxa"/>
              <w:start w:w="105" w:type="dxa"/>
              <w:bottom w:w="80" w:type="dxa"/>
              <w:end w:w="105" w:type="dxa"/>
            </w:tcMar>
            <w:vAlign w:val="center"/>
            <w:shd w:fill="F4F7F9"/>
          </w:tcPr>
          <w:p>
            <w:pPr>
              <w:spacing w:after="0" w:line="240" w:lineRule="auto"/>
            </w:pPr>
            <w:r>
              <w:rPr>
                <w:color w:val="17242E"/>
                <w:sz w:val="15"/>
              </w:rPr>
              <w:t>15</w:t>
            </w:r>
          </w:p>
        </w:tc>
        <w:tc>
          <w:tcPr>
            <w:tcW w:type="dxa" w:w="6120"/>
            <w:tcMar>
              <w:top w:w="80" w:type="dxa"/>
              <w:start w:w="105" w:type="dxa"/>
              <w:bottom w:w="80" w:type="dxa"/>
              <w:end w:w="105" w:type="dxa"/>
            </w:tcMar>
            <w:vAlign w:val="center"/>
            <w:shd w:fill="F4F7F9"/>
          </w:tcPr>
          <w:p>
            <w:pPr>
              <w:spacing w:after="0" w:line="240" w:lineRule="auto"/>
            </w:pPr>
            <w:r>
              <w:rPr>
                <w:color w:val="17242E"/>
                <w:sz w:val="15"/>
              </w:rPr>
              <w:t>0 none/de minimis; 5 ≤$10k; 10 $10k–$100k; 15 &gt;$100k</w:t>
            </w:r>
          </w:p>
        </w:tc>
      </w:tr>
      <w:tr>
        <w:tc>
          <w:tcPr>
            <w:tcW w:type="dxa" w:w="2880"/>
            <w:tcMar>
              <w:top w:w="80" w:type="dxa"/>
              <w:start w:w="105" w:type="dxa"/>
              <w:bottom w:w="80" w:type="dxa"/>
              <w:end w:w="105" w:type="dxa"/>
            </w:tcMar>
            <w:vAlign w:val="center"/>
          </w:tcPr>
          <w:p>
            <w:pPr>
              <w:spacing w:after="0" w:line="240" w:lineRule="auto"/>
            </w:pPr>
            <w:r>
              <w:rPr>
                <w:color w:val="17242E"/>
                <w:sz w:val="15"/>
              </w:rPr>
              <w:t>Explicit fee</w:t>
            </w:r>
          </w:p>
        </w:tc>
        <w:tc>
          <w:tcPr>
            <w:tcW w:type="dxa" w:w="936"/>
            <w:tcMar>
              <w:top w:w="80" w:type="dxa"/>
              <w:start w:w="105" w:type="dxa"/>
              <w:bottom w:w="80" w:type="dxa"/>
              <w:end w:w="105" w:type="dxa"/>
            </w:tcMar>
            <w:vAlign w:val="center"/>
          </w:tcPr>
          <w:p>
            <w:pPr>
              <w:spacing w:after="0" w:line="240" w:lineRule="auto"/>
            </w:pPr>
            <w:r>
              <w:rPr>
                <w:color w:val="17242E"/>
                <w:sz w:val="15"/>
              </w:rPr>
              <w:t>15</w:t>
            </w:r>
          </w:p>
        </w:tc>
        <w:tc>
          <w:tcPr>
            <w:tcW w:type="dxa" w:w="6120"/>
            <w:tcMar>
              <w:top w:w="80" w:type="dxa"/>
              <w:start w:w="105" w:type="dxa"/>
              <w:bottom w:w="80" w:type="dxa"/>
              <w:end w:w="105" w:type="dxa"/>
            </w:tcMar>
            <w:vAlign w:val="center"/>
          </w:tcPr>
          <w:p>
            <w:pPr>
              <w:spacing w:after="0" w:line="240" w:lineRule="auto"/>
            </w:pPr>
            <w:r>
              <w:rPr>
                <w:color w:val="17242E"/>
                <w:sz w:val="15"/>
              </w:rPr>
              <w:t>0 none; scale by effective bps for standard ticket; cap 15</w:t>
            </w:r>
          </w:p>
        </w:tc>
      </w:tr>
      <w:tr>
        <w:tc>
          <w:tcPr>
            <w:tcW w:type="dxa" w:w="2880"/>
            <w:tcMar>
              <w:top w:w="80" w:type="dxa"/>
              <w:start w:w="105" w:type="dxa"/>
              <w:bottom w:w="80" w:type="dxa"/>
              <w:end w:w="105" w:type="dxa"/>
            </w:tcMar>
            <w:vAlign w:val="center"/>
            <w:shd w:fill="F4F7F9"/>
          </w:tcPr>
          <w:p>
            <w:pPr>
              <w:spacing w:after="0" w:line="240" w:lineRule="auto"/>
            </w:pPr>
            <w:r>
              <w:rPr>
                <w:color w:val="17242E"/>
                <w:sz w:val="15"/>
              </w:rPr>
              <w:t>Settlement time/hours</w:t>
            </w:r>
          </w:p>
        </w:tc>
        <w:tc>
          <w:tcPr>
            <w:tcW w:type="dxa" w:w="936"/>
            <w:tcMar>
              <w:top w:w="80" w:type="dxa"/>
              <w:start w:w="105" w:type="dxa"/>
              <w:bottom w:w="80" w:type="dxa"/>
              <w:end w:w="105" w:type="dxa"/>
            </w:tcMar>
            <w:vAlign w:val="center"/>
            <w:shd w:fill="F4F7F9"/>
          </w:tcPr>
          <w:p>
            <w:pPr>
              <w:spacing w:after="0" w:line="240" w:lineRule="auto"/>
            </w:pPr>
            <w:r>
              <w:rPr>
                <w:color w:val="17242E"/>
                <w:sz w:val="15"/>
              </w:rPr>
              <w:t>15</w:t>
            </w:r>
          </w:p>
        </w:tc>
        <w:tc>
          <w:tcPr>
            <w:tcW w:type="dxa" w:w="6120"/>
            <w:tcMar>
              <w:top w:w="80" w:type="dxa"/>
              <w:start w:w="105" w:type="dxa"/>
              <w:bottom w:w="80" w:type="dxa"/>
              <w:end w:w="105" w:type="dxa"/>
            </w:tcMar>
            <w:vAlign w:val="center"/>
            <w:shd w:fill="F4F7F9"/>
          </w:tcPr>
          <w:p>
            <w:pPr>
              <w:spacing w:after="0" w:line="240" w:lineRule="auto"/>
            </w:pPr>
            <w:r>
              <w:rPr>
                <w:color w:val="17242E"/>
                <w:sz w:val="15"/>
              </w:rPr>
              <w:t>0 near-real-time/24×7; 5 same day; 10 1–2 business days; 15 longer/unclear</w:t>
            </w:r>
          </w:p>
        </w:tc>
      </w:tr>
      <w:tr>
        <w:tc>
          <w:tcPr>
            <w:tcW w:type="dxa" w:w="2880"/>
            <w:tcMar>
              <w:top w:w="80" w:type="dxa"/>
              <w:start w:w="105" w:type="dxa"/>
              <w:bottom w:w="80" w:type="dxa"/>
              <w:end w:w="105" w:type="dxa"/>
            </w:tcMar>
            <w:vAlign w:val="center"/>
          </w:tcPr>
          <w:p>
            <w:pPr>
              <w:spacing w:after="0" w:line="240" w:lineRule="auto"/>
            </w:pPr>
            <w:r>
              <w:rPr>
                <w:color w:val="17242E"/>
                <w:sz w:val="15"/>
              </w:rPr>
              <w:t>Suspension/gating/in-kind rights</w:t>
            </w:r>
          </w:p>
        </w:tc>
        <w:tc>
          <w:tcPr>
            <w:tcW w:type="dxa" w:w="936"/>
            <w:tcMar>
              <w:top w:w="80" w:type="dxa"/>
              <w:start w:w="105" w:type="dxa"/>
              <w:bottom w:w="80" w:type="dxa"/>
              <w:end w:w="105" w:type="dxa"/>
            </w:tcMar>
            <w:vAlign w:val="center"/>
          </w:tcPr>
          <w:p>
            <w:pPr>
              <w:spacing w:after="0" w:line="240" w:lineRule="auto"/>
            </w:pPr>
            <w:r>
              <w:rPr>
                <w:color w:val="17242E"/>
                <w:sz w:val="15"/>
              </w:rPr>
              <w:t>20</w:t>
            </w:r>
          </w:p>
        </w:tc>
        <w:tc>
          <w:tcPr>
            <w:tcW w:type="dxa" w:w="6120"/>
            <w:tcMar>
              <w:top w:w="80" w:type="dxa"/>
              <w:start w:w="105" w:type="dxa"/>
              <w:bottom w:w="80" w:type="dxa"/>
              <w:end w:w="105" w:type="dxa"/>
            </w:tcMar>
            <w:vAlign w:val="center"/>
          </w:tcPr>
          <w:p>
            <w:pPr>
              <w:spacing w:after="0" w:line="240" w:lineRule="auto"/>
            </w:pPr>
            <w:r>
              <w:rPr>
                <w:color w:val="17242E"/>
                <w:sz w:val="15"/>
              </w:rPr>
              <w:t>0 narrow/none; 10 conditional; 20 broad or exercised</w:t>
            </w:r>
          </w:p>
        </w:tc>
      </w:tr>
      <w:tr>
        <w:tc>
          <w:tcPr>
            <w:tcW w:type="dxa" w:w="2880"/>
            <w:tcMar>
              <w:top w:w="80" w:type="dxa"/>
              <w:start w:w="105" w:type="dxa"/>
              <w:bottom w:w="80" w:type="dxa"/>
              <w:end w:w="105" w:type="dxa"/>
            </w:tcMar>
            <w:vAlign w:val="center"/>
            <w:shd w:fill="F4F7F9"/>
          </w:tcPr>
          <w:p>
            <w:pPr>
              <w:spacing w:after="0" w:line="240" w:lineRule="auto"/>
            </w:pPr>
            <w:r>
              <w:rPr>
                <w:color w:val="17242E"/>
                <w:sz w:val="15"/>
              </w:rPr>
              <w:t>Operational dependence</w:t>
            </w:r>
          </w:p>
        </w:tc>
        <w:tc>
          <w:tcPr>
            <w:tcW w:type="dxa" w:w="936"/>
            <w:tcMar>
              <w:top w:w="80" w:type="dxa"/>
              <w:start w:w="105" w:type="dxa"/>
              <w:bottom w:w="80" w:type="dxa"/>
              <w:end w:w="105" w:type="dxa"/>
            </w:tcMar>
            <w:vAlign w:val="center"/>
            <w:shd w:fill="F4F7F9"/>
          </w:tcPr>
          <w:p>
            <w:pPr>
              <w:spacing w:after="0" w:line="240" w:lineRule="auto"/>
            </w:pPr>
            <w:r>
              <w:rPr>
                <w:color w:val="17242E"/>
                <w:sz w:val="15"/>
              </w:rPr>
              <w:t>10</w:t>
            </w:r>
          </w:p>
        </w:tc>
        <w:tc>
          <w:tcPr>
            <w:tcW w:type="dxa" w:w="6120"/>
            <w:tcMar>
              <w:top w:w="80" w:type="dxa"/>
              <w:start w:w="105" w:type="dxa"/>
              <w:bottom w:w="80" w:type="dxa"/>
              <w:end w:w="105" w:type="dxa"/>
            </w:tcMar>
            <w:vAlign w:val="center"/>
            <w:shd w:fill="F4F7F9"/>
          </w:tcPr>
          <w:p>
            <w:pPr>
              <w:spacing w:after="0" w:line="240" w:lineRule="auto"/>
            </w:pPr>
            <w:r>
              <w:rPr>
                <w:color w:val="17242E"/>
                <w:sz w:val="15"/>
              </w:rPr>
              <w:t>0 protocol/open; 5 single issuer rail; 10 multiple intermediaries/manual uncertainty</w:t>
            </w:r>
          </w:p>
        </w:tc>
      </w:tr>
    </w:tbl>
    <w:p>
      <w:pPr>
        <w:spacing w:after="20"/>
      </w:pPr>
    </w:p>
    <w:p>
      <w:pPr>
        <w:spacing w:before="80" w:after="140"/>
        <w:jc w:val="center"/>
      </w:pPr>
      <w:r>
        <w:rPr>
          <w:rFonts w:ascii="Cambria Math" w:hAnsi="Cambria Math"/>
          <w:i/>
          <w:color w:val="183A5A"/>
          <w:sz w:val="21"/>
        </w:rPr>
        <w:t>RedemptionFriction = Σⱼ wⱼ sⱼ, normalized to [0,100]; retain every component for interpretation</w:t>
      </w:r>
    </w:p>
    <w:p>
      <w:pPr>
        <w:pStyle w:val="Heading1"/>
      </w:pPr>
      <w:r>
        <w:rPr>
          <w:b w:val="0"/>
          <w:i w:val="0"/>
        </w:rPr>
        <w:t>10. Reserve-quality scoring framework</w:t>
      </w:r>
    </w:p>
    <w:tbl>
      <w:tblPr>
        <w:tblW w:type="auto" w:w="0"/>
        <w:tblLayout w:type="fixed"/>
        <w:tblLook w:firstColumn="1" w:firstRow="1" w:lastColumn="0" w:lastRow="0" w:noHBand="0" w:noVBand="1" w:val="04A0"/>
      </w:tblPr>
      <w:tblGrid>
        <w:gridCol w:w="9648"/>
      </w:tblGrid>
      <w:tr>
        <w:tc>
          <w:tcPr>
            <w:tcW w:type="dxa" w:w="9878"/>
            <w:shd w:fill="EAF1F5"/>
            <w:tcMar>
              <w:top w:w="130" w:type="dxa"/>
              <w:start w:w="170" w:type="dxa"/>
              <w:bottom w:w="130" w:type="dxa"/>
              <w:end w:w="170" w:type="dxa"/>
            </w:tcMar>
          </w:tcPr>
          <w:p>
            <w:pPr>
              <w:spacing w:after="0"/>
            </w:pPr>
            <w:r>
              <w:rPr>
                <w:b/>
                <w:color w:val="167D7F"/>
              </w:rPr>
              <w:t xml:space="preserve">Purpose  </w:t>
            </w:r>
            <w:r>
              <w:t>Create a transparent, reproducible explanatory variable—not a credit rating. Score the disclosed portfolio and institutional safeguards separately; use missing-data penalties and sensitivity ranges rather than false precision.</w:t>
            </w:r>
          </w:p>
        </w:tc>
      </w:tr>
    </w:tbl>
    <w:p>
      <w:pPr>
        <w:spacing w:after="20"/>
      </w:pPr>
    </w:p>
    <w:p>
      <w:pPr>
        <w:pStyle w:val="Heading2"/>
      </w:pPr>
      <w:r>
        <w:rPr>
          <w:b w:val="0"/>
          <w:i w:val="0"/>
        </w:rPr>
        <w:t>A. Asset-level quality score</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592"/>
            <w:shd w:fill="183A5A"/>
            <w:tcMar>
              <w:top w:w="80" w:type="dxa"/>
              <w:start w:w="105" w:type="dxa"/>
              <w:bottom w:w="80" w:type="dxa"/>
              <w:end w:w="105" w:type="dxa"/>
            </w:tcMar>
            <w:vAlign w:val="center"/>
          </w:tcPr>
          <w:p>
            <w:pPr>
              <w:spacing w:after="0"/>
            </w:pPr>
            <w:r>
              <w:rPr>
                <w:b/>
                <w:color w:val="FFFFFF"/>
                <w:sz w:val="15"/>
              </w:rPr>
              <w:t>Dimension</w:t>
            </w:r>
          </w:p>
        </w:tc>
        <w:tc>
          <w:tcPr>
            <w:tcW w:type="dxa" w:w="792"/>
            <w:shd w:fill="183A5A"/>
            <w:tcMar>
              <w:top w:w="80" w:type="dxa"/>
              <w:start w:w="105" w:type="dxa"/>
              <w:bottom w:w="80" w:type="dxa"/>
              <w:end w:w="105" w:type="dxa"/>
            </w:tcMar>
            <w:vAlign w:val="center"/>
          </w:tcPr>
          <w:p>
            <w:pPr>
              <w:spacing w:after="0"/>
            </w:pPr>
            <w:r>
              <w:rPr>
                <w:b/>
                <w:color w:val="FFFFFF"/>
                <w:sz w:val="15"/>
              </w:rPr>
              <w:t>Weight</w:t>
            </w:r>
          </w:p>
        </w:tc>
        <w:tc>
          <w:tcPr>
            <w:tcW w:type="dxa" w:w="3456"/>
            <w:shd w:fill="183A5A"/>
            <w:tcMar>
              <w:top w:w="80" w:type="dxa"/>
              <w:start w:w="105" w:type="dxa"/>
              <w:bottom w:w="80" w:type="dxa"/>
              <w:end w:w="105" w:type="dxa"/>
            </w:tcMar>
            <w:vAlign w:val="center"/>
          </w:tcPr>
          <w:p>
            <w:pPr>
              <w:spacing w:after="0"/>
            </w:pPr>
            <w:r>
              <w:rPr>
                <w:b/>
                <w:color w:val="FFFFFF"/>
                <w:sz w:val="15"/>
              </w:rPr>
              <w:t>High score</w:t>
            </w:r>
          </w:p>
        </w:tc>
        <w:tc>
          <w:tcPr>
            <w:tcW w:type="dxa" w:w="2880"/>
            <w:shd w:fill="183A5A"/>
            <w:tcMar>
              <w:top w:w="80" w:type="dxa"/>
              <w:start w:w="105" w:type="dxa"/>
              <w:bottom w:w="80" w:type="dxa"/>
              <w:end w:w="105" w:type="dxa"/>
            </w:tcMar>
            <w:vAlign w:val="center"/>
          </w:tcPr>
          <w:p>
            <w:pPr>
              <w:spacing w:after="0"/>
            </w:pPr>
            <w:r>
              <w:rPr>
                <w:b/>
                <w:color w:val="FFFFFF"/>
                <w:sz w:val="15"/>
              </w:rPr>
              <w:t>Low score</w:t>
            </w:r>
          </w:p>
        </w:tc>
      </w:tr>
      <w:tr>
        <w:tc>
          <w:tcPr>
            <w:tcW w:type="dxa" w:w="2592"/>
            <w:tcMar>
              <w:top w:w="80" w:type="dxa"/>
              <w:start w:w="105" w:type="dxa"/>
              <w:bottom w:w="80" w:type="dxa"/>
              <w:end w:w="105" w:type="dxa"/>
            </w:tcMar>
            <w:vAlign w:val="center"/>
          </w:tcPr>
          <w:p>
            <w:pPr>
              <w:spacing w:after="0" w:line="240" w:lineRule="auto"/>
            </w:pPr>
            <w:r>
              <w:rPr>
                <w:color w:val="17242E"/>
                <w:sz w:val="15"/>
              </w:rPr>
              <w:t>Liquidity under stress</w:t>
            </w:r>
          </w:p>
        </w:tc>
        <w:tc>
          <w:tcPr>
            <w:tcW w:type="dxa" w:w="792"/>
            <w:tcMar>
              <w:top w:w="80" w:type="dxa"/>
              <w:start w:w="105" w:type="dxa"/>
              <w:bottom w:w="80" w:type="dxa"/>
              <w:end w:w="105" w:type="dxa"/>
            </w:tcMar>
            <w:vAlign w:val="center"/>
          </w:tcPr>
          <w:p>
            <w:pPr>
              <w:spacing w:after="0" w:line="240" w:lineRule="auto"/>
            </w:pPr>
            <w:r>
              <w:rPr>
                <w:color w:val="17242E"/>
                <w:sz w:val="15"/>
              </w:rPr>
              <w:t>25</w:t>
            </w:r>
          </w:p>
        </w:tc>
        <w:tc>
          <w:tcPr>
            <w:tcW w:type="dxa" w:w="3456"/>
            <w:tcMar>
              <w:top w:w="80" w:type="dxa"/>
              <w:start w:w="105" w:type="dxa"/>
              <w:bottom w:w="80" w:type="dxa"/>
              <w:end w:w="105" w:type="dxa"/>
            </w:tcMar>
            <w:vAlign w:val="center"/>
          </w:tcPr>
          <w:p>
            <w:pPr>
              <w:spacing w:after="0" w:line="240" w:lineRule="auto"/>
            </w:pPr>
            <w:r>
              <w:rPr>
                <w:color w:val="17242E"/>
                <w:sz w:val="15"/>
              </w:rPr>
              <w:t>cash/central-bank money, very short sovereign bills, reliable same-day monetization</w:t>
            </w:r>
          </w:p>
        </w:tc>
        <w:tc>
          <w:tcPr>
            <w:tcW w:type="dxa" w:w="2880"/>
            <w:tcMar>
              <w:top w:w="80" w:type="dxa"/>
              <w:start w:w="105" w:type="dxa"/>
              <w:bottom w:w="80" w:type="dxa"/>
              <w:end w:w="105" w:type="dxa"/>
            </w:tcMar>
            <w:vAlign w:val="center"/>
          </w:tcPr>
          <w:p>
            <w:pPr>
              <w:spacing w:after="0" w:line="240" w:lineRule="auto"/>
            </w:pPr>
            <w:r>
              <w:rPr>
                <w:color w:val="17242E"/>
                <w:sz w:val="15"/>
              </w:rPr>
              <w:t>illiquid credit, loans, thin crypto, long settlement</w:t>
            </w:r>
          </w:p>
        </w:tc>
      </w:tr>
      <w:tr>
        <w:tc>
          <w:tcPr>
            <w:tcW w:type="dxa" w:w="2592"/>
            <w:tcMar>
              <w:top w:w="80" w:type="dxa"/>
              <w:start w:w="105" w:type="dxa"/>
              <w:bottom w:w="80" w:type="dxa"/>
              <w:end w:w="105" w:type="dxa"/>
            </w:tcMar>
            <w:vAlign w:val="center"/>
            <w:shd w:fill="F4F7F9"/>
          </w:tcPr>
          <w:p>
            <w:pPr>
              <w:spacing w:after="0" w:line="240" w:lineRule="auto"/>
            </w:pPr>
            <w:r>
              <w:rPr>
                <w:color w:val="17242E"/>
                <w:sz w:val="15"/>
              </w:rPr>
              <w:t>Credit quality</w:t>
            </w:r>
          </w:p>
        </w:tc>
        <w:tc>
          <w:tcPr>
            <w:tcW w:type="dxa" w:w="792"/>
            <w:tcMar>
              <w:top w:w="80" w:type="dxa"/>
              <w:start w:w="105" w:type="dxa"/>
              <w:bottom w:w="80" w:type="dxa"/>
              <w:end w:w="105" w:type="dxa"/>
            </w:tcMar>
            <w:vAlign w:val="center"/>
            <w:shd w:fill="F4F7F9"/>
          </w:tcPr>
          <w:p>
            <w:pPr>
              <w:spacing w:after="0" w:line="240" w:lineRule="auto"/>
            </w:pPr>
            <w:r>
              <w:rPr>
                <w:color w:val="17242E"/>
                <w:sz w:val="15"/>
              </w:rPr>
              <w:t>20</w:t>
            </w:r>
          </w:p>
        </w:tc>
        <w:tc>
          <w:tcPr>
            <w:tcW w:type="dxa" w:w="3456"/>
            <w:tcMar>
              <w:top w:w="80" w:type="dxa"/>
              <w:start w:w="105" w:type="dxa"/>
              <w:bottom w:w="80" w:type="dxa"/>
              <w:end w:w="105" w:type="dxa"/>
            </w:tcMar>
            <w:vAlign w:val="center"/>
            <w:shd w:fill="F4F7F9"/>
          </w:tcPr>
          <w:p>
            <w:pPr>
              <w:spacing w:after="0" w:line="240" w:lineRule="auto"/>
            </w:pPr>
            <w:r>
              <w:rPr>
                <w:color w:val="17242E"/>
                <w:sz w:val="15"/>
              </w:rPr>
              <w:t>sovereign/central-bank or high-quality secured exposure</w:t>
            </w:r>
          </w:p>
        </w:tc>
        <w:tc>
          <w:tcPr>
            <w:tcW w:type="dxa" w:w="2880"/>
            <w:tcMar>
              <w:top w:w="80" w:type="dxa"/>
              <w:start w:w="105" w:type="dxa"/>
              <w:bottom w:w="80" w:type="dxa"/>
              <w:end w:w="105" w:type="dxa"/>
            </w:tcMar>
            <w:vAlign w:val="center"/>
            <w:shd w:fill="F4F7F9"/>
          </w:tcPr>
          <w:p>
            <w:pPr>
              <w:spacing w:after="0" w:line="240" w:lineRule="auto"/>
            </w:pPr>
            <w:r>
              <w:rPr>
                <w:color w:val="17242E"/>
                <w:sz w:val="15"/>
              </w:rPr>
              <w:t>unrated/high-yield, affiliated or opaque exposure</w:t>
            </w:r>
          </w:p>
        </w:tc>
      </w:tr>
      <w:tr>
        <w:tc>
          <w:tcPr>
            <w:tcW w:type="dxa" w:w="2592"/>
            <w:tcMar>
              <w:top w:w="80" w:type="dxa"/>
              <w:start w:w="105" w:type="dxa"/>
              <w:bottom w:w="80" w:type="dxa"/>
              <w:end w:w="105" w:type="dxa"/>
            </w:tcMar>
            <w:vAlign w:val="center"/>
          </w:tcPr>
          <w:p>
            <w:pPr>
              <w:spacing w:after="0" w:line="240" w:lineRule="auto"/>
            </w:pPr>
            <w:r>
              <w:rPr>
                <w:color w:val="17242E"/>
                <w:sz w:val="15"/>
              </w:rPr>
              <w:t>Duration / market risk</w:t>
            </w:r>
          </w:p>
        </w:tc>
        <w:tc>
          <w:tcPr>
            <w:tcW w:type="dxa" w:w="792"/>
            <w:tcMar>
              <w:top w:w="80" w:type="dxa"/>
              <w:start w:w="105" w:type="dxa"/>
              <w:bottom w:w="80" w:type="dxa"/>
              <w:end w:w="105" w:type="dxa"/>
            </w:tcMar>
            <w:vAlign w:val="center"/>
          </w:tcPr>
          <w:p>
            <w:pPr>
              <w:spacing w:after="0" w:line="240" w:lineRule="auto"/>
            </w:pPr>
            <w:r>
              <w:rPr>
                <w:color w:val="17242E"/>
                <w:sz w:val="15"/>
              </w:rPr>
              <w:t>15</w:t>
            </w:r>
          </w:p>
        </w:tc>
        <w:tc>
          <w:tcPr>
            <w:tcW w:type="dxa" w:w="3456"/>
            <w:tcMar>
              <w:top w:w="80" w:type="dxa"/>
              <w:start w:w="105" w:type="dxa"/>
              <w:bottom w:w="80" w:type="dxa"/>
              <w:end w:w="105" w:type="dxa"/>
            </w:tcMar>
            <w:vAlign w:val="center"/>
          </w:tcPr>
          <w:p>
            <w:pPr>
              <w:spacing w:after="0" w:line="240" w:lineRule="auto"/>
            </w:pPr>
            <w:r>
              <w:rPr>
                <w:color w:val="17242E"/>
                <w:sz w:val="15"/>
              </w:rPr>
              <w:t>very short duration and low price volatility</w:t>
            </w:r>
          </w:p>
        </w:tc>
        <w:tc>
          <w:tcPr>
            <w:tcW w:type="dxa" w:w="2880"/>
            <w:tcMar>
              <w:top w:w="80" w:type="dxa"/>
              <w:start w:w="105" w:type="dxa"/>
              <w:bottom w:w="80" w:type="dxa"/>
              <w:end w:w="105" w:type="dxa"/>
            </w:tcMar>
            <w:vAlign w:val="center"/>
          </w:tcPr>
          <w:p>
            <w:pPr>
              <w:spacing w:after="0" w:line="240" w:lineRule="auto"/>
            </w:pPr>
            <w:r>
              <w:rPr>
                <w:color w:val="17242E"/>
                <w:sz w:val="15"/>
              </w:rPr>
              <w:t>long duration, material convexity/basis/FX risk</w:t>
            </w:r>
          </w:p>
        </w:tc>
      </w:tr>
      <w:tr>
        <w:tc>
          <w:tcPr>
            <w:tcW w:type="dxa" w:w="2592"/>
            <w:tcMar>
              <w:top w:w="80" w:type="dxa"/>
              <w:start w:w="105" w:type="dxa"/>
              <w:bottom w:w="80" w:type="dxa"/>
              <w:end w:w="105" w:type="dxa"/>
            </w:tcMar>
            <w:vAlign w:val="center"/>
            <w:shd w:fill="F4F7F9"/>
          </w:tcPr>
          <w:p>
            <w:pPr>
              <w:spacing w:after="0" w:line="240" w:lineRule="auto"/>
            </w:pPr>
            <w:r>
              <w:rPr>
                <w:color w:val="17242E"/>
                <w:sz w:val="15"/>
              </w:rPr>
              <w:t>Valuation certainty</w:t>
            </w:r>
          </w:p>
        </w:tc>
        <w:tc>
          <w:tcPr>
            <w:tcW w:type="dxa" w:w="792"/>
            <w:tcMar>
              <w:top w:w="80" w:type="dxa"/>
              <w:start w:w="105" w:type="dxa"/>
              <w:bottom w:w="80" w:type="dxa"/>
              <w:end w:w="105" w:type="dxa"/>
            </w:tcMar>
            <w:vAlign w:val="center"/>
            <w:shd w:fill="F4F7F9"/>
          </w:tcPr>
          <w:p>
            <w:pPr>
              <w:spacing w:after="0" w:line="240" w:lineRule="auto"/>
            </w:pPr>
            <w:r>
              <w:rPr>
                <w:color w:val="17242E"/>
                <w:sz w:val="15"/>
              </w:rPr>
              <w:t>10</w:t>
            </w:r>
          </w:p>
        </w:tc>
        <w:tc>
          <w:tcPr>
            <w:tcW w:type="dxa" w:w="3456"/>
            <w:tcMar>
              <w:top w:w="80" w:type="dxa"/>
              <w:start w:w="105" w:type="dxa"/>
              <w:bottom w:w="80" w:type="dxa"/>
              <w:end w:w="105" w:type="dxa"/>
            </w:tcMar>
            <w:vAlign w:val="center"/>
            <w:shd w:fill="F4F7F9"/>
          </w:tcPr>
          <w:p>
            <w:pPr>
              <w:spacing w:after="0" w:line="240" w:lineRule="auto"/>
            </w:pPr>
            <w:r>
              <w:rPr>
                <w:color w:val="17242E"/>
                <w:sz w:val="15"/>
              </w:rPr>
              <w:t>observable prices, daily mark, simple instruments</w:t>
            </w:r>
          </w:p>
        </w:tc>
        <w:tc>
          <w:tcPr>
            <w:tcW w:type="dxa" w:w="2880"/>
            <w:tcMar>
              <w:top w:w="80" w:type="dxa"/>
              <w:start w:w="105" w:type="dxa"/>
              <w:bottom w:w="80" w:type="dxa"/>
              <w:end w:w="105" w:type="dxa"/>
            </w:tcMar>
            <w:vAlign w:val="center"/>
            <w:shd w:fill="F4F7F9"/>
          </w:tcPr>
          <w:p>
            <w:pPr>
              <w:spacing w:after="0" w:line="240" w:lineRule="auto"/>
            </w:pPr>
            <w:r>
              <w:rPr>
                <w:color w:val="17242E"/>
                <w:sz w:val="15"/>
              </w:rPr>
              <w:t>model-valued, stale, complex, disputed</w:t>
            </w:r>
          </w:p>
        </w:tc>
      </w:tr>
      <w:tr>
        <w:tc>
          <w:tcPr>
            <w:tcW w:type="dxa" w:w="2592"/>
            <w:tcMar>
              <w:top w:w="80" w:type="dxa"/>
              <w:start w:w="105" w:type="dxa"/>
              <w:bottom w:w="80" w:type="dxa"/>
              <w:end w:w="105" w:type="dxa"/>
            </w:tcMar>
            <w:vAlign w:val="center"/>
          </w:tcPr>
          <w:p>
            <w:pPr>
              <w:spacing w:after="0" w:line="240" w:lineRule="auto"/>
            </w:pPr>
            <w:r>
              <w:rPr>
                <w:color w:val="17242E"/>
                <w:sz w:val="15"/>
              </w:rPr>
              <w:t>Currency/peg match</w:t>
            </w:r>
          </w:p>
        </w:tc>
        <w:tc>
          <w:tcPr>
            <w:tcW w:type="dxa" w:w="792"/>
            <w:tcMar>
              <w:top w:w="80" w:type="dxa"/>
              <w:start w:w="105" w:type="dxa"/>
              <w:bottom w:w="80" w:type="dxa"/>
              <w:end w:w="105" w:type="dxa"/>
            </w:tcMar>
            <w:vAlign w:val="center"/>
          </w:tcPr>
          <w:p>
            <w:pPr>
              <w:spacing w:after="0" w:line="240" w:lineRule="auto"/>
            </w:pPr>
            <w:r>
              <w:rPr>
                <w:color w:val="17242E"/>
                <w:sz w:val="15"/>
              </w:rPr>
              <w:t>10</w:t>
            </w:r>
          </w:p>
        </w:tc>
        <w:tc>
          <w:tcPr>
            <w:tcW w:type="dxa" w:w="3456"/>
            <w:tcMar>
              <w:top w:w="80" w:type="dxa"/>
              <w:start w:w="105" w:type="dxa"/>
              <w:bottom w:w="80" w:type="dxa"/>
              <w:end w:w="105" w:type="dxa"/>
            </w:tcMar>
            <w:vAlign w:val="center"/>
          </w:tcPr>
          <w:p>
            <w:pPr>
              <w:spacing w:after="0" w:line="240" w:lineRule="auto"/>
            </w:pPr>
            <w:r>
              <w:rPr>
                <w:color w:val="17242E"/>
                <w:sz w:val="15"/>
              </w:rPr>
              <w:t>same currency and no unhedged basis</w:t>
            </w:r>
          </w:p>
        </w:tc>
        <w:tc>
          <w:tcPr>
            <w:tcW w:type="dxa" w:w="2880"/>
            <w:tcMar>
              <w:top w:w="80" w:type="dxa"/>
              <w:start w:w="105" w:type="dxa"/>
              <w:bottom w:w="80" w:type="dxa"/>
              <w:end w:w="105" w:type="dxa"/>
            </w:tcMar>
            <w:vAlign w:val="center"/>
          </w:tcPr>
          <w:p>
            <w:pPr>
              <w:spacing w:after="0" w:line="240" w:lineRule="auto"/>
            </w:pPr>
            <w:r>
              <w:rPr>
                <w:color w:val="17242E"/>
                <w:sz w:val="15"/>
              </w:rPr>
              <w:t>material FX or reference-asset mismatch</w:t>
            </w:r>
          </w:p>
        </w:tc>
      </w:tr>
      <w:tr>
        <w:tc>
          <w:tcPr>
            <w:tcW w:type="dxa" w:w="2592"/>
            <w:tcMar>
              <w:top w:w="80" w:type="dxa"/>
              <w:start w:w="105" w:type="dxa"/>
              <w:bottom w:w="80" w:type="dxa"/>
              <w:end w:w="105" w:type="dxa"/>
            </w:tcMar>
            <w:vAlign w:val="center"/>
            <w:shd w:fill="F4F7F9"/>
          </w:tcPr>
          <w:p>
            <w:pPr>
              <w:spacing w:after="0" w:line="240" w:lineRule="auto"/>
            </w:pPr>
            <w:r>
              <w:rPr>
                <w:color w:val="17242E"/>
                <w:sz w:val="15"/>
              </w:rPr>
              <w:t>Concentration/diversification</w:t>
            </w:r>
          </w:p>
        </w:tc>
        <w:tc>
          <w:tcPr>
            <w:tcW w:type="dxa" w:w="792"/>
            <w:tcMar>
              <w:top w:w="80" w:type="dxa"/>
              <w:start w:w="105" w:type="dxa"/>
              <w:bottom w:w="80" w:type="dxa"/>
              <w:end w:w="105" w:type="dxa"/>
            </w:tcMar>
            <w:vAlign w:val="center"/>
            <w:shd w:fill="F4F7F9"/>
          </w:tcPr>
          <w:p>
            <w:pPr>
              <w:spacing w:after="0" w:line="240" w:lineRule="auto"/>
            </w:pPr>
            <w:r>
              <w:rPr>
                <w:color w:val="17242E"/>
                <w:sz w:val="15"/>
              </w:rPr>
              <w:t>10</w:t>
            </w:r>
          </w:p>
        </w:tc>
        <w:tc>
          <w:tcPr>
            <w:tcW w:type="dxa" w:w="3456"/>
            <w:tcMar>
              <w:top w:w="80" w:type="dxa"/>
              <w:start w:w="105" w:type="dxa"/>
              <w:bottom w:w="80" w:type="dxa"/>
              <w:end w:w="105" w:type="dxa"/>
            </w:tcMar>
            <w:vAlign w:val="center"/>
            <w:shd w:fill="F4F7F9"/>
          </w:tcPr>
          <w:p>
            <w:pPr>
              <w:spacing w:after="0" w:line="240" w:lineRule="auto"/>
            </w:pPr>
            <w:r>
              <w:rPr>
                <w:color w:val="17242E"/>
                <w:sz w:val="15"/>
              </w:rPr>
              <w:t>diversified custodians/banks/issuers within safe asset set</w:t>
            </w:r>
          </w:p>
        </w:tc>
        <w:tc>
          <w:tcPr>
            <w:tcW w:type="dxa" w:w="2880"/>
            <w:tcMar>
              <w:top w:w="80" w:type="dxa"/>
              <w:start w:w="105" w:type="dxa"/>
              <w:bottom w:w="80" w:type="dxa"/>
              <w:end w:w="105" w:type="dxa"/>
            </w:tcMar>
            <w:vAlign w:val="center"/>
            <w:shd w:fill="F4F7F9"/>
          </w:tcPr>
          <w:p>
            <w:pPr>
              <w:spacing w:after="0" w:line="240" w:lineRule="auto"/>
            </w:pPr>
            <w:r>
              <w:rPr>
                <w:color w:val="17242E"/>
                <w:sz w:val="15"/>
              </w:rPr>
              <w:t>single weak counterparty or correlated concentration</w:t>
            </w:r>
          </w:p>
        </w:tc>
      </w:tr>
      <w:tr>
        <w:tc>
          <w:tcPr>
            <w:tcW w:type="dxa" w:w="2592"/>
            <w:tcMar>
              <w:top w:w="80" w:type="dxa"/>
              <w:start w:w="105" w:type="dxa"/>
              <w:bottom w:w="80" w:type="dxa"/>
              <w:end w:w="105" w:type="dxa"/>
            </w:tcMar>
            <w:vAlign w:val="center"/>
          </w:tcPr>
          <w:p>
            <w:pPr>
              <w:spacing w:after="0" w:line="240" w:lineRule="auto"/>
            </w:pPr>
            <w:r>
              <w:rPr>
                <w:color w:val="17242E"/>
                <w:sz w:val="15"/>
              </w:rPr>
              <w:t>Encumbrance/availability</w:t>
            </w:r>
          </w:p>
        </w:tc>
        <w:tc>
          <w:tcPr>
            <w:tcW w:type="dxa" w:w="792"/>
            <w:tcMar>
              <w:top w:w="80" w:type="dxa"/>
              <w:start w:w="105" w:type="dxa"/>
              <w:bottom w:w="80" w:type="dxa"/>
              <w:end w:w="105" w:type="dxa"/>
            </w:tcMar>
            <w:vAlign w:val="center"/>
          </w:tcPr>
          <w:p>
            <w:pPr>
              <w:spacing w:after="0" w:line="240" w:lineRule="auto"/>
            </w:pPr>
            <w:r>
              <w:rPr>
                <w:color w:val="17242E"/>
                <w:sz w:val="15"/>
              </w:rPr>
              <w:t>10</w:t>
            </w:r>
          </w:p>
        </w:tc>
        <w:tc>
          <w:tcPr>
            <w:tcW w:type="dxa" w:w="3456"/>
            <w:tcMar>
              <w:top w:w="80" w:type="dxa"/>
              <w:start w:w="105" w:type="dxa"/>
              <w:bottom w:w="80" w:type="dxa"/>
              <w:end w:w="105" w:type="dxa"/>
            </w:tcMar>
            <w:vAlign w:val="center"/>
          </w:tcPr>
          <w:p>
            <w:pPr>
              <w:spacing w:after="0" w:line="240" w:lineRule="auto"/>
            </w:pPr>
            <w:r>
              <w:rPr>
                <w:color w:val="17242E"/>
                <w:sz w:val="15"/>
              </w:rPr>
              <w:t>unencumbered and immediately available</w:t>
            </w:r>
          </w:p>
        </w:tc>
        <w:tc>
          <w:tcPr>
            <w:tcW w:type="dxa" w:w="2880"/>
            <w:tcMar>
              <w:top w:w="80" w:type="dxa"/>
              <w:start w:w="105" w:type="dxa"/>
              <w:bottom w:w="80" w:type="dxa"/>
              <w:end w:w="105" w:type="dxa"/>
            </w:tcMar>
            <w:vAlign w:val="center"/>
          </w:tcPr>
          <w:p>
            <w:pPr>
              <w:spacing w:after="0" w:line="240" w:lineRule="auto"/>
            </w:pPr>
            <w:r>
              <w:rPr>
                <w:color w:val="17242E"/>
                <w:sz w:val="15"/>
              </w:rPr>
              <w:t>pledged, rehypothecated, operationally unavailable</w:t>
            </w:r>
          </w:p>
        </w:tc>
      </w:tr>
    </w:tbl>
    <w:p>
      <w:pPr>
        <w:spacing w:after="20"/>
      </w:pPr>
    </w:p>
    <w:p>
      <w:pPr>
        <w:spacing w:before="80" w:after="140"/>
        <w:jc w:val="center"/>
      </w:pPr>
      <w:r>
        <w:rPr>
          <w:rFonts w:ascii="Cambria Math" w:hAnsi="Cambria Math"/>
          <w:i/>
          <w:color w:val="183A5A"/>
          <w:sz w:val="21"/>
        </w:rPr>
        <w:t>AssetQualityₜ = Σₖ wₖ qₖₜ ;  PortfolioQualityₜ = Σₐ ReserveWeightₐₜ × AssetQualityₐₜ</w:t>
      </w:r>
    </w:p>
    <w:p>
      <w:pPr>
        <w:pStyle w:val="Heading2"/>
      </w:pPr>
      <w:r>
        <w:rPr>
          <w:b w:val="0"/>
          <w:i w:val="0"/>
        </w:rPr>
        <w:t>B. Institutional safeguards adjustment</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168"/>
            <w:shd w:fill="183A5A"/>
            <w:tcMar>
              <w:top w:w="80" w:type="dxa"/>
              <w:start w:w="105" w:type="dxa"/>
              <w:bottom w:w="80" w:type="dxa"/>
              <w:end w:w="105" w:type="dxa"/>
            </w:tcMar>
            <w:vAlign w:val="center"/>
          </w:tcPr>
          <w:p>
            <w:pPr>
              <w:spacing w:after="0"/>
            </w:pPr>
            <w:r>
              <w:rPr>
                <w:b/>
                <w:color w:val="FFFFFF"/>
                <w:sz w:val="16"/>
              </w:rPr>
              <w:t>Adjustment</w:t>
            </w:r>
          </w:p>
        </w:tc>
        <w:tc>
          <w:tcPr>
            <w:tcW w:type="dxa" w:w="1152"/>
            <w:shd w:fill="183A5A"/>
            <w:tcMar>
              <w:top w:w="80" w:type="dxa"/>
              <w:start w:w="105" w:type="dxa"/>
              <w:bottom w:w="80" w:type="dxa"/>
              <w:end w:w="105" w:type="dxa"/>
            </w:tcMar>
            <w:vAlign w:val="center"/>
          </w:tcPr>
          <w:p>
            <w:pPr>
              <w:spacing w:after="0"/>
            </w:pPr>
            <w:r>
              <w:rPr>
                <w:b/>
                <w:color w:val="FFFFFF"/>
                <w:sz w:val="16"/>
              </w:rPr>
              <w:t>Range</w:t>
            </w:r>
          </w:p>
        </w:tc>
        <w:tc>
          <w:tcPr>
            <w:tcW w:type="dxa" w:w="5616"/>
            <w:shd w:fill="183A5A"/>
            <w:tcMar>
              <w:top w:w="80" w:type="dxa"/>
              <w:start w:w="105" w:type="dxa"/>
              <w:bottom w:w="80" w:type="dxa"/>
              <w:end w:w="105" w:type="dxa"/>
            </w:tcMar>
            <w:vAlign w:val="center"/>
          </w:tcPr>
          <w:p>
            <w:pPr>
              <w:spacing w:after="0"/>
            </w:pPr>
            <w:r>
              <w:rPr>
                <w:b/>
                <w:color w:val="FFFFFF"/>
                <w:sz w:val="16"/>
              </w:rPr>
              <w:t>Rule</w:t>
            </w:r>
          </w:p>
        </w:tc>
      </w:tr>
      <w:tr>
        <w:tc>
          <w:tcPr>
            <w:tcW w:type="dxa" w:w="3168"/>
            <w:tcMar>
              <w:top w:w="80" w:type="dxa"/>
              <w:start w:w="105" w:type="dxa"/>
              <w:bottom w:w="80" w:type="dxa"/>
              <w:end w:w="105" w:type="dxa"/>
            </w:tcMar>
            <w:vAlign w:val="center"/>
          </w:tcPr>
          <w:p>
            <w:pPr>
              <w:spacing w:after="0" w:line="240" w:lineRule="auto"/>
            </w:pPr>
            <w:r>
              <w:rPr>
                <w:color w:val="17242E"/>
                <w:sz w:val="16"/>
              </w:rPr>
              <w:t>Coverage</w:t>
            </w:r>
          </w:p>
        </w:tc>
        <w:tc>
          <w:tcPr>
            <w:tcW w:type="dxa" w:w="1152"/>
            <w:tcMar>
              <w:top w:w="80" w:type="dxa"/>
              <w:start w:w="105" w:type="dxa"/>
              <w:bottom w:w="80" w:type="dxa"/>
              <w:end w:w="105" w:type="dxa"/>
            </w:tcMar>
            <w:vAlign w:val="center"/>
          </w:tcPr>
          <w:p>
            <w:pPr>
              <w:spacing w:after="0" w:line="240" w:lineRule="auto"/>
            </w:pPr>
            <w:r>
              <w:rPr>
                <w:color w:val="17242E"/>
                <w:sz w:val="16"/>
              </w:rPr>
              <w:t>−20 to +5</w:t>
            </w:r>
          </w:p>
        </w:tc>
        <w:tc>
          <w:tcPr>
            <w:tcW w:type="dxa" w:w="5616"/>
            <w:tcMar>
              <w:top w:w="80" w:type="dxa"/>
              <w:start w:w="105" w:type="dxa"/>
              <w:bottom w:w="80" w:type="dxa"/>
              <w:end w:w="105" w:type="dxa"/>
            </w:tcMar>
            <w:vAlign w:val="center"/>
          </w:tcPr>
          <w:p>
            <w:pPr>
              <w:spacing w:after="0" w:line="240" w:lineRule="auto"/>
            </w:pPr>
            <w:r>
              <w:rPr>
                <w:color w:val="17242E"/>
                <w:sz w:val="16"/>
              </w:rPr>
              <w:t>market value / token liabilities; haircut stressed assets</w:t>
            </w:r>
          </w:p>
        </w:tc>
      </w:tr>
      <w:tr>
        <w:tc>
          <w:tcPr>
            <w:tcW w:type="dxa" w:w="3168"/>
            <w:tcMar>
              <w:top w:w="80" w:type="dxa"/>
              <w:start w:w="105" w:type="dxa"/>
              <w:bottom w:w="80" w:type="dxa"/>
              <w:end w:w="105" w:type="dxa"/>
            </w:tcMar>
            <w:vAlign w:val="center"/>
            <w:shd w:fill="F4F7F9"/>
          </w:tcPr>
          <w:p>
            <w:pPr>
              <w:spacing w:after="0" w:line="240" w:lineRule="auto"/>
            </w:pPr>
            <w:r>
              <w:rPr>
                <w:color w:val="17242E"/>
                <w:sz w:val="16"/>
              </w:rPr>
              <w:t>Segregation &amp; bankruptcy remoteness</w:t>
            </w:r>
          </w:p>
        </w:tc>
        <w:tc>
          <w:tcPr>
            <w:tcW w:type="dxa" w:w="1152"/>
            <w:tcMar>
              <w:top w:w="80" w:type="dxa"/>
              <w:start w:w="105" w:type="dxa"/>
              <w:bottom w:w="80" w:type="dxa"/>
              <w:end w:w="105" w:type="dxa"/>
            </w:tcMar>
            <w:vAlign w:val="center"/>
            <w:shd w:fill="F4F7F9"/>
          </w:tcPr>
          <w:p>
            <w:pPr>
              <w:spacing w:after="0" w:line="240" w:lineRule="auto"/>
            </w:pPr>
            <w:r>
              <w:rPr>
                <w:color w:val="17242E"/>
                <w:sz w:val="16"/>
              </w:rPr>
              <w:t>−15 to +5</w:t>
            </w:r>
          </w:p>
        </w:tc>
        <w:tc>
          <w:tcPr>
            <w:tcW w:type="dxa" w:w="5616"/>
            <w:tcMar>
              <w:top w:w="80" w:type="dxa"/>
              <w:start w:w="105" w:type="dxa"/>
              <w:bottom w:w="80" w:type="dxa"/>
              <w:end w:w="105" w:type="dxa"/>
            </w:tcMar>
            <w:vAlign w:val="center"/>
            <w:shd w:fill="F4F7F9"/>
          </w:tcPr>
          <w:p>
            <w:pPr>
              <w:spacing w:after="0" w:line="240" w:lineRule="auto"/>
            </w:pPr>
            <w:r>
              <w:rPr>
                <w:color w:val="17242E"/>
                <w:sz w:val="16"/>
              </w:rPr>
              <w:t>verified legal protection scores highest; unknown is not verified</w:t>
            </w:r>
          </w:p>
        </w:tc>
      </w:tr>
      <w:tr>
        <w:tc>
          <w:tcPr>
            <w:tcW w:type="dxa" w:w="3168"/>
            <w:tcMar>
              <w:top w:w="80" w:type="dxa"/>
              <w:start w:w="105" w:type="dxa"/>
              <w:bottom w:w="80" w:type="dxa"/>
              <w:end w:w="105" w:type="dxa"/>
            </w:tcMar>
            <w:vAlign w:val="center"/>
          </w:tcPr>
          <w:p>
            <w:pPr>
              <w:spacing w:after="0" w:line="240" w:lineRule="auto"/>
            </w:pPr>
            <w:r>
              <w:rPr>
                <w:color w:val="17242E"/>
                <w:sz w:val="16"/>
              </w:rPr>
              <w:t>Transparency &amp; assurance</w:t>
            </w:r>
          </w:p>
        </w:tc>
        <w:tc>
          <w:tcPr>
            <w:tcW w:type="dxa" w:w="1152"/>
            <w:tcMar>
              <w:top w:w="80" w:type="dxa"/>
              <w:start w:w="105" w:type="dxa"/>
              <w:bottom w:w="80" w:type="dxa"/>
              <w:end w:w="105" w:type="dxa"/>
            </w:tcMar>
            <w:vAlign w:val="center"/>
          </w:tcPr>
          <w:p>
            <w:pPr>
              <w:spacing w:after="0" w:line="240" w:lineRule="auto"/>
            </w:pPr>
            <w:r>
              <w:rPr>
                <w:color w:val="17242E"/>
                <w:sz w:val="16"/>
              </w:rPr>
              <w:t>−10 to +5</w:t>
            </w:r>
          </w:p>
        </w:tc>
        <w:tc>
          <w:tcPr>
            <w:tcW w:type="dxa" w:w="5616"/>
            <w:tcMar>
              <w:top w:w="80" w:type="dxa"/>
              <w:start w:w="105" w:type="dxa"/>
              <w:bottom w:w="80" w:type="dxa"/>
              <w:end w:w="105" w:type="dxa"/>
            </w:tcMar>
            <w:vAlign w:val="center"/>
          </w:tcPr>
          <w:p>
            <w:pPr>
              <w:spacing w:after="0" w:line="240" w:lineRule="auto"/>
            </w:pPr>
            <w:r>
              <w:rPr>
                <w:color w:val="17242E"/>
                <w:sz w:val="16"/>
              </w:rPr>
              <w:t>frequency, lag, granularity, independent assurance, liabilities included</w:t>
            </w:r>
          </w:p>
        </w:tc>
      </w:tr>
      <w:tr>
        <w:tc>
          <w:tcPr>
            <w:tcW w:type="dxa" w:w="3168"/>
            <w:tcMar>
              <w:top w:w="80" w:type="dxa"/>
              <w:start w:w="105" w:type="dxa"/>
              <w:bottom w:w="80" w:type="dxa"/>
              <w:end w:w="105" w:type="dxa"/>
            </w:tcMar>
            <w:vAlign w:val="center"/>
            <w:shd w:fill="F4F7F9"/>
          </w:tcPr>
          <w:p>
            <w:pPr>
              <w:spacing w:after="0" w:line="240" w:lineRule="auto"/>
            </w:pPr>
            <w:r>
              <w:rPr>
                <w:color w:val="17242E"/>
                <w:sz w:val="16"/>
              </w:rPr>
              <w:t>Custody/operational resilience</w:t>
            </w:r>
          </w:p>
        </w:tc>
        <w:tc>
          <w:tcPr>
            <w:tcW w:type="dxa" w:w="1152"/>
            <w:tcMar>
              <w:top w:w="80" w:type="dxa"/>
              <w:start w:w="105" w:type="dxa"/>
              <w:bottom w:w="80" w:type="dxa"/>
              <w:end w:w="105" w:type="dxa"/>
            </w:tcMar>
            <w:vAlign w:val="center"/>
            <w:shd w:fill="F4F7F9"/>
          </w:tcPr>
          <w:p>
            <w:pPr>
              <w:spacing w:after="0" w:line="240" w:lineRule="auto"/>
            </w:pPr>
            <w:r>
              <w:rPr>
                <w:color w:val="17242E"/>
                <w:sz w:val="16"/>
              </w:rPr>
              <w:t>−10 to +5</w:t>
            </w:r>
          </w:p>
        </w:tc>
        <w:tc>
          <w:tcPr>
            <w:tcW w:type="dxa" w:w="5616"/>
            <w:tcMar>
              <w:top w:w="80" w:type="dxa"/>
              <w:start w:w="105" w:type="dxa"/>
              <w:bottom w:w="80" w:type="dxa"/>
              <w:end w:w="105" w:type="dxa"/>
            </w:tcMar>
            <w:vAlign w:val="center"/>
            <w:shd w:fill="F4F7F9"/>
          </w:tcPr>
          <w:p>
            <w:pPr>
              <w:spacing w:after="0" w:line="240" w:lineRule="auto"/>
            </w:pPr>
            <w:r>
              <w:rPr>
                <w:color w:val="17242E"/>
                <w:sz w:val="16"/>
              </w:rPr>
              <w:t>custodian quality, access, concentration, settlement continuity</w:t>
            </w:r>
          </w:p>
        </w:tc>
      </w:tr>
    </w:tbl>
    <w:p>
      <w:pPr>
        <w:spacing w:after="20"/>
      </w:pPr>
    </w:p>
    <w:p>
      <w:pPr>
        <w:spacing w:before="80" w:after="140"/>
        <w:jc w:val="center"/>
      </w:pPr>
      <w:r>
        <w:rPr>
          <w:rFonts w:ascii="Cambria Math" w:hAnsi="Cambria Math"/>
          <w:i/>
          <w:color w:val="183A5A"/>
          <w:sz w:val="21"/>
        </w:rPr>
        <w:t>ReserveQuality = clamp(PortfolioQuality + SafeguardsAdjustment, 0, 100)</w:t>
      </w:r>
    </w:p>
    <w:p>
      <w:pPr>
        <w:pStyle w:val="Heading2"/>
      </w:pPr>
      <w:r>
        <w:rPr>
          <w:b w:val="0"/>
          <w:i w:val="0"/>
        </w:rPr>
        <w:t>Scoring implementation rules</w:t>
      </w:r>
    </w:p>
    <w:p>
      <w:pPr>
        <w:pStyle w:val="ListBullet"/>
      </w:pPr>
      <w:r>
        <w:rPr>
          <w:b w:val="0"/>
          <w:i w:val="0"/>
        </w:rPr>
        <w:t>Use the reserve report available to the market at time t—not a later restatement—to avoid look-ahead bias.</w:t>
      </w:r>
    </w:p>
    <w:p>
      <w:pPr>
        <w:pStyle w:val="ListBullet"/>
      </w:pPr>
      <w:r>
        <w:rPr>
          <w:b w:val="0"/>
          <w:i w:val="0"/>
        </w:rPr>
        <w:t>Map every reserve line item to a scoring bucket; disclose unmapped weight.</w:t>
      </w:r>
    </w:p>
    <w:p>
      <w:pPr>
        <w:pStyle w:val="ListBullet"/>
      </w:pPr>
      <w:r>
        <w:rPr>
          <w:b w:val="0"/>
          <w:i w:val="0"/>
        </w:rPr>
        <w:t>For “other” or undisclosed assets, use a conservative base score and report optimistic/pessimistic bounds.</w:t>
      </w:r>
    </w:p>
    <w:p>
      <w:pPr>
        <w:pStyle w:val="ListBullet"/>
      </w:pPr>
      <w:r>
        <w:rPr>
          <w:b w:val="0"/>
          <w:i w:val="0"/>
        </w:rPr>
        <w:t>Stress haircuts should draw from HQLA/liquidity principles but remain a research specification, not regulatory equivalence.</w:t>
      </w:r>
    </w:p>
    <w:p>
      <w:pPr>
        <w:pStyle w:val="ListBullet"/>
      </w:pPr>
      <w:r>
        <w:rPr>
          <w:b w:val="0"/>
          <w:i w:val="0"/>
        </w:rPr>
        <w:t>Report both composite and components; test whether liquidity, transparency, or legal safeguards drive results.</w:t>
      </w:r>
    </w:p>
    <w:p>
      <w:pPr>
        <w:pStyle w:val="Caption"/>
        <w:spacing w:before="40" w:after="100"/>
      </w:pPr>
      <w:r>
        <w:rPr>
          <w:b/>
        </w:rPr>
        <w:t xml:space="preserve">Source: </w:t>
      </w:r>
      <w:r>
        <w:t>BIS/CPMI guidance highlights duration, credit quality, liquidity, concentration, segregation, and timely redemption — https://www.bis.org/cpmi/publ/d220.pdf</w:t>
      </w:r>
    </w:p>
    <w:p>
      <w:pPr>
        <w:pStyle w:val="Caption"/>
        <w:spacing w:before="40" w:after="100"/>
      </w:pPr>
      <w:r>
        <w:rPr>
          <w:b/>
        </w:rPr>
        <w:t xml:space="preserve">Source: </w:t>
      </w:r>
      <w:r>
        <w:t>BIS research models interactions among information, reserve quality, volatility, and run risk — https://www.bis.org/publ/work1164.htm</w:t>
      </w:r>
    </w:p>
    <w:p>
      <w:pPr>
        <w:pStyle w:val="Heading1"/>
      </w:pPr>
      <w:r>
        <w:rPr>
          <w:b w:val="0"/>
          <w:i w:val="0"/>
        </w:rPr>
        <w:t>11. Depeg-risk measurement framework</w:t>
      </w:r>
    </w:p>
    <w:p>
      <w:pPr>
        <w:pStyle w:val="Heading2"/>
      </w:pPr>
      <w:r>
        <w:rPr>
          <w:b w:val="0"/>
          <w:i w:val="0"/>
        </w:rPr>
        <w:t>Price construction hierarchy</w:t>
      </w:r>
    </w:p>
    <w:p>
      <w:pPr>
        <w:pStyle w:val="ListNumber"/>
      </w:pPr>
      <w:r>
        <w:rPr>
          <w:b w:val="0"/>
          <w:i w:val="0"/>
        </w:rPr>
        <w:t>Normalize each venue quote to the peg currency; convert non-USD quotes with synchronized FX/reference rates.</w:t>
      </w:r>
    </w:p>
    <w:p>
      <w:pPr>
        <w:pStyle w:val="ListNumber"/>
      </w:pPr>
      <w:r>
        <w:rPr>
          <w:b w:val="0"/>
          <w:i w:val="0"/>
        </w:rPr>
        <w:t>Remove stale, zero-volume, and mechanically bad observations using preregistered filters.</w:t>
      </w:r>
    </w:p>
    <w:p>
      <w:pPr>
        <w:pStyle w:val="ListNumber"/>
      </w:pPr>
      <w:r>
        <w:rPr>
          <w:b w:val="0"/>
          <w:i w:val="0"/>
        </w:rPr>
        <w:t>Prefer volume-capped, liquidity-weighted venue median; cap any venue’s weight to limit manipulation.</w:t>
      </w:r>
    </w:p>
    <w:p>
      <w:pPr>
        <w:pStyle w:val="ListNumber"/>
      </w:pPr>
      <w:r>
        <w:rPr>
          <w:b w:val="0"/>
          <w:i w:val="0"/>
        </w:rPr>
        <w:t>Construct CEX and DEX series separately, then a composite; preserve source-level prices.</w:t>
      </w:r>
    </w:p>
    <w:p>
      <w:pPr>
        <w:pStyle w:val="ListNumber"/>
      </w:pPr>
      <w:r>
        <w:rPr>
          <w:b w:val="0"/>
          <w:i w:val="0"/>
        </w:rPr>
        <w:t>Use intraday data for event metrics and daily VWAP/median for long panels; do not mix frequencies silently.</w:t>
      </w:r>
    </w:p>
    <w:p>
      <w:pPr>
        <w:pStyle w:val="Heading2"/>
      </w:pPr>
      <w:r>
        <w:rPr>
          <w:b w:val="0"/>
          <w:i w:val="0"/>
        </w:rPr>
        <w:t>Outcome definitions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183A5A"/>
            <w:tcMar>
              <w:top w:w="80" w:type="dxa"/>
              <w:start w:w="105" w:type="dxa"/>
              <w:bottom w:w="80" w:type="dxa"/>
              <w:end w:w="105" w:type="dxa"/>
            </w:tcMar>
            <w:vAlign w:val="center"/>
          </w:tcPr>
          <w:p>
            <w:pPr>
              <w:spacing w:after="0"/>
            </w:pPr>
            <w:r>
              <w:rPr>
                <w:b/>
                <w:color w:val="FFFFFF"/>
                <w:sz w:val="15"/>
              </w:rPr>
              <w:t>Metric</w:t>
            </w:r>
          </w:p>
        </w:tc>
        <w:tc>
          <w:tcPr>
            <w:tcW w:type="dxa" w:w="3960"/>
            <w:shd w:fill="183A5A"/>
            <w:tcMar>
              <w:top w:w="80" w:type="dxa"/>
              <w:start w:w="105" w:type="dxa"/>
              <w:bottom w:w="80" w:type="dxa"/>
              <w:end w:w="105" w:type="dxa"/>
            </w:tcMar>
            <w:vAlign w:val="center"/>
          </w:tcPr>
          <w:p>
            <w:pPr>
              <w:spacing w:after="0"/>
            </w:pPr>
            <w:r>
              <w:rPr>
                <w:b/>
                <w:color w:val="FFFFFF"/>
                <w:sz w:val="15"/>
              </w:rPr>
              <w:t>Definition</w:t>
            </w:r>
          </w:p>
        </w:tc>
        <w:tc>
          <w:tcPr>
            <w:tcW w:type="dxa" w:w="3744"/>
            <w:shd w:fill="183A5A"/>
            <w:tcMar>
              <w:top w:w="80" w:type="dxa"/>
              <w:start w:w="105" w:type="dxa"/>
              <w:bottom w:w="80" w:type="dxa"/>
              <w:end w:w="105" w:type="dxa"/>
            </w:tcMar>
            <w:vAlign w:val="center"/>
          </w:tcPr>
          <w:p>
            <w:pPr>
              <w:spacing w:after="0"/>
            </w:pPr>
            <w:r>
              <w:rPr>
                <w:b/>
                <w:color w:val="FFFFFF"/>
                <w:sz w:val="15"/>
              </w:rPr>
              <w:t>Use</w:t>
            </w:r>
          </w:p>
        </w:tc>
      </w:tr>
      <w:tr>
        <w:tc>
          <w:tcPr>
            <w:tcW w:type="dxa" w:w="2232"/>
            <w:tcMar>
              <w:top w:w="80" w:type="dxa"/>
              <w:start w:w="105" w:type="dxa"/>
              <w:bottom w:w="80" w:type="dxa"/>
              <w:end w:w="105" w:type="dxa"/>
            </w:tcMar>
            <w:vAlign w:val="center"/>
          </w:tcPr>
          <w:p>
            <w:pPr>
              <w:spacing w:after="0" w:line="240" w:lineRule="auto"/>
            </w:pPr>
            <w:r>
              <w:rPr>
                <w:color w:val="17242E"/>
                <w:sz w:val="15"/>
              </w:rPr>
              <w:t>Signed deviation dₜ</w:t>
            </w:r>
          </w:p>
        </w:tc>
        <w:tc>
          <w:tcPr>
            <w:tcW w:type="dxa" w:w="3960"/>
            <w:tcMar>
              <w:top w:w="80" w:type="dxa"/>
              <w:start w:w="105" w:type="dxa"/>
              <w:bottom w:w="80" w:type="dxa"/>
              <w:end w:w="105" w:type="dxa"/>
            </w:tcMar>
            <w:vAlign w:val="center"/>
          </w:tcPr>
          <w:p>
            <w:pPr>
              <w:spacing w:after="0" w:line="240" w:lineRule="auto"/>
            </w:pPr>
            <w:r>
              <w:rPr>
                <w:color w:val="17242E"/>
                <w:sz w:val="15"/>
              </w:rPr>
              <w:t>Pₜ/Pegₜ − 1</w:t>
            </w:r>
          </w:p>
        </w:tc>
        <w:tc>
          <w:tcPr>
            <w:tcW w:type="dxa" w:w="3744"/>
            <w:tcMar>
              <w:top w:w="80" w:type="dxa"/>
              <w:start w:w="105" w:type="dxa"/>
              <w:bottom w:w="80" w:type="dxa"/>
              <w:end w:w="105" w:type="dxa"/>
            </w:tcMar>
            <w:vAlign w:val="center"/>
          </w:tcPr>
          <w:p>
            <w:pPr>
              <w:spacing w:after="0" w:line="240" w:lineRule="auto"/>
            </w:pPr>
            <w:r>
              <w:rPr>
                <w:color w:val="17242E"/>
                <w:sz w:val="15"/>
              </w:rPr>
              <w:t>direction; discount vs premium</w:t>
            </w:r>
          </w:p>
        </w:tc>
      </w:tr>
      <w:tr>
        <w:tc>
          <w:tcPr>
            <w:tcW w:type="dxa" w:w="2232"/>
            <w:tcMar>
              <w:top w:w="80" w:type="dxa"/>
              <w:start w:w="105" w:type="dxa"/>
              <w:bottom w:w="80" w:type="dxa"/>
              <w:end w:w="105" w:type="dxa"/>
            </w:tcMar>
            <w:vAlign w:val="center"/>
            <w:shd w:fill="F4F7F9"/>
          </w:tcPr>
          <w:p>
            <w:pPr>
              <w:spacing w:after="0" w:line="240" w:lineRule="auto"/>
            </w:pPr>
            <w:r>
              <w:rPr>
                <w:color w:val="17242E"/>
                <w:sz w:val="15"/>
              </w:rPr>
              <w:t>Absolute peg error</w:t>
            </w:r>
          </w:p>
        </w:tc>
        <w:tc>
          <w:tcPr>
            <w:tcW w:type="dxa" w:w="3960"/>
            <w:tcMar>
              <w:top w:w="80" w:type="dxa"/>
              <w:start w:w="105" w:type="dxa"/>
              <w:bottom w:w="80" w:type="dxa"/>
              <w:end w:w="105" w:type="dxa"/>
            </w:tcMar>
            <w:vAlign w:val="center"/>
            <w:shd w:fill="F4F7F9"/>
          </w:tcPr>
          <w:p>
            <w:pPr>
              <w:spacing w:after="0" w:line="240" w:lineRule="auto"/>
            </w:pPr>
            <w:r>
              <w:rPr>
                <w:color w:val="17242E"/>
                <w:sz w:val="15"/>
              </w:rPr>
              <w:t>|dₜ|</w:t>
            </w:r>
          </w:p>
        </w:tc>
        <w:tc>
          <w:tcPr>
            <w:tcW w:type="dxa" w:w="3744"/>
            <w:tcMar>
              <w:top w:w="80" w:type="dxa"/>
              <w:start w:w="105" w:type="dxa"/>
              <w:bottom w:w="80" w:type="dxa"/>
              <w:end w:w="105" w:type="dxa"/>
            </w:tcMar>
            <w:vAlign w:val="center"/>
            <w:shd w:fill="F4F7F9"/>
          </w:tcPr>
          <w:p>
            <w:pPr>
              <w:spacing w:after="0" w:line="240" w:lineRule="auto"/>
            </w:pPr>
            <w:r>
              <w:rPr>
                <w:color w:val="17242E"/>
                <w:sz w:val="15"/>
              </w:rPr>
              <w:t>continuous stability loss</w:t>
            </w:r>
          </w:p>
        </w:tc>
      </w:tr>
      <w:tr>
        <w:tc>
          <w:tcPr>
            <w:tcW w:type="dxa" w:w="2232"/>
            <w:tcMar>
              <w:top w:w="80" w:type="dxa"/>
              <w:start w:w="105" w:type="dxa"/>
              <w:bottom w:w="80" w:type="dxa"/>
              <w:end w:w="105" w:type="dxa"/>
            </w:tcMar>
            <w:vAlign w:val="center"/>
          </w:tcPr>
          <w:p>
            <w:pPr>
              <w:spacing w:after="0" w:line="240" w:lineRule="auto"/>
            </w:pPr>
            <w:r>
              <w:rPr>
                <w:color w:val="17242E"/>
                <w:sz w:val="15"/>
              </w:rPr>
              <w:t>Band breach</w:t>
            </w:r>
          </w:p>
        </w:tc>
        <w:tc>
          <w:tcPr>
            <w:tcW w:type="dxa" w:w="3960"/>
            <w:tcMar>
              <w:top w:w="80" w:type="dxa"/>
              <w:start w:w="105" w:type="dxa"/>
              <w:bottom w:w="80" w:type="dxa"/>
              <w:end w:w="105" w:type="dxa"/>
            </w:tcMar>
            <w:vAlign w:val="center"/>
          </w:tcPr>
          <w:p>
            <w:pPr>
              <w:spacing w:after="0" w:line="240" w:lineRule="auto"/>
            </w:pPr>
            <w:r>
              <w:rPr>
                <w:color w:val="17242E"/>
                <w:sz w:val="15"/>
              </w:rPr>
              <w:t>1{|dₜ| &gt; b}, b=10/25/50/100/500 bps</w:t>
            </w:r>
          </w:p>
        </w:tc>
        <w:tc>
          <w:tcPr>
            <w:tcW w:type="dxa" w:w="3744"/>
            <w:tcMar>
              <w:top w:w="80" w:type="dxa"/>
              <w:start w:w="105" w:type="dxa"/>
              <w:bottom w:w="80" w:type="dxa"/>
              <w:end w:w="105" w:type="dxa"/>
            </w:tcMar>
            <w:vAlign w:val="center"/>
          </w:tcPr>
          <w:p>
            <w:pPr>
              <w:spacing w:after="0" w:line="240" w:lineRule="auto"/>
            </w:pPr>
            <w:r>
              <w:rPr>
                <w:color w:val="17242E"/>
                <w:sz w:val="15"/>
              </w:rPr>
              <w:t>comparable event threshold</w:t>
            </w:r>
          </w:p>
        </w:tc>
      </w:tr>
      <w:tr>
        <w:tc>
          <w:tcPr>
            <w:tcW w:type="dxa" w:w="2232"/>
            <w:tcMar>
              <w:top w:w="80" w:type="dxa"/>
              <w:start w:w="105" w:type="dxa"/>
              <w:bottom w:w="80" w:type="dxa"/>
              <w:end w:w="105" w:type="dxa"/>
            </w:tcMar>
            <w:vAlign w:val="center"/>
            <w:shd w:fill="F4F7F9"/>
          </w:tcPr>
          <w:p>
            <w:pPr>
              <w:spacing w:after="0" w:line="240" w:lineRule="auto"/>
            </w:pPr>
            <w:r>
              <w:rPr>
                <w:color w:val="17242E"/>
                <w:sz w:val="15"/>
              </w:rPr>
              <w:t>Depeg onset</w:t>
            </w:r>
          </w:p>
        </w:tc>
        <w:tc>
          <w:tcPr>
            <w:tcW w:type="dxa" w:w="3960"/>
            <w:tcMar>
              <w:top w:w="80" w:type="dxa"/>
              <w:start w:w="105" w:type="dxa"/>
              <w:bottom w:w="80" w:type="dxa"/>
              <w:end w:w="105" w:type="dxa"/>
            </w:tcMar>
            <w:vAlign w:val="center"/>
            <w:shd w:fill="F4F7F9"/>
          </w:tcPr>
          <w:p>
            <w:pPr>
              <w:spacing w:after="0" w:line="240" w:lineRule="auto"/>
            </w:pPr>
            <w:r>
              <w:rPr>
                <w:color w:val="17242E"/>
                <w:sz w:val="15"/>
              </w:rPr>
              <w:t>first of k consecutive observations outside b after clean window</w:t>
            </w:r>
          </w:p>
        </w:tc>
        <w:tc>
          <w:tcPr>
            <w:tcW w:type="dxa" w:w="3744"/>
            <w:tcMar>
              <w:top w:w="80" w:type="dxa"/>
              <w:start w:w="105" w:type="dxa"/>
              <w:bottom w:w="80" w:type="dxa"/>
              <w:end w:w="105" w:type="dxa"/>
            </w:tcMar>
            <w:vAlign w:val="center"/>
            <w:shd w:fill="F4F7F9"/>
          </w:tcPr>
          <w:p>
            <w:pPr>
              <w:spacing w:after="0" w:line="240" w:lineRule="auto"/>
            </w:pPr>
            <w:r>
              <w:rPr>
                <w:color w:val="17242E"/>
                <w:sz w:val="15"/>
              </w:rPr>
              <w:t>reduces microstructure false positives</w:t>
            </w:r>
          </w:p>
        </w:tc>
      </w:tr>
      <w:tr>
        <w:tc>
          <w:tcPr>
            <w:tcW w:type="dxa" w:w="2232"/>
            <w:tcMar>
              <w:top w:w="80" w:type="dxa"/>
              <w:start w:w="105" w:type="dxa"/>
              <w:bottom w:w="80" w:type="dxa"/>
              <w:end w:w="105" w:type="dxa"/>
            </w:tcMar>
            <w:vAlign w:val="center"/>
          </w:tcPr>
          <w:p>
            <w:pPr>
              <w:spacing w:after="0" w:line="240" w:lineRule="auto"/>
            </w:pPr>
            <w:r>
              <w:rPr>
                <w:color w:val="17242E"/>
                <w:sz w:val="15"/>
              </w:rPr>
              <w:t>Duration</w:t>
            </w:r>
          </w:p>
        </w:tc>
        <w:tc>
          <w:tcPr>
            <w:tcW w:type="dxa" w:w="3960"/>
            <w:tcMar>
              <w:top w:w="80" w:type="dxa"/>
              <w:start w:w="105" w:type="dxa"/>
              <w:bottom w:w="80" w:type="dxa"/>
              <w:end w:w="105" w:type="dxa"/>
            </w:tcMar>
            <w:vAlign w:val="center"/>
          </w:tcPr>
          <w:p>
            <w:pPr>
              <w:spacing w:after="0" w:line="240" w:lineRule="auto"/>
            </w:pPr>
            <w:r>
              <w:rPr>
                <w:color w:val="17242E"/>
                <w:sz w:val="15"/>
              </w:rPr>
              <w:t>time until m consecutive observations back inside recovery band</w:t>
            </w:r>
          </w:p>
        </w:tc>
        <w:tc>
          <w:tcPr>
            <w:tcW w:type="dxa" w:w="3744"/>
            <w:tcMar>
              <w:top w:w="80" w:type="dxa"/>
              <w:start w:w="105" w:type="dxa"/>
              <w:bottom w:w="80" w:type="dxa"/>
              <w:end w:w="105" w:type="dxa"/>
            </w:tcMar>
            <w:vAlign w:val="center"/>
          </w:tcPr>
          <w:p>
            <w:pPr>
              <w:spacing w:after="0" w:line="240" w:lineRule="auto"/>
            </w:pPr>
            <w:r>
              <w:rPr>
                <w:color w:val="17242E"/>
                <w:sz w:val="15"/>
              </w:rPr>
              <w:t>survival/recovery analysis</w:t>
            </w:r>
          </w:p>
        </w:tc>
      </w:tr>
      <w:tr>
        <w:tc>
          <w:tcPr>
            <w:tcW w:type="dxa" w:w="2232"/>
            <w:tcMar>
              <w:top w:w="80" w:type="dxa"/>
              <w:start w:w="105" w:type="dxa"/>
              <w:bottom w:w="80" w:type="dxa"/>
              <w:end w:w="105" w:type="dxa"/>
            </w:tcMar>
            <w:vAlign w:val="center"/>
            <w:shd w:fill="F4F7F9"/>
          </w:tcPr>
          <w:p>
            <w:pPr>
              <w:spacing w:after="0" w:line="240" w:lineRule="auto"/>
            </w:pPr>
            <w:r>
              <w:rPr>
                <w:color w:val="17242E"/>
                <w:sz w:val="15"/>
              </w:rPr>
              <w:t>Maximum adverse excursion</w:t>
            </w:r>
          </w:p>
        </w:tc>
        <w:tc>
          <w:tcPr>
            <w:tcW w:type="dxa" w:w="3960"/>
            <w:tcMar>
              <w:top w:w="80" w:type="dxa"/>
              <w:start w:w="105" w:type="dxa"/>
              <w:bottom w:w="80" w:type="dxa"/>
              <w:end w:w="105" w:type="dxa"/>
            </w:tcMar>
            <w:vAlign w:val="center"/>
            <w:shd w:fill="F4F7F9"/>
          </w:tcPr>
          <w:p>
            <w:pPr>
              <w:spacing w:after="0" w:line="240" w:lineRule="auto"/>
            </w:pPr>
            <w:r>
              <w:rPr>
                <w:color w:val="17242E"/>
                <w:sz w:val="15"/>
              </w:rPr>
              <w:t>largest discount during episode</w:t>
            </w:r>
          </w:p>
        </w:tc>
        <w:tc>
          <w:tcPr>
            <w:tcW w:type="dxa" w:w="3744"/>
            <w:tcMar>
              <w:top w:w="80" w:type="dxa"/>
              <w:start w:w="105" w:type="dxa"/>
              <w:bottom w:w="80" w:type="dxa"/>
              <w:end w:w="105" w:type="dxa"/>
            </w:tcMar>
            <w:vAlign w:val="center"/>
            <w:shd w:fill="F4F7F9"/>
          </w:tcPr>
          <w:p>
            <w:pPr>
              <w:spacing w:after="0" w:line="240" w:lineRule="auto"/>
            </w:pPr>
            <w:r>
              <w:rPr>
                <w:color w:val="17242E"/>
                <w:sz w:val="15"/>
              </w:rPr>
              <w:t>severity</w:t>
            </w:r>
          </w:p>
        </w:tc>
      </w:tr>
      <w:tr>
        <w:tc>
          <w:tcPr>
            <w:tcW w:type="dxa" w:w="2232"/>
            <w:tcMar>
              <w:top w:w="80" w:type="dxa"/>
              <w:start w:w="105" w:type="dxa"/>
              <w:bottom w:w="80" w:type="dxa"/>
              <w:end w:w="105" w:type="dxa"/>
            </w:tcMar>
            <w:vAlign w:val="center"/>
          </w:tcPr>
          <w:p>
            <w:pPr>
              <w:spacing w:after="0" w:line="240" w:lineRule="auto"/>
            </w:pPr>
            <w:r>
              <w:rPr>
                <w:color w:val="17242E"/>
                <w:sz w:val="15"/>
              </w:rPr>
              <w:t>Area under depeg</w:t>
            </w:r>
          </w:p>
        </w:tc>
        <w:tc>
          <w:tcPr>
            <w:tcW w:type="dxa" w:w="3960"/>
            <w:tcMar>
              <w:top w:w="80" w:type="dxa"/>
              <w:start w:w="105" w:type="dxa"/>
              <w:bottom w:w="80" w:type="dxa"/>
              <w:end w:w="105" w:type="dxa"/>
            </w:tcMar>
            <w:vAlign w:val="center"/>
          </w:tcPr>
          <w:p>
            <w:pPr>
              <w:spacing w:after="0" w:line="240" w:lineRule="auto"/>
            </w:pPr>
            <w:r>
              <w:rPr>
                <w:color w:val="17242E"/>
                <w:sz w:val="15"/>
              </w:rPr>
              <w:t>Σ |dₜ|Δt during episode</w:t>
            </w:r>
          </w:p>
        </w:tc>
        <w:tc>
          <w:tcPr>
            <w:tcW w:type="dxa" w:w="3744"/>
            <w:tcMar>
              <w:top w:w="80" w:type="dxa"/>
              <w:start w:w="105" w:type="dxa"/>
              <w:bottom w:w="80" w:type="dxa"/>
              <w:end w:w="105" w:type="dxa"/>
            </w:tcMar>
            <w:vAlign w:val="center"/>
          </w:tcPr>
          <w:p>
            <w:pPr>
              <w:spacing w:after="0" w:line="240" w:lineRule="auto"/>
            </w:pPr>
            <w:r>
              <w:rPr>
                <w:color w:val="17242E"/>
                <w:sz w:val="15"/>
              </w:rPr>
              <w:t>joint severity and duration</w:t>
            </w:r>
          </w:p>
        </w:tc>
      </w:tr>
      <w:tr>
        <w:tc>
          <w:tcPr>
            <w:tcW w:type="dxa" w:w="2232"/>
            <w:tcMar>
              <w:top w:w="80" w:type="dxa"/>
              <w:start w:w="105" w:type="dxa"/>
              <w:bottom w:w="80" w:type="dxa"/>
              <w:end w:w="105" w:type="dxa"/>
            </w:tcMar>
            <w:vAlign w:val="center"/>
            <w:shd w:fill="F4F7F9"/>
          </w:tcPr>
          <w:p>
            <w:pPr>
              <w:spacing w:after="0" w:line="240" w:lineRule="auto"/>
            </w:pPr>
            <w:r>
              <w:rPr>
                <w:color w:val="17242E"/>
                <w:sz w:val="15"/>
              </w:rPr>
              <w:t>Downside semivariance</w:t>
            </w:r>
          </w:p>
        </w:tc>
        <w:tc>
          <w:tcPr>
            <w:tcW w:type="dxa" w:w="3960"/>
            <w:tcMar>
              <w:top w:w="80" w:type="dxa"/>
              <w:start w:w="105" w:type="dxa"/>
              <w:bottom w:w="80" w:type="dxa"/>
              <w:end w:w="105" w:type="dxa"/>
            </w:tcMar>
            <w:vAlign w:val="center"/>
            <w:shd w:fill="F4F7F9"/>
          </w:tcPr>
          <w:p>
            <w:pPr>
              <w:spacing w:after="0" w:line="240" w:lineRule="auto"/>
            </w:pPr>
            <w:r>
              <w:rPr>
                <w:color w:val="17242E"/>
                <w:sz w:val="15"/>
              </w:rPr>
              <w:t>E[min(dₜ,0)²]</w:t>
            </w:r>
          </w:p>
        </w:tc>
        <w:tc>
          <w:tcPr>
            <w:tcW w:type="dxa" w:w="3744"/>
            <w:tcMar>
              <w:top w:w="80" w:type="dxa"/>
              <w:start w:w="105" w:type="dxa"/>
              <w:bottom w:w="80" w:type="dxa"/>
              <w:end w:w="105" w:type="dxa"/>
            </w:tcMar>
            <w:vAlign w:val="center"/>
            <w:shd w:fill="F4F7F9"/>
          </w:tcPr>
          <w:p>
            <w:pPr>
              <w:spacing w:after="0" w:line="240" w:lineRule="auto"/>
            </w:pPr>
            <w:r>
              <w:rPr>
                <w:color w:val="17242E"/>
                <w:sz w:val="15"/>
              </w:rPr>
              <w:t>focus on loss of par</w:t>
            </w:r>
          </w:p>
        </w:tc>
      </w:tr>
      <w:tr>
        <w:tc>
          <w:tcPr>
            <w:tcW w:type="dxa" w:w="2232"/>
            <w:tcMar>
              <w:top w:w="80" w:type="dxa"/>
              <w:start w:w="105" w:type="dxa"/>
              <w:bottom w:w="80" w:type="dxa"/>
              <w:end w:w="105" w:type="dxa"/>
            </w:tcMar>
            <w:vAlign w:val="center"/>
          </w:tcPr>
          <w:p>
            <w:pPr>
              <w:spacing w:after="0" w:line="240" w:lineRule="auto"/>
            </w:pPr>
            <w:r>
              <w:rPr>
                <w:color w:val="17242E"/>
                <w:sz w:val="15"/>
              </w:rPr>
              <w:t>Liquidity stress</w:t>
            </w:r>
          </w:p>
        </w:tc>
        <w:tc>
          <w:tcPr>
            <w:tcW w:type="dxa" w:w="3960"/>
            <w:tcMar>
              <w:top w:w="80" w:type="dxa"/>
              <w:start w:w="105" w:type="dxa"/>
              <w:bottom w:w="80" w:type="dxa"/>
              <w:end w:w="105" w:type="dxa"/>
            </w:tcMar>
            <w:vAlign w:val="center"/>
          </w:tcPr>
          <w:p>
            <w:pPr>
              <w:spacing w:after="0" w:line="240" w:lineRule="auto"/>
            </w:pPr>
            <w:r>
              <w:rPr>
                <w:color w:val="17242E"/>
                <w:sz w:val="15"/>
              </w:rPr>
              <w:t>spread, depth, price impact, volume imbalance</w:t>
            </w:r>
          </w:p>
        </w:tc>
        <w:tc>
          <w:tcPr>
            <w:tcW w:type="dxa" w:w="3744"/>
            <w:tcMar>
              <w:top w:w="80" w:type="dxa"/>
              <w:start w:w="105" w:type="dxa"/>
              <w:bottom w:w="80" w:type="dxa"/>
              <w:end w:w="105" w:type="dxa"/>
            </w:tcMar>
            <w:vAlign w:val="center"/>
          </w:tcPr>
          <w:p>
            <w:pPr>
              <w:spacing w:after="0" w:line="240" w:lineRule="auto"/>
            </w:pPr>
            <w:r>
              <w:rPr>
                <w:color w:val="17242E"/>
                <w:sz w:val="15"/>
              </w:rPr>
              <w:t>distinguish price signal from market impairment</w:t>
            </w:r>
          </w:p>
        </w:tc>
      </w:tr>
    </w:tbl>
    <w:p>
      <w:pPr>
        <w:spacing w:after="20"/>
      </w:pPr>
    </w:p>
    <w:p>
      <w:pPr>
        <w:pStyle w:val="Heading2"/>
      </w:pPr>
      <w:r>
        <w:rPr>
          <w:b w:val="0"/>
          <w:i w:val="0"/>
        </w:rPr>
        <w:t>Baseline event rule</w:t>
      </w:r>
    </w:p>
    <w:tbl>
      <w:tblPr>
        <w:tblW w:type="auto" w:w="0"/>
        <w:tblLayout w:type="fixed"/>
        <w:tblLook w:firstColumn="1" w:firstRow="1" w:lastColumn="0" w:lastRow="0" w:noHBand="0" w:noVBand="1" w:val="04A0"/>
      </w:tblPr>
      <w:tblGrid>
        <w:gridCol w:w="9648"/>
      </w:tblGrid>
      <w:tr>
        <w:tc>
          <w:tcPr>
            <w:tcW w:type="dxa" w:w="9878"/>
            <w:shd w:fill="EAF1F5"/>
            <w:tcMar>
              <w:top w:w="130" w:type="dxa"/>
              <w:start w:w="170" w:type="dxa"/>
              <w:bottom w:w="130" w:type="dxa"/>
              <w:end w:w="170" w:type="dxa"/>
            </w:tcMar>
          </w:tcPr>
          <w:p>
            <w:pPr>
              <w:spacing w:after="0"/>
            </w:pPr>
            <w:r>
              <w:rPr>
                <w:b/>
                <w:color w:val="167D7F"/>
              </w:rPr>
              <w:t xml:space="preserve">Primary definition  </w:t>
            </w:r>
            <w:r>
              <w:t>A 50-bps depeg begins after three consecutive 5-minute composite observations outside ±50 bps, following at least one hour inside ±25 bps. Recovery requires twelve consecutive 5-minute observations inside ±25 bps. Daily panels use closing/median breach and episode carry-forward. Thresholds are robustness variants.</w:t>
            </w:r>
          </w:p>
        </w:tc>
      </w:tr>
    </w:tbl>
    <w:p>
      <w:pPr>
        <w:spacing w:after="20"/>
      </w:pPr>
    </w:p>
    <w:p>
      <w:pPr>
        <w:pStyle w:val="Heading2"/>
      </w:pPr>
      <w:r>
        <w:rPr>
          <w:b w:val="0"/>
          <w:i w:val="0"/>
        </w:rPr>
        <w:t>Depeg-risk models</w:t>
      </w:r>
    </w:p>
    <w:p>
      <w:pPr>
        <w:spacing w:before="80" w:after="140"/>
        <w:jc w:val="center"/>
      </w:pPr>
      <w:r>
        <w:rPr>
          <w:rFonts w:ascii="Cambria Math" w:hAnsi="Cambria Math"/>
          <w:i/>
          <w:color w:val="183A5A"/>
          <w:sz w:val="21"/>
        </w:rPr>
        <w:t>Pr(Breachᵢₜ=1)=logit⁻¹(αᵢ+γₜ+β₁ReserveQualityᵢ,ₜ₋₁+β₂Frictionᵢ,ₜ₋₁+β₃Liquidityᵢ,ₜ₋₁+β₄Stressₜ+β₅Friction×Stress)</w:t>
      </w:r>
    </w:p>
    <w:p>
      <w:pPr>
        <w:spacing w:before="80" w:after="140"/>
        <w:jc w:val="center"/>
      </w:pPr>
      <w:r>
        <w:rPr>
          <w:rFonts w:ascii="Cambria Math" w:hAnsi="Cambria Math"/>
          <w:i/>
          <w:color w:val="183A5A"/>
          <w:sz w:val="21"/>
        </w:rPr>
        <w:t>hᵢ(τ|X)=h₀(τ)exp(Xβ)  for onset or recovery hazards; cluster by asset and episode</w:t>
      </w:r>
    </w:p>
    <w:p>
      <w:pPr>
        <w:pStyle w:val="ListBullet"/>
      </w:pPr>
      <w:r>
        <w:rPr>
          <w:b w:val="0"/>
          <w:i w:val="0"/>
        </w:rPr>
        <w:t>Use two-way fixed effects where variation permits; correlated random effects or between estimators for slow-moving designs.</w:t>
      </w:r>
    </w:p>
    <w:p>
      <w:pPr>
        <w:pStyle w:val="ListBullet"/>
      </w:pPr>
      <w:r>
        <w:rPr>
          <w:b w:val="0"/>
          <w:i w:val="0"/>
        </w:rPr>
        <w:t>For major shocks (SVB/USDC, Terra, custody/exchange failures), use event studies with clearly defined information times.</w:t>
      </w:r>
    </w:p>
    <w:p>
      <w:pPr>
        <w:pStyle w:val="ListBullet"/>
      </w:pPr>
      <w:r>
        <w:rPr>
          <w:b w:val="0"/>
          <w:i w:val="0"/>
        </w:rPr>
        <w:t>Competing-risk labels distinguish issuer/reserve, collateral, protocol/oracle, venue liquidity, regulatory, and market-wide events.</w:t>
      </w:r>
    </w:p>
    <w:p>
      <w:pPr>
        <w:pStyle w:val="ListBullet"/>
      </w:pPr>
      <w:r>
        <w:rPr>
          <w:b w:val="0"/>
          <w:i w:val="0"/>
        </w:rPr>
        <w:t>Validate composite prices against issuer mint/redeem data where available and triangulate vendors.</w:t>
      </w:r>
    </w:p>
    <w:p>
      <w:pPr>
        <w:pStyle w:val="Heading1"/>
      </w:pPr>
      <w:r>
        <w:rPr>
          <w:b w:val="0"/>
          <w:i w:val="0"/>
        </w:rPr>
        <w:t>12. Phase 2 data-source plan</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656"/>
            <w:shd w:fill="183A5A"/>
            <w:tcMar>
              <w:top w:w="80" w:type="dxa"/>
              <w:start w:w="105" w:type="dxa"/>
              <w:bottom w:w="80" w:type="dxa"/>
              <w:end w:w="105" w:type="dxa"/>
            </w:tcMar>
            <w:vAlign w:val="center"/>
          </w:tcPr>
          <w:p>
            <w:pPr>
              <w:spacing w:after="0"/>
            </w:pPr>
            <w:r>
              <w:rPr>
                <w:b/>
                <w:color w:val="FFFFFF"/>
                <w:sz w:val="13"/>
              </w:rPr>
              <w:t>Data domain</w:t>
            </w:r>
          </w:p>
        </w:tc>
        <w:tc>
          <w:tcPr>
            <w:tcW w:type="dxa" w:w="2376"/>
            <w:shd w:fill="183A5A"/>
            <w:tcMar>
              <w:top w:w="80" w:type="dxa"/>
              <w:start w:w="105" w:type="dxa"/>
              <w:bottom w:w="80" w:type="dxa"/>
              <w:end w:w="105" w:type="dxa"/>
            </w:tcMar>
            <w:vAlign w:val="center"/>
          </w:tcPr>
          <w:p>
            <w:pPr>
              <w:spacing w:after="0"/>
            </w:pPr>
            <w:r>
              <w:rPr>
                <w:b/>
                <w:color w:val="FFFFFF"/>
                <w:sz w:val="13"/>
              </w:rPr>
              <w:t>Preferred source class</w:t>
            </w:r>
          </w:p>
        </w:tc>
        <w:tc>
          <w:tcPr>
            <w:tcW w:type="dxa" w:w="936"/>
            <w:shd w:fill="183A5A"/>
            <w:tcMar>
              <w:top w:w="80" w:type="dxa"/>
              <w:start w:w="105" w:type="dxa"/>
              <w:bottom w:w="80" w:type="dxa"/>
              <w:end w:w="105" w:type="dxa"/>
            </w:tcMar>
            <w:vAlign w:val="center"/>
          </w:tcPr>
          <w:p>
            <w:pPr>
              <w:spacing w:after="0"/>
            </w:pPr>
            <w:r>
              <w:rPr>
                <w:b/>
                <w:color w:val="FFFFFF"/>
                <w:sz w:val="13"/>
              </w:rPr>
              <w:t>Frequency</w:t>
            </w:r>
          </w:p>
        </w:tc>
        <w:tc>
          <w:tcPr>
            <w:tcW w:type="dxa" w:w="2448"/>
            <w:shd w:fill="183A5A"/>
            <w:tcMar>
              <w:top w:w="80" w:type="dxa"/>
              <w:start w:w="105" w:type="dxa"/>
              <w:bottom w:w="80" w:type="dxa"/>
              <w:end w:w="105" w:type="dxa"/>
            </w:tcMar>
            <w:vAlign w:val="center"/>
          </w:tcPr>
          <w:p>
            <w:pPr>
              <w:spacing w:after="0"/>
            </w:pPr>
            <w:r>
              <w:rPr>
                <w:b/>
                <w:color w:val="FFFFFF"/>
                <w:sz w:val="13"/>
              </w:rPr>
              <w:t>Fields / use</w:t>
            </w:r>
          </w:p>
        </w:tc>
        <w:tc>
          <w:tcPr>
            <w:tcW w:type="dxa" w:w="2376"/>
            <w:shd w:fill="183A5A"/>
            <w:tcMar>
              <w:top w:w="80" w:type="dxa"/>
              <w:start w:w="105" w:type="dxa"/>
              <w:bottom w:w="80" w:type="dxa"/>
              <w:end w:w="105" w:type="dxa"/>
            </w:tcMar>
            <w:vAlign w:val="center"/>
          </w:tcPr>
          <w:p>
            <w:pPr>
              <w:spacing w:after="0"/>
            </w:pPr>
            <w:r>
              <w:rPr>
                <w:b/>
                <w:color w:val="FFFFFF"/>
                <w:sz w:val="13"/>
              </w:rPr>
              <w:t>Risks &amp; controls</w:t>
            </w:r>
          </w:p>
        </w:tc>
      </w:tr>
      <w:tr>
        <w:tc>
          <w:tcPr>
            <w:tcW w:type="dxa" w:w="1656"/>
            <w:tcMar>
              <w:top w:w="80" w:type="dxa"/>
              <w:start w:w="105" w:type="dxa"/>
              <w:bottom w:w="80" w:type="dxa"/>
              <w:end w:w="105" w:type="dxa"/>
            </w:tcMar>
            <w:vAlign w:val="center"/>
          </w:tcPr>
          <w:p>
            <w:pPr>
              <w:spacing w:after="0" w:line="240" w:lineRule="auto"/>
            </w:pPr>
            <w:r>
              <w:rPr>
                <w:color w:val="17242E"/>
                <w:sz w:val="13"/>
              </w:rPr>
              <w:t>Prices, market cap, supply</w:t>
            </w:r>
          </w:p>
        </w:tc>
        <w:tc>
          <w:tcPr>
            <w:tcW w:type="dxa" w:w="2376"/>
            <w:tcMar>
              <w:top w:w="80" w:type="dxa"/>
              <w:start w:w="105" w:type="dxa"/>
              <w:bottom w:w="80" w:type="dxa"/>
              <w:end w:w="105" w:type="dxa"/>
            </w:tcMar>
            <w:vAlign w:val="center"/>
          </w:tcPr>
          <w:p>
            <w:pPr>
              <w:spacing w:after="0" w:line="240" w:lineRule="auto"/>
            </w:pPr>
            <w:r>
              <w:rPr>
                <w:color w:val="17242E"/>
                <w:sz w:val="13"/>
              </w:rPr>
              <w:t>CoinGecko or licensed institutional vendor; exchange APIs for intraday</w:t>
            </w:r>
          </w:p>
        </w:tc>
        <w:tc>
          <w:tcPr>
            <w:tcW w:type="dxa" w:w="936"/>
            <w:tcMar>
              <w:top w:w="80" w:type="dxa"/>
              <w:start w:w="105" w:type="dxa"/>
              <w:bottom w:w="80" w:type="dxa"/>
              <w:end w:w="105" w:type="dxa"/>
            </w:tcMar>
            <w:vAlign w:val="center"/>
          </w:tcPr>
          <w:p>
            <w:pPr>
              <w:spacing w:after="0" w:line="240" w:lineRule="auto"/>
            </w:pPr>
            <w:r>
              <w:rPr>
                <w:color w:val="17242E"/>
                <w:sz w:val="13"/>
              </w:rPr>
              <w:t>5-min/daily</w:t>
            </w:r>
          </w:p>
        </w:tc>
        <w:tc>
          <w:tcPr>
            <w:tcW w:type="dxa" w:w="2448"/>
            <w:tcMar>
              <w:top w:w="80" w:type="dxa"/>
              <w:start w:w="105" w:type="dxa"/>
              <w:bottom w:w="80" w:type="dxa"/>
              <w:end w:w="105" w:type="dxa"/>
            </w:tcMar>
            <w:vAlign w:val="center"/>
          </w:tcPr>
          <w:p>
            <w:pPr>
              <w:spacing w:after="0" w:line="240" w:lineRule="auto"/>
            </w:pPr>
            <w:r>
              <w:rPr>
                <w:color w:val="17242E"/>
                <w:sz w:val="13"/>
              </w:rPr>
              <w:t>price, cap, volume, supply, venue quotes</w:t>
            </w:r>
          </w:p>
        </w:tc>
        <w:tc>
          <w:tcPr>
            <w:tcW w:type="dxa" w:w="2376"/>
            <w:tcMar>
              <w:top w:w="80" w:type="dxa"/>
              <w:start w:w="105" w:type="dxa"/>
              <w:bottom w:w="80" w:type="dxa"/>
              <w:end w:w="105" w:type="dxa"/>
            </w:tcMar>
            <w:vAlign w:val="center"/>
          </w:tcPr>
          <w:p>
            <w:pPr>
              <w:spacing w:after="0" w:line="240" w:lineRule="auto"/>
            </w:pPr>
            <w:r>
              <w:rPr>
                <w:color w:val="17242E"/>
                <w:sz w:val="13"/>
              </w:rPr>
              <w:t>vendor methodology; stale/false volume; triangulate and snapshot</w:t>
            </w:r>
          </w:p>
        </w:tc>
      </w:tr>
      <w:tr>
        <w:tc>
          <w:tcPr>
            <w:tcW w:type="dxa" w:w="1656"/>
            <w:tcMar>
              <w:top w:w="80" w:type="dxa"/>
              <w:start w:w="105" w:type="dxa"/>
              <w:bottom w:w="80" w:type="dxa"/>
              <w:end w:w="105" w:type="dxa"/>
            </w:tcMar>
            <w:vAlign w:val="center"/>
            <w:shd w:fill="F4F7F9"/>
          </w:tcPr>
          <w:p>
            <w:pPr>
              <w:spacing w:after="0" w:line="240" w:lineRule="auto"/>
            </w:pPr>
            <w:r>
              <w:rPr>
                <w:color w:val="17242E"/>
                <w:sz w:val="13"/>
              </w:rPr>
              <w:t>DeFi/protocol economics</w:t>
            </w:r>
          </w:p>
        </w:tc>
        <w:tc>
          <w:tcPr>
            <w:tcW w:type="dxa" w:w="2376"/>
            <w:tcMar>
              <w:top w:w="80" w:type="dxa"/>
              <w:start w:w="105" w:type="dxa"/>
              <w:bottom w:w="80" w:type="dxa"/>
              <w:end w:w="105" w:type="dxa"/>
            </w:tcMar>
            <w:vAlign w:val="center"/>
            <w:shd w:fill="F4F7F9"/>
          </w:tcPr>
          <w:p>
            <w:pPr>
              <w:spacing w:after="0" w:line="240" w:lineRule="auto"/>
            </w:pPr>
            <w:r>
              <w:rPr>
                <w:color w:val="17242E"/>
                <w:sz w:val="13"/>
              </w:rPr>
              <w:t>DeFiLlama APIs/exports plus protocol dashboards</w:t>
            </w:r>
          </w:p>
        </w:tc>
        <w:tc>
          <w:tcPr>
            <w:tcW w:type="dxa" w:w="936"/>
            <w:tcMar>
              <w:top w:w="80" w:type="dxa"/>
              <w:start w:w="105" w:type="dxa"/>
              <w:bottom w:w="80" w:type="dxa"/>
              <w:end w:w="105" w:type="dxa"/>
            </w:tcMar>
            <w:vAlign w:val="center"/>
            <w:shd w:fill="F4F7F9"/>
          </w:tcPr>
          <w:p>
            <w:pPr>
              <w:spacing w:after="0" w:line="240" w:lineRule="auto"/>
            </w:pPr>
            <w:r>
              <w:rPr>
                <w:color w:val="17242E"/>
                <w:sz w:val="13"/>
              </w:rPr>
              <w:t>daily</w:t>
            </w:r>
          </w:p>
        </w:tc>
        <w:tc>
          <w:tcPr>
            <w:tcW w:type="dxa" w:w="2448"/>
            <w:tcMar>
              <w:top w:w="80" w:type="dxa"/>
              <w:start w:w="105" w:type="dxa"/>
              <w:bottom w:w="80" w:type="dxa"/>
              <w:end w:w="105" w:type="dxa"/>
            </w:tcMar>
            <w:vAlign w:val="center"/>
            <w:shd w:fill="F4F7F9"/>
          </w:tcPr>
          <w:p>
            <w:pPr>
              <w:spacing w:after="0" w:line="240" w:lineRule="auto"/>
            </w:pPr>
            <w:r>
              <w:rPr>
                <w:color w:val="17242E"/>
                <w:sz w:val="13"/>
              </w:rPr>
              <w:t>TVL, fees, revenue, holder revenue, incentives, stablecoin supply</w:t>
            </w:r>
          </w:p>
        </w:tc>
        <w:tc>
          <w:tcPr>
            <w:tcW w:type="dxa" w:w="2376"/>
            <w:tcMar>
              <w:top w:w="80" w:type="dxa"/>
              <w:start w:w="105" w:type="dxa"/>
              <w:bottom w:w="80" w:type="dxa"/>
              <w:end w:w="105" w:type="dxa"/>
            </w:tcMar>
            <w:vAlign w:val="center"/>
            <w:shd w:fill="F4F7F9"/>
          </w:tcPr>
          <w:p>
            <w:pPr>
              <w:spacing w:after="0" w:line="240" w:lineRule="auto"/>
            </w:pPr>
            <w:r>
              <w:rPr>
                <w:color w:val="17242E"/>
                <w:sz w:val="13"/>
              </w:rPr>
              <w:t>definition drift; store metric definition/version</w:t>
            </w:r>
          </w:p>
        </w:tc>
      </w:tr>
      <w:tr>
        <w:tc>
          <w:tcPr>
            <w:tcW w:type="dxa" w:w="1656"/>
            <w:tcMar>
              <w:top w:w="80" w:type="dxa"/>
              <w:start w:w="105" w:type="dxa"/>
              <w:bottom w:w="80" w:type="dxa"/>
              <w:end w:w="105" w:type="dxa"/>
            </w:tcMar>
            <w:vAlign w:val="center"/>
          </w:tcPr>
          <w:p>
            <w:pPr>
              <w:spacing w:after="0" w:line="240" w:lineRule="auto"/>
            </w:pPr>
            <w:r>
              <w:rPr>
                <w:color w:val="17242E"/>
                <w:sz w:val="13"/>
              </w:rPr>
              <w:t>On-chain network</w:t>
            </w:r>
          </w:p>
        </w:tc>
        <w:tc>
          <w:tcPr>
            <w:tcW w:type="dxa" w:w="2376"/>
            <w:tcMar>
              <w:top w:w="80" w:type="dxa"/>
              <w:start w:w="105" w:type="dxa"/>
              <w:bottom w:w="80" w:type="dxa"/>
              <w:end w:w="105" w:type="dxa"/>
            </w:tcMar>
            <w:vAlign w:val="center"/>
          </w:tcPr>
          <w:p>
            <w:pPr>
              <w:spacing w:after="0" w:line="240" w:lineRule="auto"/>
            </w:pPr>
            <w:r>
              <w:rPr>
                <w:color w:val="17242E"/>
                <w:sz w:val="13"/>
              </w:rPr>
              <w:t>native nodes/indexers, Dune/Flipside/Token Terminal as available</w:t>
            </w:r>
          </w:p>
        </w:tc>
        <w:tc>
          <w:tcPr>
            <w:tcW w:type="dxa" w:w="936"/>
            <w:tcMar>
              <w:top w:w="80" w:type="dxa"/>
              <w:start w:w="105" w:type="dxa"/>
              <w:bottom w:w="80" w:type="dxa"/>
              <w:end w:w="105" w:type="dxa"/>
            </w:tcMar>
            <w:vAlign w:val="center"/>
          </w:tcPr>
          <w:p>
            <w:pPr>
              <w:spacing w:after="0" w:line="240" w:lineRule="auto"/>
            </w:pPr>
            <w:r>
              <w:rPr>
                <w:color w:val="17242E"/>
                <w:sz w:val="13"/>
              </w:rPr>
              <w:t>daily/weekly</w:t>
            </w:r>
          </w:p>
        </w:tc>
        <w:tc>
          <w:tcPr>
            <w:tcW w:type="dxa" w:w="2448"/>
            <w:tcMar>
              <w:top w:w="80" w:type="dxa"/>
              <w:start w:w="105" w:type="dxa"/>
              <w:bottom w:w="80" w:type="dxa"/>
              <w:end w:w="105" w:type="dxa"/>
            </w:tcMar>
            <w:vAlign w:val="center"/>
          </w:tcPr>
          <w:p>
            <w:pPr>
              <w:spacing w:after="0" w:line="240" w:lineRule="auto"/>
            </w:pPr>
            <w:r>
              <w:rPr>
                <w:color w:val="17242E"/>
                <w:sz w:val="13"/>
              </w:rPr>
              <w:t>addresses, tx, fees, flows, staking, validators</w:t>
            </w:r>
          </w:p>
        </w:tc>
        <w:tc>
          <w:tcPr>
            <w:tcW w:type="dxa" w:w="2376"/>
            <w:tcMar>
              <w:top w:w="80" w:type="dxa"/>
              <w:start w:w="105" w:type="dxa"/>
              <w:bottom w:w="80" w:type="dxa"/>
              <w:end w:w="105" w:type="dxa"/>
            </w:tcMar>
            <w:vAlign w:val="center"/>
          </w:tcPr>
          <w:p>
            <w:pPr>
              <w:spacing w:after="0" w:line="240" w:lineRule="auto"/>
            </w:pPr>
            <w:r>
              <w:rPr>
                <w:color w:val="17242E"/>
                <w:sz w:val="13"/>
              </w:rPr>
              <w:t>sybil/bot/internal transfers; chain-specific cleaning</w:t>
            </w:r>
          </w:p>
        </w:tc>
      </w:tr>
      <w:tr>
        <w:tc>
          <w:tcPr>
            <w:tcW w:type="dxa" w:w="1656"/>
            <w:tcMar>
              <w:top w:w="80" w:type="dxa"/>
              <w:start w:w="105" w:type="dxa"/>
              <w:bottom w:w="80" w:type="dxa"/>
              <w:end w:w="105" w:type="dxa"/>
            </w:tcMar>
            <w:vAlign w:val="center"/>
            <w:shd w:fill="F4F7F9"/>
          </w:tcPr>
          <w:p>
            <w:pPr>
              <w:spacing w:after="0" w:line="240" w:lineRule="auto"/>
            </w:pPr>
            <w:r>
              <w:rPr>
                <w:color w:val="17242E"/>
                <w:sz w:val="13"/>
              </w:rPr>
              <w:t>Supply/unlocks</w:t>
            </w:r>
          </w:p>
        </w:tc>
        <w:tc>
          <w:tcPr>
            <w:tcW w:type="dxa" w:w="2376"/>
            <w:tcMar>
              <w:top w:w="80" w:type="dxa"/>
              <w:start w:w="105" w:type="dxa"/>
              <w:bottom w:w="80" w:type="dxa"/>
              <w:end w:w="105" w:type="dxa"/>
            </w:tcMar>
            <w:vAlign w:val="center"/>
            <w:shd w:fill="F4F7F9"/>
          </w:tcPr>
          <w:p>
            <w:pPr>
              <w:spacing w:after="0" w:line="240" w:lineRule="auto"/>
            </w:pPr>
            <w:r>
              <w:rPr>
                <w:color w:val="17242E"/>
                <w:sz w:val="13"/>
              </w:rPr>
              <w:t>protocol contracts/docs, Tokenomist or equivalent</w:t>
            </w:r>
          </w:p>
        </w:tc>
        <w:tc>
          <w:tcPr>
            <w:tcW w:type="dxa" w:w="936"/>
            <w:tcMar>
              <w:top w:w="80" w:type="dxa"/>
              <w:start w:w="105" w:type="dxa"/>
              <w:bottom w:w="80" w:type="dxa"/>
              <w:end w:w="105" w:type="dxa"/>
            </w:tcMar>
            <w:vAlign w:val="center"/>
            <w:shd w:fill="F4F7F9"/>
          </w:tcPr>
          <w:p>
            <w:pPr>
              <w:spacing w:after="0" w:line="240" w:lineRule="auto"/>
            </w:pPr>
            <w:r>
              <w:rPr>
                <w:color w:val="17242E"/>
                <w:sz w:val="13"/>
              </w:rPr>
              <w:t>daily/event</w:t>
            </w:r>
          </w:p>
        </w:tc>
        <w:tc>
          <w:tcPr>
            <w:tcW w:type="dxa" w:w="2448"/>
            <w:tcMar>
              <w:top w:w="80" w:type="dxa"/>
              <w:start w:w="105" w:type="dxa"/>
              <w:bottom w:w="80" w:type="dxa"/>
              <w:end w:w="105" w:type="dxa"/>
            </w:tcMar>
            <w:vAlign w:val="center"/>
            <w:shd w:fill="F4F7F9"/>
          </w:tcPr>
          <w:p>
            <w:pPr>
              <w:spacing w:after="0" w:line="240" w:lineRule="auto"/>
            </w:pPr>
            <w:r>
              <w:rPr>
                <w:color w:val="17242E"/>
                <w:sz w:val="13"/>
              </w:rPr>
              <w:t>issuance, burn, unlocks, circulating/FDV</w:t>
            </w:r>
          </w:p>
        </w:tc>
        <w:tc>
          <w:tcPr>
            <w:tcW w:type="dxa" w:w="2376"/>
            <w:tcMar>
              <w:top w:w="80" w:type="dxa"/>
              <w:start w:w="105" w:type="dxa"/>
              <w:bottom w:w="80" w:type="dxa"/>
              <w:end w:w="105" w:type="dxa"/>
            </w:tcMar>
            <w:vAlign w:val="center"/>
            <w:shd w:fill="F4F7F9"/>
          </w:tcPr>
          <w:p>
            <w:pPr>
              <w:spacing w:after="0" w:line="240" w:lineRule="auto"/>
            </w:pPr>
            <w:r>
              <w:rPr>
                <w:color w:val="17242E"/>
                <w:sz w:val="13"/>
              </w:rPr>
              <w:t>revisions and vesting ambiguity</w:t>
            </w:r>
          </w:p>
        </w:tc>
      </w:tr>
      <w:tr>
        <w:tc>
          <w:tcPr>
            <w:tcW w:type="dxa" w:w="1656"/>
            <w:tcMar>
              <w:top w:w="80" w:type="dxa"/>
              <w:start w:w="105" w:type="dxa"/>
              <w:bottom w:w="80" w:type="dxa"/>
              <w:end w:w="105" w:type="dxa"/>
            </w:tcMar>
            <w:vAlign w:val="center"/>
          </w:tcPr>
          <w:p>
            <w:pPr>
              <w:spacing w:after="0" w:line="240" w:lineRule="auto"/>
            </w:pPr>
            <w:r>
              <w:rPr>
                <w:color w:val="17242E"/>
                <w:sz w:val="13"/>
              </w:rPr>
              <w:t>Stablecoin reserves</w:t>
            </w:r>
          </w:p>
        </w:tc>
        <w:tc>
          <w:tcPr>
            <w:tcW w:type="dxa" w:w="2376"/>
            <w:tcMar>
              <w:top w:w="80" w:type="dxa"/>
              <w:start w:w="105" w:type="dxa"/>
              <w:bottom w:w="80" w:type="dxa"/>
              <w:end w:w="105" w:type="dxa"/>
            </w:tcMar>
            <w:vAlign w:val="center"/>
          </w:tcPr>
          <w:p>
            <w:pPr>
              <w:spacing w:after="0" w:line="240" w:lineRule="auto"/>
            </w:pPr>
            <w:r>
              <w:rPr>
                <w:color w:val="17242E"/>
                <w:sz w:val="13"/>
              </w:rPr>
              <w:t>issuer reports, attestations/audits, regulator filings</w:t>
            </w:r>
          </w:p>
        </w:tc>
        <w:tc>
          <w:tcPr>
            <w:tcW w:type="dxa" w:w="936"/>
            <w:tcMar>
              <w:top w:w="80" w:type="dxa"/>
              <w:start w:w="105" w:type="dxa"/>
              <w:bottom w:w="80" w:type="dxa"/>
              <w:end w:w="105" w:type="dxa"/>
            </w:tcMar>
            <w:vAlign w:val="center"/>
          </w:tcPr>
          <w:p>
            <w:pPr>
              <w:spacing w:after="0" w:line="240" w:lineRule="auto"/>
            </w:pPr>
            <w:r>
              <w:rPr>
                <w:color w:val="17242E"/>
                <w:sz w:val="13"/>
              </w:rPr>
              <w:t>report date</w:t>
            </w:r>
          </w:p>
        </w:tc>
        <w:tc>
          <w:tcPr>
            <w:tcW w:type="dxa" w:w="2448"/>
            <w:tcMar>
              <w:top w:w="80" w:type="dxa"/>
              <w:start w:w="105" w:type="dxa"/>
              <w:bottom w:w="80" w:type="dxa"/>
              <w:end w:w="105" w:type="dxa"/>
            </w:tcMar>
            <w:vAlign w:val="center"/>
          </w:tcPr>
          <w:p>
            <w:pPr>
              <w:spacing w:after="0" w:line="240" w:lineRule="auto"/>
            </w:pPr>
            <w:r>
              <w:rPr>
                <w:color w:val="17242E"/>
                <w:sz w:val="13"/>
              </w:rPr>
              <w:t>asset weights, liabilities, custodians, assurance</w:t>
            </w:r>
          </w:p>
        </w:tc>
        <w:tc>
          <w:tcPr>
            <w:tcW w:type="dxa" w:w="2376"/>
            <w:tcMar>
              <w:top w:w="80" w:type="dxa"/>
              <w:start w:w="105" w:type="dxa"/>
              <w:bottom w:w="80" w:type="dxa"/>
              <w:end w:w="105" w:type="dxa"/>
            </w:tcMar>
            <w:vAlign w:val="center"/>
          </w:tcPr>
          <w:p>
            <w:pPr>
              <w:spacing w:after="0" w:line="240" w:lineRule="auto"/>
            </w:pPr>
            <w:r>
              <w:rPr>
                <w:color w:val="17242E"/>
                <w:sz w:val="13"/>
              </w:rPr>
              <w:t>publication lag; effective-date and known-at date both stored</w:t>
            </w:r>
          </w:p>
        </w:tc>
      </w:tr>
      <w:tr>
        <w:tc>
          <w:tcPr>
            <w:tcW w:type="dxa" w:w="1656"/>
            <w:tcMar>
              <w:top w:w="80" w:type="dxa"/>
              <w:start w:w="105" w:type="dxa"/>
              <w:bottom w:w="80" w:type="dxa"/>
              <w:end w:w="105" w:type="dxa"/>
            </w:tcMar>
            <w:vAlign w:val="center"/>
            <w:shd w:fill="F4F7F9"/>
          </w:tcPr>
          <w:p>
            <w:pPr>
              <w:spacing w:after="0" w:line="240" w:lineRule="auto"/>
            </w:pPr>
            <w:r>
              <w:rPr>
                <w:color w:val="17242E"/>
                <w:sz w:val="13"/>
              </w:rPr>
              <w:t>Redemption terms</w:t>
            </w:r>
          </w:p>
        </w:tc>
        <w:tc>
          <w:tcPr>
            <w:tcW w:type="dxa" w:w="2376"/>
            <w:tcMar>
              <w:top w:w="80" w:type="dxa"/>
              <w:start w:w="105" w:type="dxa"/>
              <w:bottom w:w="80" w:type="dxa"/>
              <w:end w:w="105" w:type="dxa"/>
            </w:tcMar>
            <w:vAlign w:val="center"/>
            <w:shd w:fill="F4F7F9"/>
          </w:tcPr>
          <w:p>
            <w:pPr>
              <w:spacing w:after="0" w:line="240" w:lineRule="auto"/>
            </w:pPr>
            <w:r>
              <w:rPr>
                <w:color w:val="17242E"/>
                <w:sz w:val="13"/>
              </w:rPr>
              <w:t>issuer terms/APIs/help centers; protocol contracts/docs</w:t>
            </w:r>
          </w:p>
        </w:tc>
        <w:tc>
          <w:tcPr>
            <w:tcW w:type="dxa" w:w="936"/>
            <w:tcMar>
              <w:top w:w="80" w:type="dxa"/>
              <w:start w:w="105" w:type="dxa"/>
              <w:bottom w:w="80" w:type="dxa"/>
              <w:end w:w="105" w:type="dxa"/>
            </w:tcMar>
            <w:vAlign w:val="center"/>
            <w:shd w:fill="F4F7F9"/>
          </w:tcPr>
          <w:p>
            <w:pPr>
              <w:spacing w:after="0" w:line="240" w:lineRule="auto"/>
            </w:pPr>
            <w:r>
              <w:rPr>
                <w:color w:val="17242E"/>
                <w:sz w:val="13"/>
              </w:rPr>
              <w:t>event-sourced</w:t>
            </w:r>
          </w:p>
        </w:tc>
        <w:tc>
          <w:tcPr>
            <w:tcW w:type="dxa" w:w="2448"/>
            <w:tcMar>
              <w:top w:w="80" w:type="dxa"/>
              <w:start w:w="105" w:type="dxa"/>
              <w:bottom w:w="80" w:type="dxa"/>
              <w:end w:w="105" w:type="dxa"/>
            </w:tcMar>
            <w:vAlign w:val="center"/>
            <w:shd w:fill="F4F7F9"/>
          </w:tcPr>
          <w:p>
            <w:pPr>
              <w:spacing w:after="0" w:line="240" w:lineRule="auto"/>
            </w:pPr>
            <w:r>
              <w:rPr>
                <w:color w:val="17242E"/>
                <w:sz w:val="13"/>
              </w:rPr>
              <w:t>eligibility, min, fee, timing, gates</w:t>
            </w:r>
          </w:p>
        </w:tc>
        <w:tc>
          <w:tcPr>
            <w:tcW w:type="dxa" w:w="2376"/>
            <w:tcMar>
              <w:top w:w="80" w:type="dxa"/>
              <w:start w:w="105" w:type="dxa"/>
              <w:bottom w:w="80" w:type="dxa"/>
              <w:end w:w="105" w:type="dxa"/>
            </w:tcMar>
            <w:vAlign w:val="center"/>
            <w:shd w:fill="F4F7F9"/>
          </w:tcPr>
          <w:p>
            <w:pPr>
              <w:spacing w:after="0" w:line="240" w:lineRule="auto"/>
            </w:pPr>
            <w:r>
              <w:rPr>
                <w:color w:val="17242E"/>
                <w:sz w:val="13"/>
              </w:rPr>
              <w:t>terms change; archive snapshots</w:t>
            </w:r>
          </w:p>
        </w:tc>
      </w:tr>
      <w:tr>
        <w:tc>
          <w:tcPr>
            <w:tcW w:type="dxa" w:w="1656"/>
            <w:tcMar>
              <w:top w:w="80" w:type="dxa"/>
              <w:start w:w="105" w:type="dxa"/>
              <w:bottom w:w="80" w:type="dxa"/>
              <w:end w:w="105" w:type="dxa"/>
            </w:tcMar>
            <w:vAlign w:val="center"/>
          </w:tcPr>
          <w:p>
            <w:pPr>
              <w:spacing w:after="0" w:line="240" w:lineRule="auto"/>
            </w:pPr>
            <w:r>
              <w:rPr>
                <w:color w:val="17242E"/>
                <w:sz w:val="13"/>
              </w:rPr>
              <w:t>Liquidity/order books</w:t>
            </w:r>
          </w:p>
        </w:tc>
        <w:tc>
          <w:tcPr>
            <w:tcW w:type="dxa" w:w="2376"/>
            <w:tcMar>
              <w:top w:w="80" w:type="dxa"/>
              <w:start w:w="105" w:type="dxa"/>
              <w:bottom w:w="80" w:type="dxa"/>
              <w:end w:w="105" w:type="dxa"/>
            </w:tcMar>
            <w:vAlign w:val="center"/>
          </w:tcPr>
          <w:p>
            <w:pPr>
              <w:spacing w:after="0" w:line="240" w:lineRule="auto"/>
            </w:pPr>
            <w:r>
              <w:rPr>
                <w:color w:val="17242E"/>
                <w:sz w:val="13"/>
              </w:rPr>
              <w:t>major CEX/DEX APIs or licensed vendor</w:t>
            </w:r>
          </w:p>
        </w:tc>
        <w:tc>
          <w:tcPr>
            <w:tcW w:type="dxa" w:w="936"/>
            <w:tcMar>
              <w:top w:w="80" w:type="dxa"/>
              <w:start w:w="105" w:type="dxa"/>
              <w:bottom w:w="80" w:type="dxa"/>
              <w:end w:w="105" w:type="dxa"/>
            </w:tcMar>
            <w:vAlign w:val="center"/>
          </w:tcPr>
          <w:p>
            <w:pPr>
              <w:spacing w:after="0" w:line="240" w:lineRule="auto"/>
            </w:pPr>
            <w:r>
              <w:rPr>
                <w:color w:val="17242E"/>
                <w:sz w:val="13"/>
              </w:rPr>
              <w:t>minute/hour</w:t>
            </w:r>
          </w:p>
        </w:tc>
        <w:tc>
          <w:tcPr>
            <w:tcW w:type="dxa" w:w="2448"/>
            <w:tcMar>
              <w:top w:w="80" w:type="dxa"/>
              <w:start w:w="105" w:type="dxa"/>
              <w:bottom w:w="80" w:type="dxa"/>
              <w:end w:w="105" w:type="dxa"/>
            </w:tcMar>
            <w:vAlign w:val="center"/>
          </w:tcPr>
          <w:p>
            <w:pPr>
              <w:spacing w:after="0" w:line="240" w:lineRule="auto"/>
            </w:pPr>
            <w:r>
              <w:rPr>
                <w:color w:val="17242E"/>
                <w:sz w:val="13"/>
              </w:rPr>
              <w:t>spread, depth, price impact, slippage</w:t>
            </w:r>
          </w:p>
        </w:tc>
        <w:tc>
          <w:tcPr>
            <w:tcW w:type="dxa" w:w="2376"/>
            <w:tcMar>
              <w:top w:w="80" w:type="dxa"/>
              <w:start w:w="105" w:type="dxa"/>
              <w:bottom w:w="80" w:type="dxa"/>
              <w:end w:w="105" w:type="dxa"/>
            </w:tcMar>
            <w:vAlign w:val="center"/>
          </w:tcPr>
          <w:p>
            <w:pPr>
              <w:spacing w:after="0" w:line="240" w:lineRule="auto"/>
            </w:pPr>
            <w:r>
              <w:rPr>
                <w:color w:val="17242E"/>
                <w:sz w:val="13"/>
              </w:rPr>
              <w:t>coverage/license; wash trading</w:t>
            </w:r>
          </w:p>
        </w:tc>
      </w:tr>
      <w:tr>
        <w:tc>
          <w:tcPr>
            <w:tcW w:type="dxa" w:w="1656"/>
            <w:tcMar>
              <w:top w:w="80" w:type="dxa"/>
              <w:start w:w="105" w:type="dxa"/>
              <w:bottom w:w="80" w:type="dxa"/>
              <w:end w:w="105" w:type="dxa"/>
            </w:tcMar>
            <w:vAlign w:val="center"/>
            <w:shd w:fill="F4F7F9"/>
          </w:tcPr>
          <w:p>
            <w:pPr>
              <w:spacing w:after="0" w:line="240" w:lineRule="auto"/>
            </w:pPr>
            <w:r>
              <w:rPr>
                <w:color w:val="17242E"/>
                <w:sz w:val="13"/>
              </w:rPr>
              <w:t>Macro/market</w:t>
            </w:r>
          </w:p>
        </w:tc>
        <w:tc>
          <w:tcPr>
            <w:tcW w:type="dxa" w:w="2376"/>
            <w:tcMar>
              <w:top w:w="80" w:type="dxa"/>
              <w:start w:w="105" w:type="dxa"/>
              <w:bottom w:w="80" w:type="dxa"/>
              <w:end w:w="105" w:type="dxa"/>
            </w:tcMar>
            <w:vAlign w:val="center"/>
            <w:shd w:fill="F4F7F9"/>
          </w:tcPr>
          <w:p>
            <w:pPr>
              <w:spacing w:after="0" w:line="240" w:lineRule="auto"/>
            </w:pPr>
            <w:r>
              <w:rPr>
                <w:color w:val="17242E"/>
                <w:sz w:val="13"/>
              </w:rPr>
              <w:t>FRED, Treasury, Cboe/market vendors</w:t>
            </w:r>
          </w:p>
        </w:tc>
        <w:tc>
          <w:tcPr>
            <w:tcW w:type="dxa" w:w="936"/>
            <w:tcMar>
              <w:top w:w="80" w:type="dxa"/>
              <w:start w:w="105" w:type="dxa"/>
              <w:bottom w:w="80" w:type="dxa"/>
              <w:end w:w="105" w:type="dxa"/>
            </w:tcMar>
            <w:vAlign w:val="center"/>
            <w:shd w:fill="F4F7F9"/>
          </w:tcPr>
          <w:p>
            <w:pPr>
              <w:spacing w:after="0" w:line="240" w:lineRule="auto"/>
            </w:pPr>
            <w:r>
              <w:rPr>
                <w:color w:val="17242E"/>
                <w:sz w:val="13"/>
              </w:rPr>
              <w:t>daily</w:t>
            </w:r>
          </w:p>
        </w:tc>
        <w:tc>
          <w:tcPr>
            <w:tcW w:type="dxa" w:w="2448"/>
            <w:tcMar>
              <w:top w:w="80" w:type="dxa"/>
              <w:start w:w="105" w:type="dxa"/>
              <w:bottom w:w="80" w:type="dxa"/>
              <w:end w:w="105" w:type="dxa"/>
            </w:tcMar>
            <w:vAlign w:val="center"/>
            <w:shd w:fill="F4F7F9"/>
          </w:tcPr>
          <w:p>
            <w:pPr>
              <w:spacing w:after="0" w:line="240" w:lineRule="auto"/>
            </w:pPr>
            <w:r>
              <w:rPr>
                <w:color w:val="17242E"/>
                <w:sz w:val="13"/>
              </w:rPr>
              <w:t>rates, DXY, VIX, equities, credit, FX</w:t>
            </w:r>
          </w:p>
        </w:tc>
        <w:tc>
          <w:tcPr>
            <w:tcW w:type="dxa" w:w="2376"/>
            <w:tcMar>
              <w:top w:w="80" w:type="dxa"/>
              <w:start w:w="105" w:type="dxa"/>
              <w:bottom w:w="80" w:type="dxa"/>
              <w:end w:w="105" w:type="dxa"/>
            </w:tcMar>
            <w:vAlign w:val="center"/>
            <w:shd w:fill="F4F7F9"/>
          </w:tcPr>
          <w:p>
            <w:pPr>
              <w:spacing w:after="0" w:line="240" w:lineRule="auto"/>
            </w:pPr>
            <w:r>
              <w:rPr>
                <w:color w:val="17242E"/>
                <w:sz w:val="13"/>
              </w:rPr>
              <w:t>calendar/time-zone alignment</w:t>
            </w:r>
          </w:p>
        </w:tc>
      </w:tr>
      <w:tr>
        <w:tc>
          <w:tcPr>
            <w:tcW w:type="dxa" w:w="1656"/>
            <w:tcMar>
              <w:top w:w="80" w:type="dxa"/>
              <w:start w:w="105" w:type="dxa"/>
              <w:bottom w:w="80" w:type="dxa"/>
              <w:end w:w="105" w:type="dxa"/>
            </w:tcMar>
            <w:vAlign w:val="center"/>
          </w:tcPr>
          <w:p>
            <w:pPr>
              <w:spacing w:after="0" w:line="240" w:lineRule="auto"/>
            </w:pPr>
            <w:r>
              <w:rPr>
                <w:color w:val="17242E"/>
                <w:sz w:val="13"/>
              </w:rPr>
              <w:t>Development</w:t>
            </w:r>
          </w:p>
        </w:tc>
        <w:tc>
          <w:tcPr>
            <w:tcW w:type="dxa" w:w="2376"/>
            <w:tcMar>
              <w:top w:w="80" w:type="dxa"/>
              <w:start w:w="105" w:type="dxa"/>
              <w:bottom w:w="80" w:type="dxa"/>
              <w:end w:w="105" w:type="dxa"/>
            </w:tcMar>
            <w:vAlign w:val="center"/>
          </w:tcPr>
          <w:p>
            <w:pPr>
              <w:spacing w:after="0" w:line="240" w:lineRule="auto"/>
            </w:pPr>
            <w:r>
              <w:rPr>
                <w:color w:val="17242E"/>
                <w:sz w:val="13"/>
              </w:rPr>
              <w:t>GitHub API + curated repo map</w:t>
            </w:r>
          </w:p>
        </w:tc>
        <w:tc>
          <w:tcPr>
            <w:tcW w:type="dxa" w:w="936"/>
            <w:tcMar>
              <w:top w:w="80" w:type="dxa"/>
              <w:start w:w="105" w:type="dxa"/>
              <w:bottom w:w="80" w:type="dxa"/>
              <w:end w:w="105" w:type="dxa"/>
            </w:tcMar>
            <w:vAlign w:val="center"/>
          </w:tcPr>
          <w:p>
            <w:pPr>
              <w:spacing w:after="0" w:line="240" w:lineRule="auto"/>
            </w:pPr>
            <w:r>
              <w:rPr>
                <w:color w:val="17242E"/>
                <w:sz w:val="13"/>
              </w:rPr>
              <w:t>weekly/monthly</w:t>
            </w:r>
          </w:p>
        </w:tc>
        <w:tc>
          <w:tcPr>
            <w:tcW w:type="dxa" w:w="2448"/>
            <w:tcMar>
              <w:top w:w="80" w:type="dxa"/>
              <w:start w:w="105" w:type="dxa"/>
              <w:bottom w:w="80" w:type="dxa"/>
              <w:end w:w="105" w:type="dxa"/>
            </w:tcMar>
            <w:vAlign w:val="center"/>
          </w:tcPr>
          <w:p>
            <w:pPr>
              <w:spacing w:after="0" w:line="240" w:lineRule="auto"/>
            </w:pPr>
            <w:r>
              <w:rPr>
                <w:color w:val="17242E"/>
                <w:sz w:val="13"/>
              </w:rPr>
              <w:t>developers, commits, releases</w:t>
            </w:r>
          </w:p>
        </w:tc>
        <w:tc>
          <w:tcPr>
            <w:tcW w:type="dxa" w:w="2376"/>
            <w:tcMar>
              <w:top w:w="80" w:type="dxa"/>
              <w:start w:w="105" w:type="dxa"/>
              <w:bottom w:w="80" w:type="dxa"/>
              <w:end w:w="105" w:type="dxa"/>
            </w:tcMar>
            <w:vAlign w:val="center"/>
          </w:tcPr>
          <w:p>
            <w:pPr>
              <w:spacing w:after="0" w:line="240" w:lineRule="auto"/>
            </w:pPr>
            <w:r>
              <w:rPr>
                <w:color w:val="17242E"/>
                <w:sz w:val="13"/>
              </w:rPr>
              <w:t>forks, bots, repo changes</w:t>
            </w:r>
          </w:p>
        </w:tc>
      </w:tr>
      <w:tr>
        <w:tc>
          <w:tcPr>
            <w:tcW w:type="dxa" w:w="1656"/>
            <w:tcMar>
              <w:top w:w="80" w:type="dxa"/>
              <w:start w:w="105" w:type="dxa"/>
              <w:bottom w:w="80" w:type="dxa"/>
              <w:end w:w="105" w:type="dxa"/>
            </w:tcMar>
            <w:vAlign w:val="center"/>
            <w:shd w:fill="F4F7F9"/>
          </w:tcPr>
          <w:p>
            <w:pPr>
              <w:spacing w:after="0" w:line="240" w:lineRule="auto"/>
            </w:pPr>
            <w:r>
              <w:rPr>
                <w:color w:val="17242E"/>
                <w:sz w:val="13"/>
              </w:rPr>
              <w:t>Events/legal</w:t>
            </w:r>
          </w:p>
        </w:tc>
        <w:tc>
          <w:tcPr>
            <w:tcW w:type="dxa" w:w="2376"/>
            <w:tcMar>
              <w:top w:w="80" w:type="dxa"/>
              <w:start w:w="105" w:type="dxa"/>
              <w:bottom w:w="80" w:type="dxa"/>
              <w:end w:w="105" w:type="dxa"/>
            </w:tcMar>
            <w:vAlign w:val="center"/>
            <w:shd w:fill="F4F7F9"/>
          </w:tcPr>
          <w:p>
            <w:pPr>
              <w:spacing w:after="0" w:line="240" w:lineRule="auto"/>
            </w:pPr>
            <w:r>
              <w:rPr>
                <w:color w:val="17242E"/>
                <w:sz w:val="13"/>
              </w:rPr>
              <w:t>official notices, court/regulator records, protocol postmortems</w:t>
            </w:r>
          </w:p>
        </w:tc>
        <w:tc>
          <w:tcPr>
            <w:tcW w:type="dxa" w:w="936"/>
            <w:tcMar>
              <w:top w:w="80" w:type="dxa"/>
              <w:start w:w="105" w:type="dxa"/>
              <w:bottom w:w="80" w:type="dxa"/>
              <w:end w:w="105" w:type="dxa"/>
            </w:tcMar>
            <w:vAlign w:val="center"/>
            <w:shd w:fill="F4F7F9"/>
          </w:tcPr>
          <w:p>
            <w:pPr>
              <w:spacing w:after="0" w:line="240" w:lineRule="auto"/>
            </w:pPr>
            <w:r>
              <w:rPr>
                <w:color w:val="17242E"/>
                <w:sz w:val="13"/>
              </w:rPr>
              <w:t>event</w:t>
            </w:r>
          </w:p>
        </w:tc>
        <w:tc>
          <w:tcPr>
            <w:tcW w:type="dxa" w:w="2448"/>
            <w:tcMar>
              <w:top w:w="80" w:type="dxa"/>
              <w:start w:w="105" w:type="dxa"/>
              <w:bottom w:w="80" w:type="dxa"/>
              <w:end w:w="105" w:type="dxa"/>
            </w:tcMar>
            <w:vAlign w:val="center"/>
            <w:shd w:fill="F4F7F9"/>
          </w:tcPr>
          <w:p>
            <w:pPr>
              <w:spacing w:after="0" w:line="240" w:lineRule="auto"/>
            </w:pPr>
            <w:r>
              <w:rPr>
                <w:color w:val="17242E"/>
                <w:sz w:val="13"/>
              </w:rPr>
              <w:t>event time/type/severity</w:t>
            </w:r>
          </w:p>
        </w:tc>
        <w:tc>
          <w:tcPr>
            <w:tcW w:type="dxa" w:w="2376"/>
            <w:tcMar>
              <w:top w:w="80" w:type="dxa"/>
              <w:start w:w="105" w:type="dxa"/>
              <w:bottom w:w="80" w:type="dxa"/>
              <w:end w:w="105" w:type="dxa"/>
            </w:tcMar>
            <w:vAlign w:val="center"/>
            <w:shd w:fill="F4F7F9"/>
          </w:tcPr>
          <w:p>
            <w:pPr>
              <w:spacing w:after="0" w:line="240" w:lineRule="auto"/>
            </w:pPr>
            <w:r>
              <w:rPr>
                <w:color w:val="17242E"/>
                <w:sz w:val="13"/>
              </w:rPr>
              <w:t>timestamp ambiguity; two-source verification</w:t>
            </w:r>
          </w:p>
        </w:tc>
      </w:tr>
    </w:tbl>
    <w:p>
      <w:pPr>
        <w:spacing w:after="20"/>
      </w:pPr>
    </w:p>
    <w:p>
      <w:pPr>
        <w:pStyle w:val="Caption"/>
        <w:spacing w:before="40" w:after="100"/>
      </w:pPr>
      <w:r>
        <w:rPr>
          <w:b/>
        </w:rPr>
        <w:t xml:space="preserve">Source: </w:t>
      </w:r>
      <w:r>
        <w:t>CoinGecko API documentation — https://docs.coingecko.com/</w:t>
      </w:r>
    </w:p>
    <w:p>
      <w:pPr>
        <w:pStyle w:val="Caption"/>
        <w:spacing w:before="40" w:after="100"/>
      </w:pPr>
      <w:r>
        <w:rPr>
          <w:b/>
        </w:rPr>
        <w:t xml:space="preserve">Source: </w:t>
      </w:r>
      <w:r>
        <w:t>DeFiLlama definitions — https://defillama.com/data-definitions</w:t>
      </w:r>
    </w:p>
    <w:p>
      <w:pPr>
        <w:pStyle w:val="Heading2"/>
      </w:pPr>
      <w:r>
        <w:rPr>
          <w:b w:val="0"/>
          <w:i w:val="0"/>
        </w:rPr>
        <w:t>Data acquisition sequence</w:t>
      </w:r>
    </w:p>
    <w:p>
      <w:pPr>
        <w:pStyle w:val="ListNumber"/>
      </w:pPr>
      <w:r>
        <w:rPr>
          <w:b w:val="0"/>
          <w:i w:val="0"/>
        </w:rPr>
        <w:t>Freeze the research universe and observation window; include active, failed, migrated, and delisted assets.</w:t>
      </w:r>
    </w:p>
    <w:p>
      <w:pPr>
        <w:pStyle w:val="ListNumber"/>
      </w:pPr>
      <w:r>
        <w:rPr>
          <w:b w:val="0"/>
          <w:i w:val="0"/>
        </w:rPr>
        <w:t>Complete point-in-time design coding and source registry before outcomes are modeled.</w:t>
      </w:r>
    </w:p>
    <w:p>
      <w:pPr>
        <w:pStyle w:val="ListNumber"/>
      </w:pPr>
      <w:r>
        <w:rPr>
          <w:b w:val="0"/>
          <w:i w:val="0"/>
        </w:rPr>
        <w:t>Pull raw data into dated immutable partitions; log request parameters, retrieval time, status, and checksum.</w:t>
      </w:r>
    </w:p>
    <w:p>
      <w:pPr>
        <w:pStyle w:val="ListNumber"/>
      </w:pPr>
      <w:r>
        <w:rPr>
          <w:b w:val="0"/>
          <w:i w:val="0"/>
        </w:rPr>
        <w:t>Normalize identifiers, timestamps (UTC), units, chain/contract mappings, and quote currency.</w:t>
      </w:r>
    </w:p>
    <w:p>
      <w:pPr>
        <w:pStyle w:val="ListNumber"/>
      </w:pPr>
      <w:r>
        <w:rPr>
          <w:b w:val="0"/>
          <w:i w:val="0"/>
        </w:rPr>
        <w:t>Run automated QA: uniqueness, continuity, missingness, stale prices, supply jumps, cross-source tolerances.</w:t>
      </w:r>
    </w:p>
    <w:p>
      <w:pPr>
        <w:pStyle w:val="ListNumber"/>
      </w:pPr>
      <w:r>
        <w:rPr>
          <w:b w:val="0"/>
          <w:i w:val="0"/>
        </w:rPr>
        <w:t>Build analysis-ready panels only through version-controlled transformations; publish a machine-readable data dictionary.</w:t>
      </w:r>
    </w:p>
    <w:p>
      <w:pPr>
        <w:pStyle w:val="ListNumber"/>
      </w:pPr>
      <w:r>
        <w:rPr>
          <w:b w:val="0"/>
          <w:i w:val="0"/>
        </w:rPr>
        <w:t>Create a frozen preregistration snapshot before headline estimation.</w:t>
      </w:r>
    </w:p>
    <w:p>
      <w:pPr>
        <w:pStyle w:val="Heading2"/>
      </w:pPr>
      <w:r>
        <w:rPr>
          <w:b w:val="0"/>
          <w:i w:val="0"/>
        </w:rPr>
        <w:t>Recommended initial sample and windows</w:t>
      </w:r>
    </w:p>
    <w:p>
      <w:pPr>
        <w:pStyle w:val="ListBullet"/>
      </w:pPr>
      <w:r>
        <w:rPr>
          <w:b w:val="0"/>
          <w:i w:val="0"/>
        </w:rPr>
        <w:t>Stablecoins: top assets by historical market cap plus all economically relevant failures; monthly membership to reduce survivorship bias.</w:t>
      </w:r>
    </w:p>
    <w:p>
      <w:pPr>
        <w:pStyle w:val="ListBullet"/>
      </w:pPr>
      <w:r>
        <w:rPr>
          <w:b w:val="0"/>
          <w:i w:val="0"/>
        </w:rPr>
        <w:t>Cryptoassets: stratified panel across monetary L1, smart-contract L1, L2 governance, DeFi, oracle/service, and ecosystem tokens.</w:t>
      </w:r>
    </w:p>
    <w:p>
      <w:pPr>
        <w:pStyle w:val="ListBullet"/>
      </w:pPr>
      <w:r>
        <w:rPr>
          <w:b w:val="0"/>
          <w:i w:val="0"/>
        </w:rPr>
        <w:t>Daily panel for 2019–2026 where data permit; intraday stablecoin event panel for selected stress episodes.</w:t>
      </w:r>
    </w:p>
    <w:p>
      <w:pPr>
        <w:pStyle w:val="ListBullet"/>
      </w:pPr>
      <w:r>
        <w:rPr>
          <w:b w:val="0"/>
          <w:i w:val="0"/>
        </w:rPr>
        <w:t>Minimum-history rules should be outcomes-neutral and reported with excluded-asset diagnostics.</w:t>
      </w:r>
    </w:p>
    <w:p>
      <w:pPr>
        <w:pStyle w:val="Heading1"/>
      </w:pPr>
      <w:r>
        <w:rPr>
          <w:b w:val="0"/>
          <w:i w:val="0"/>
        </w:rPr>
        <w:t>13. Phase 2 empirical-analysis plan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440"/>
            <w:shd w:fill="183A5A"/>
            <w:tcMar>
              <w:top w:w="80" w:type="dxa"/>
              <w:start w:w="105" w:type="dxa"/>
              <w:bottom w:w="80" w:type="dxa"/>
              <w:end w:w="105" w:type="dxa"/>
            </w:tcMar>
            <w:vAlign w:val="center"/>
          </w:tcPr>
          <w:p>
            <w:pPr>
              <w:spacing w:after="0"/>
            </w:pPr>
            <w:r>
              <w:rPr>
                <w:b/>
                <w:color w:val="FFFFFF"/>
                <w:sz w:val="14"/>
              </w:rPr>
              <w:t>Workstream</w:t>
            </w:r>
          </w:p>
        </w:tc>
        <w:tc>
          <w:tcPr>
            <w:tcW w:type="dxa" w:w="2376"/>
            <w:shd w:fill="183A5A"/>
            <w:tcMar>
              <w:top w:w="80" w:type="dxa"/>
              <w:start w:w="105" w:type="dxa"/>
              <w:bottom w:w="80" w:type="dxa"/>
              <w:end w:w="105" w:type="dxa"/>
            </w:tcMar>
            <w:vAlign w:val="center"/>
          </w:tcPr>
          <w:p>
            <w:pPr>
              <w:spacing w:after="0"/>
            </w:pPr>
            <w:r>
              <w:rPr>
                <w:b/>
                <w:color w:val="FFFFFF"/>
                <w:sz w:val="14"/>
              </w:rPr>
              <w:t>Question</w:t>
            </w:r>
          </w:p>
        </w:tc>
        <w:tc>
          <w:tcPr>
            <w:tcW w:type="dxa" w:w="3240"/>
            <w:shd w:fill="183A5A"/>
            <w:tcMar>
              <w:top w:w="80" w:type="dxa"/>
              <w:start w:w="105" w:type="dxa"/>
              <w:bottom w:w="80" w:type="dxa"/>
              <w:end w:w="105" w:type="dxa"/>
            </w:tcMar>
            <w:vAlign w:val="center"/>
          </w:tcPr>
          <w:p>
            <w:pPr>
              <w:spacing w:after="0"/>
            </w:pPr>
            <w:r>
              <w:rPr>
                <w:b/>
                <w:color w:val="FFFFFF"/>
                <w:sz w:val="14"/>
              </w:rPr>
              <w:t>Primary design</w:t>
            </w:r>
          </w:p>
        </w:tc>
        <w:tc>
          <w:tcPr>
            <w:tcW w:type="dxa" w:w="2880"/>
            <w:shd w:fill="183A5A"/>
            <w:tcMar>
              <w:top w:w="80" w:type="dxa"/>
              <w:start w:w="105" w:type="dxa"/>
              <w:bottom w:w="80" w:type="dxa"/>
              <w:end w:w="105" w:type="dxa"/>
            </w:tcMar>
            <w:vAlign w:val="center"/>
          </w:tcPr>
          <w:p>
            <w:pPr>
              <w:spacing w:after="0"/>
            </w:pPr>
            <w:r>
              <w:rPr>
                <w:b/>
                <w:color w:val="FFFFFF"/>
                <w:sz w:val="14"/>
              </w:rPr>
              <w:t>Robustness</w:t>
            </w:r>
          </w:p>
        </w:tc>
      </w:tr>
      <w:tr>
        <w:tc>
          <w:tcPr>
            <w:tcW w:type="dxa" w:w="1440"/>
            <w:tcMar>
              <w:top w:w="80" w:type="dxa"/>
              <w:start w:w="105" w:type="dxa"/>
              <w:bottom w:w="80" w:type="dxa"/>
              <w:end w:w="105" w:type="dxa"/>
            </w:tcMar>
            <w:vAlign w:val="center"/>
          </w:tcPr>
          <w:p>
            <w:pPr>
              <w:spacing w:after="0" w:line="240" w:lineRule="auto"/>
            </w:pPr>
            <w:r>
              <w:rPr>
                <w:color w:val="17242E"/>
                <w:sz w:val="14"/>
              </w:rPr>
              <w:t>A. Taxonomy validation</w:t>
            </w:r>
          </w:p>
        </w:tc>
        <w:tc>
          <w:tcPr>
            <w:tcW w:type="dxa" w:w="2376"/>
            <w:tcMar>
              <w:top w:w="80" w:type="dxa"/>
              <w:start w:w="105" w:type="dxa"/>
              <w:bottom w:w="80" w:type="dxa"/>
              <w:end w:w="105" w:type="dxa"/>
            </w:tcMar>
            <w:vAlign w:val="center"/>
          </w:tcPr>
          <w:p>
            <w:pPr>
              <w:spacing w:after="0" w:line="240" w:lineRule="auto"/>
            </w:pPr>
            <w:r>
              <w:rPr>
                <w:color w:val="17242E"/>
                <w:sz w:val="14"/>
              </w:rPr>
              <w:t>Do codes cluster into coherent economic archetypes?</w:t>
            </w:r>
          </w:p>
        </w:tc>
        <w:tc>
          <w:tcPr>
            <w:tcW w:type="dxa" w:w="3240"/>
            <w:tcMar>
              <w:top w:w="80" w:type="dxa"/>
              <w:start w:w="105" w:type="dxa"/>
              <w:bottom w:w="80" w:type="dxa"/>
              <w:end w:w="105" w:type="dxa"/>
            </w:tcMar>
            <w:vAlign w:val="center"/>
          </w:tcPr>
          <w:p>
            <w:pPr>
              <w:spacing w:after="0" w:line="240" w:lineRule="auto"/>
            </w:pPr>
            <w:r>
              <w:rPr>
                <w:color w:val="17242E"/>
                <w:sz w:val="14"/>
              </w:rPr>
              <w:t>descriptive cross-tabs; PCA/MCA; inter-rater reliability</w:t>
            </w:r>
          </w:p>
        </w:tc>
        <w:tc>
          <w:tcPr>
            <w:tcW w:type="dxa" w:w="2880"/>
            <w:tcMar>
              <w:top w:w="80" w:type="dxa"/>
              <w:start w:w="105" w:type="dxa"/>
              <w:bottom w:w="80" w:type="dxa"/>
              <w:end w:w="105" w:type="dxa"/>
            </w:tcMar>
            <w:vAlign w:val="center"/>
          </w:tcPr>
          <w:p>
            <w:pPr>
              <w:spacing w:after="0" w:line="240" w:lineRule="auto"/>
            </w:pPr>
            <w:r>
              <w:rPr>
                <w:color w:val="17242E"/>
                <w:sz w:val="14"/>
              </w:rPr>
              <w:t>alternate thresholds; leave-one-code-out</w:t>
            </w:r>
          </w:p>
        </w:tc>
      </w:tr>
      <w:tr>
        <w:tc>
          <w:tcPr>
            <w:tcW w:type="dxa" w:w="1440"/>
            <w:tcMar>
              <w:top w:w="80" w:type="dxa"/>
              <w:start w:w="105" w:type="dxa"/>
              <w:bottom w:w="80" w:type="dxa"/>
              <w:end w:w="105" w:type="dxa"/>
            </w:tcMar>
            <w:vAlign w:val="center"/>
            <w:shd w:fill="F4F7F9"/>
          </w:tcPr>
          <w:p>
            <w:pPr>
              <w:spacing w:after="0" w:line="240" w:lineRule="auto"/>
            </w:pPr>
            <w:r>
              <w:rPr>
                <w:color w:val="17242E"/>
                <w:sz w:val="14"/>
              </w:rPr>
              <w:t>B. Stablecoin peg risk</w:t>
            </w:r>
          </w:p>
        </w:tc>
        <w:tc>
          <w:tcPr>
            <w:tcW w:type="dxa" w:w="2376"/>
            <w:tcMar>
              <w:top w:w="80" w:type="dxa"/>
              <w:start w:w="105" w:type="dxa"/>
              <w:bottom w:w="80" w:type="dxa"/>
              <w:end w:w="105" w:type="dxa"/>
            </w:tcMar>
            <w:vAlign w:val="center"/>
            <w:shd w:fill="F4F7F9"/>
          </w:tcPr>
          <w:p>
            <w:pPr>
              <w:spacing w:after="0" w:line="240" w:lineRule="auto"/>
            </w:pPr>
            <w:r>
              <w:rPr>
                <w:color w:val="17242E"/>
                <w:sz w:val="14"/>
              </w:rPr>
              <w:t>Do reserves and redemption predict breaches and recovery?</w:t>
            </w:r>
          </w:p>
        </w:tc>
        <w:tc>
          <w:tcPr>
            <w:tcW w:type="dxa" w:w="3240"/>
            <w:tcMar>
              <w:top w:w="80" w:type="dxa"/>
              <w:start w:w="105" w:type="dxa"/>
              <w:bottom w:w="80" w:type="dxa"/>
              <w:end w:w="105" w:type="dxa"/>
            </w:tcMar>
            <w:vAlign w:val="center"/>
            <w:shd w:fill="F4F7F9"/>
          </w:tcPr>
          <w:p>
            <w:pPr>
              <w:spacing w:after="0" w:line="240" w:lineRule="auto"/>
            </w:pPr>
            <w:r>
              <w:rPr>
                <w:color w:val="17242E"/>
                <w:sz w:val="14"/>
              </w:rPr>
              <w:t>panel logit/LPM; FE APE; Cox/AFT duration</w:t>
            </w:r>
          </w:p>
        </w:tc>
        <w:tc>
          <w:tcPr>
            <w:tcW w:type="dxa" w:w="2880"/>
            <w:tcMar>
              <w:top w:w="80" w:type="dxa"/>
              <w:start w:w="105" w:type="dxa"/>
              <w:bottom w:w="80" w:type="dxa"/>
              <w:end w:w="105" w:type="dxa"/>
            </w:tcMar>
            <w:vAlign w:val="center"/>
            <w:shd w:fill="F4F7F9"/>
          </w:tcPr>
          <w:p>
            <w:pPr>
              <w:spacing w:after="0" w:line="240" w:lineRule="auto"/>
            </w:pPr>
            <w:r>
              <w:rPr>
                <w:color w:val="17242E"/>
                <w:sz w:val="14"/>
              </w:rPr>
              <w:t>bands/frequencies; CEX vs DEX; rare-event logit</w:t>
            </w:r>
          </w:p>
        </w:tc>
      </w:tr>
      <w:tr>
        <w:tc>
          <w:tcPr>
            <w:tcW w:type="dxa" w:w="1440"/>
            <w:tcMar>
              <w:top w:w="80" w:type="dxa"/>
              <w:start w:w="105" w:type="dxa"/>
              <w:bottom w:w="80" w:type="dxa"/>
              <w:end w:w="105" w:type="dxa"/>
            </w:tcMar>
            <w:vAlign w:val="center"/>
          </w:tcPr>
          <w:p>
            <w:pPr>
              <w:spacing w:after="0" w:line="240" w:lineRule="auto"/>
            </w:pPr>
            <w:r>
              <w:rPr>
                <w:color w:val="17242E"/>
                <w:sz w:val="14"/>
              </w:rPr>
              <w:t>C. Stablecoin adoption</w:t>
            </w:r>
          </w:p>
        </w:tc>
        <w:tc>
          <w:tcPr>
            <w:tcW w:type="dxa" w:w="2376"/>
            <w:tcMar>
              <w:top w:w="80" w:type="dxa"/>
              <w:start w:w="105" w:type="dxa"/>
              <w:bottom w:w="80" w:type="dxa"/>
              <w:end w:w="105" w:type="dxa"/>
            </w:tcMar>
            <w:vAlign w:val="center"/>
          </w:tcPr>
          <w:p>
            <w:pPr>
              <w:spacing w:after="0" w:line="240" w:lineRule="auto"/>
            </w:pPr>
            <w:r>
              <w:rPr>
                <w:color w:val="17242E"/>
                <w:sz w:val="14"/>
              </w:rPr>
              <w:t>What predicts share/inflows?</w:t>
            </w:r>
          </w:p>
        </w:tc>
        <w:tc>
          <w:tcPr>
            <w:tcW w:type="dxa" w:w="3240"/>
            <w:tcMar>
              <w:top w:w="80" w:type="dxa"/>
              <w:start w:w="105" w:type="dxa"/>
              <w:bottom w:w="80" w:type="dxa"/>
              <w:end w:w="105" w:type="dxa"/>
            </w:tcMar>
            <w:vAlign w:val="center"/>
          </w:tcPr>
          <w:p>
            <w:pPr>
              <w:spacing w:after="0" w:line="240" w:lineRule="auto"/>
            </w:pPr>
            <w:r>
              <w:rPr>
                <w:color w:val="17242E"/>
                <w:sz w:val="14"/>
              </w:rPr>
              <w:t>dynamic panel; fractional response; flow regressions</w:t>
            </w:r>
          </w:p>
        </w:tc>
        <w:tc>
          <w:tcPr>
            <w:tcW w:type="dxa" w:w="2880"/>
            <w:tcMar>
              <w:top w:w="80" w:type="dxa"/>
              <w:start w:w="105" w:type="dxa"/>
              <w:bottom w:w="80" w:type="dxa"/>
              <w:end w:w="105" w:type="dxa"/>
            </w:tcMar>
            <w:vAlign w:val="center"/>
          </w:tcPr>
          <w:p>
            <w:pPr>
              <w:spacing w:after="0" w:line="240" w:lineRule="auto"/>
            </w:pPr>
            <w:r>
              <w:rPr>
                <w:color w:val="17242E"/>
                <w:sz w:val="14"/>
              </w:rPr>
              <w:t>lag structures; market stress; chain fixed effects</w:t>
            </w:r>
          </w:p>
        </w:tc>
      </w:tr>
      <w:tr>
        <w:tc>
          <w:tcPr>
            <w:tcW w:type="dxa" w:w="1440"/>
            <w:tcMar>
              <w:top w:w="80" w:type="dxa"/>
              <w:start w:w="105" w:type="dxa"/>
              <w:bottom w:w="80" w:type="dxa"/>
              <w:end w:w="105" w:type="dxa"/>
            </w:tcMar>
            <w:vAlign w:val="center"/>
            <w:shd w:fill="F4F7F9"/>
          </w:tcPr>
          <w:p>
            <w:pPr>
              <w:spacing w:after="0" w:line="240" w:lineRule="auto"/>
            </w:pPr>
            <w:r>
              <w:rPr>
                <w:color w:val="17242E"/>
                <w:sz w:val="14"/>
              </w:rPr>
              <w:t>D. Crypto valuation</w:t>
            </w:r>
          </w:p>
        </w:tc>
        <w:tc>
          <w:tcPr>
            <w:tcW w:type="dxa" w:w="2376"/>
            <w:tcMar>
              <w:top w:w="80" w:type="dxa"/>
              <w:start w:w="105" w:type="dxa"/>
              <w:bottom w:w="80" w:type="dxa"/>
              <w:end w:w="105" w:type="dxa"/>
            </w:tcMar>
            <w:vAlign w:val="center"/>
            <w:shd w:fill="F4F7F9"/>
          </w:tcPr>
          <w:p>
            <w:pPr>
              <w:spacing w:after="0" w:line="240" w:lineRule="auto"/>
            </w:pPr>
            <w:r>
              <w:rPr>
                <w:color w:val="17242E"/>
                <w:sz w:val="14"/>
              </w:rPr>
              <w:t>Do users, fees, capture, supply, and liquidity explain market cap?</w:t>
            </w:r>
          </w:p>
        </w:tc>
        <w:tc>
          <w:tcPr>
            <w:tcW w:type="dxa" w:w="3240"/>
            <w:tcMar>
              <w:top w:w="80" w:type="dxa"/>
              <w:start w:w="105" w:type="dxa"/>
              <w:bottom w:w="80" w:type="dxa"/>
              <w:end w:w="105" w:type="dxa"/>
            </w:tcMar>
            <w:vAlign w:val="center"/>
            <w:shd w:fill="F4F7F9"/>
          </w:tcPr>
          <w:p>
            <w:pPr>
              <w:spacing w:after="0" w:line="240" w:lineRule="auto"/>
            </w:pPr>
            <w:r>
              <w:rPr>
                <w:color w:val="17242E"/>
                <w:sz w:val="14"/>
              </w:rPr>
              <w:t>asset/time FE; correlated RE for slow design variables</w:t>
            </w:r>
          </w:p>
        </w:tc>
        <w:tc>
          <w:tcPr>
            <w:tcW w:type="dxa" w:w="2880"/>
            <w:tcMar>
              <w:top w:w="80" w:type="dxa"/>
              <w:start w:w="105" w:type="dxa"/>
              <w:bottom w:w="80" w:type="dxa"/>
              <w:end w:w="105" w:type="dxa"/>
            </w:tcMar>
            <w:vAlign w:val="center"/>
            <w:shd w:fill="F4F7F9"/>
          </w:tcPr>
          <w:p>
            <w:pPr>
              <w:spacing w:after="0" w:line="240" w:lineRule="auto"/>
            </w:pPr>
            <w:r>
              <w:rPr>
                <w:color w:val="17242E"/>
                <w:sz w:val="14"/>
              </w:rPr>
              <w:t>Fama–MacBeth; alternative market cap/supply; winsorization</w:t>
            </w:r>
          </w:p>
        </w:tc>
      </w:tr>
      <w:tr>
        <w:tc>
          <w:tcPr>
            <w:tcW w:type="dxa" w:w="1440"/>
            <w:tcMar>
              <w:top w:w="80" w:type="dxa"/>
              <w:start w:w="105" w:type="dxa"/>
              <w:bottom w:w="80" w:type="dxa"/>
              <w:end w:w="105" w:type="dxa"/>
            </w:tcMar>
            <w:vAlign w:val="center"/>
          </w:tcPr>
          <w:p>
            <w:pPr>
              <w:spacing w:after="0" w:line="240" w:lineRule="auto"/>
            </w:pPr>
            <w:r>
              <w:rPr>
                <w:color w:val="17242E"/>
                <w:sz w:val="14"/>
              </w:rPr>
              <w:t>E. Forward returns</w:t>
            </w:r>
          </w:p>
        </w:tc>
        <w:tc>
          <w:tcPr>
            <w:tcW w:type="dxa" w:w="2376"/>
            <w:tcMar>
              <w:top w:w="80" w:type="dxa"/>
              <w:start w:w="105" w:type="dxa"/>
              <w:bottom w:w="80" w:type="dxa"/>
              <w:end w:w="105" w:type="dxa"/>
            </w:tcMar>
            <w:vAlign w:val="center"/>
          </w:tcPr>
          <w:p>
            <w:pPr>
              <w:spacing w:after="0" w:line="240" w:lineRule="auto"/>
            </w:pPr>
            <w:r>
              <w:rPr>
                <w:color w:val="17242E"/>
                <w:sz w:val="14"/>
              </w:rPr>
              <w:t>Do issuance/unlocks and activity changes predict returns?</w:t>
            </w:r>
          </w:p>
        </w:tc>
        <w:tc>
          <w:tcPr>
            <w:tcW w:type="dxa" w:w="3240"/>
            <w:tcMar>
              <w:top w:w="80" w:type="dxa"/>
              <w:start w:w="105" w:type="dxa"/>
              <w:bottom w:w="80" w:type="dxa"/>
              <w:end w:w="105" w:type="dxa"/>
            </w:tcMar>
            <w:vAlign w:val="center"/>
          </w:tcPr>
          <w:p>
            <w:pPr>
              <w:spacing w:after="0" w:line="240" w:lineRule="auto"/>
            </w:pPr>
            <w:r>
              <w:rPr>
                <w:color w:val="17242E"/>
                <w:sz w:val="14"/>
              </w:rPr>
              <w:t>panel predictive regressions; local projections</w:t>
            </w:r>
          </w:p>
        </w:tc>
        <w:tc>
          <w:tcPr>
            <w:tcW w:type="dxa" w:w="2880"/>
            <w:tcMar>
              <w:top w:w="80" w:type="dxa"/>
              <w:start w:w="105" w:type="dxa"/>
              <w:bottom w:w="80" w:type="dxa"/>
              <w:end w:w="105" w:type="dxa"/>
            </w:tcMar>
            <w:vAlign w:val="center"/>
          </w:tcPr>
          <w:p>
            <w:pPr>
              <w:spacing w:after="0" w:line="240" w:lineRule="auto"/>
            </w:pPr>
            <w:r>
              <w:rPr>
                <w:color w:val="17242E"/>
                <w:sz w:val="14"/>
              </w:rPr>
              <w:t>Newey–West/two-way clusters; market/beta controls</w:t>
            </w:r>
          </w:p>
        </w:tc>
      </w:tr>
      <w:tr>
        <w:tc>
          <w:tcPr>
            <w:tcW w:type="dxa" w:w="1440"/>
            <w:tcMar>
              <w:top w:w="80" w:type="dxa"/>
              <w:start w:w="105" w:type="dxa"/>
              <w:bottom w:w="80" w:type="dxa"/>
              <w:end w:w="105" w:type="dxa"/>
            </w:tcMar>
            <w:vAlign w:val="center"/>
            <w:shd w:fill="F4F7F9"/>
          </w:tcPr>
          <w:p>
            <w:pPr>
              <w:spacing w:after="0" w:line="240" w:lineRule="auto"/>
            </w:pPr>
            <w:r>
              <w:rPr>
                <w:color w:val="17242E"/>
                <w:sz w:val="14"/>
              </w:rPr>
              <w:t>F. Mechanism events</w:t>
            </w:r>
          </w:p>
        </w:tc>
        <w:tc>
          <w:tcPr>
            <w:tcW w:type="dxa" w:w="2376"/>
            <w:tcMar>
              <w:top w:w="80" w:type="dxa"/>
              <w:start w:w="105" w:type="dxa"/>
              <w:bottom w:w="80" w:type="dxa"/>
              <w:end w:w="105" w:type="dxa"/>
            </w:tcMar>
            <w:vAlign w:val="center"/>
            <w:shd w:fill="F4F7F9"/>
          </w:tcPr>
          <w:p>
            <w:pPr>
              <w:spacing w:after="0" w:line="240" w:lineRule="auto"/>
            </w:pPr>
            <w:r>
              <w:rPr>
                <w:color w:val="17242E"/>
                <w:sz w:val="14"/>
              </w:rPr>
              <w:t>What happens when burn, fee switch, staking, or redemption terms activate?</w:t>
            </w:r>
          </w:p>
        </w:tc>
        <w:tc>
          <w:tcPr>
            <w:tcW w:type="dxa" w:w="3240"/>
            <w:tcMar>
              <w:top w:w="80" w:type="dxa"/>
              <w:start w:w="105" w:type="dxa"/>
              <w:bottom w:w="80" w:type="dxa"/>
              <w:end w:w="105" w:type="dxa"/>
            </w:tcMar>
            <w:vAlign w:val="center"/>
            <w:shd w:fill="F4F7F9"/>
          </w:tcPr>
          <w:p>
            <w:pPr>
              <w:spacing w:after="0" w:line="240" w:lineRule="auto"/>
            </w:pPr>
            <w:r>
              <w:rPr>
                <w:color w:val="17242E"/>
                <w:sz w:val="14"/>
              </w:rPr>
              <w:t>event study / difference-in-differences</w:t>
            </w:r>
          </w:p>
        </w:tc>
        <w:tc>
          <w:tcPr>
            <w:tcW w:type="dxa" w:w="2880"/>
            <w:tcMar>
              <w:top w:w="80" w:type="dxa"/>
              <w:start w:w="105" w:type="dxa"/>
              <w:bottom w:w="80" w:type="dxa"/>
              <w:end w:w="105" w:type="dxa"/>
            </w:tcMar>
            <w:vAlign w:val="center"/>
            <w:shd w:fill="F4F7F9"/>
          </w:tcPr>
          <w:p>
            <w:pPr>
              <w:spacing w:after="0" w:line="240" w:lineRule="auto"/>
            </w:pPr>
            <w:r>
              <w:rPr>
                <w:color w:val="17242E"/>
                <w:sz w:val="14"/>
              </w:rPr>
              <w:t>pre-trends; matched controls; placebo dates</w:t>
            </w:r>
          </w:p>
        </w:tc>
      </w:tr>
      <w:tr>
        <w:tc>
          <w:tcPr>
            <w:tcW w:type="dxa" w:w="1440"/>
            <w:tcMar>
              <w:top w:w="80" w:type="dxa"/>
              <w:start w:w="105" w:type="dxa"/>
              <w:bottom w:w="80" w:type="dxa"/>
              <w:end w:w="105" w:type="dxa"/>
            </w:tcMar>
            <w:vAlign w:val="center"/>
          </w:tcPr>
          <w:p>
            <w:pPr>
              <w:spacing w:after="0" w:line="240" w:lineRule="auto"/>
            </w:pPr>
            <w:r>
              <w:rPr>
                <w:color w:val="17242E"/>
                <w:sz w:val="14"/>
              </w:rPr>
              <w:t>G. Out-of-sample</w:t>
            </w:r>
          </w:p>
        </w:tc>
        <w:tc>
          <w:tcPr>
            <w:tcW w:type="dxa" w:w="2376"/>
            <w:tcMar>
              <w:top w:w="80" w:type="dxa"/>
              <w:start w:w="105" w:type="dxa"/>
              <w:bottom w:w="80" w:type="dxa"/>
              <w:end w:w="105" w:type="dxa"/>
            </w:tcMar>
            <w:vAlign w:val="center"/>
          </w:tcPr>
          <w:p>
            <w:pPr>
              <w:spacing w:after="0" w:line="240" w:lineRule="auto"/>
            </w:pPr>
            <w:r>
              <w:rPr>
                <w:color w:val="17242E"/>
                <w:sz w:val="14"/>
              </w:rPr>
              <w:t>Does economic design improve prediction?</w:t>
            </w:r>
          </w:p>
        </w:tc>
        <w:tc>
          <w:tcPr>
            <w:tcW w:type="dxa" w:w="3240"/>
            <w:tcMar>
              <w:top w:w="80" w:type="dxa"/>
              <w:start w:w="105" w:type="dxa"/>
              <w:bottom w:w="80" w:type="dxa"/>
              <w:end w:w="105" w:type="dxa"/>
            </w:tcMar>
            <w:vAlign w:val="center"/>
          </w:tcPr>
          <w:p>
            <w:pPr>
              <w:spacing w:after="0" w:line="240" w:lineRule="auto"/>
            </w:pPr>
            <w:r>
              <w:rPr>
                <w:color w:val="17242E"/>
                <w:sz w:val="14"/>
              </w:rPr>
              <w:t>rolling/expanding windows; nested models</w:t>
            </w:r>
          </w:p>
        </w:tc>
        <w:tc>
          <w:tcPr>
            <w:tcW w:type="dxa" w:w="2880"/>
            <w:tcMar>
              <w:top w:w="80" w:type="dxa"/>
              <w:start w:w="105" w:type="dxa"/>
              <w:bottom w:w="80" w:type="dxa"/>
              <w:end w:w="105" w:type="dxa"/>
            </w:tcMar>
            <w:vAlign w:val="center"/>
          </w:tcPr>
          <w:p>
            <w:pPr>
              <w:spacing w:after="0" w:line="240" w:lineRule="auto"/>
            </w:pPr>
            <w:r>
              <w:rPr>
                <w:color w:val="17242E"/>
                <w:sz w:val="14"/>
              </w:rPr>
              <w:t>time-series CV; no random shuffle; calibration</w:t>
            </w:r>
          </w:p>
        </w:tc>
      </w:tr>
    </w:tbl>
    <w:p>
      <w:pPr>
        <w:spacing w:after="20"/>
      </w:pPr>
    </w:p>
    <w:p>
      <w:pPr>
        <w:pStyle w:val="Heading2"/>
      </w:pPr>
      <w:r>
        <w:rPr>
          <w:b w:val="0"/>
          <w:i w:val="0"/>
        </w:rPr>
        <w:t>Identification and inference</w:t>
      </w:r>
    </w:p>
    <w:p>
      <w:pPr>
        <w:pStyle w:val="ListBullet"/>
      </w:pPr>
      <w:r>
        <w:rPr>
          <w:b w:val="0"/>
          <w:i w:val="0"/>
        </w:rPr>
        <w:t>Most results are associational unless a credible event or instrument supports causal interpretation.</w:t>
      </w:r>
    </w:p>
    <w:p>
      <w:pPr>
        <w:pStyle w:val="ListBullet"/>
      </w:pPr>
      <w:r>
        <w:rPr>
          <w:b w:val="0"/>
          <w:i w:val="0"/>
        </w:rPr>
        <w:t>Lag design and reserve variables by their public-availability date; never backfill information before disclosure.</w:t>
      </w:r>
    </w:p>
    <w:p>
      <w:pPr>
        <w:pStyle w:val="ListBullet"/>
      </w:pPr>
      <w:r>
        <w:rPr>
          <w:b w:val="0"/>
          <w:i w:val="0"/>
        </w:rPr>
        <w:t>Use asset and time fixed effects, chain/sector trends where justified, and two-way clustered or Driscoll–Kraay errors as appropriate.</w:t>
      </w:r>
    </w:p>
    <w:p>
      <w:pPr>
        <w:pStyle w:val="ListBullet"/>
      </w:pPr>
      <w:r>
        <w:rPr>
          <w:b w:val="0"/>
          <w:i w:val="0"/>
        </w:rPr>
        <w:t>Address endogeneity with event timing, pre-trends, instrumental variables only where defensible, and explicit sensitivity analysis.</w:t>
      </w:r>
    </w:p>
    <w:p>
      <w:pPr>
        <w:pStyle w:val="ListBullet"/>
      </w:pPr>
      <w:r>
        <w:rPr>
          <w:b w:val="0"/>
          <w:i w:val="0"/>
        </w:rPr>
        <w:t>Winsorization thresholds, transformations, and missing-data treatment are preregistered; report untrimmed results.</w:t>
      </w:r>
    </w:p>
    <w:p>
      <w:pPr>
        <w:pStyle w:val="ListBullet"/>
      </w:pPr>
      <w:r>
        <w:rPr>
          <w:b w:val="0"/>
          <w:i w:val="0"/>
        </w:rPr>
        <w:t>Control false discovery across hypothesis families and clearly label exploratory results.</w:t>
      </w:r>
    </w:p>
    <w:p>
      <w:pPr>
        <w:pStyle w:val="Heading2"/>
      </w:pPr>
      <w:r>
        <w:rPr>
          <w:b w:val="0"/>
          <w:i w:val="0"/>
        </w:rPr>
        <w:t>Minimum viable analysis deliverables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592"/>
            <w:shd w:fill="183A5A"/>
            <w:tcMar>
              <w:top w:w="80" w:type="dxa"/>
              <w:start w:w="105" w:type="dxa"/>
              <w:bottom w:w="80" w:type="dxa"/>
              <w:end w:w="105" w:type="dxa"/>
            </w:tcMar>
            <w:vAlign w:val="center"/>
          </w:tcPr>
          <w:p>
            <w:pPr>
              <w:spacing w:after="0"/>
            </w:pPr>
            <w:r>
              <w:rPr>
                <w:b/>
                <w:color w:val="FFFFFF"/>
                <w:sz w:val="16"/>
              </w:rPr>
              <w:t>Deliverable</w:t>
            </w:r>
          </w:p>
        </w:tc>
        <w:tc>
          <w:tcPr>
            <w:tcW w:type="dxa" w:w="7344"/>
            <w:shd w:fill="183A5A"/>
            <w:tcMar>
              <w:top w:w="80" w:type="dxa"/>
              <w:start w:w="105" w:type="dxa"/>
              <w:bottom w:w="80" w:type="dxa"/>
              <w:end w:w="105" w:type="dxa"/>
            </w:tcMar>
            <w:vAlign w:val="center"/>
          </w:tcPr>
          <w:p>
            <w:pPr>
              <w:spacing w:after="0"/>
            </w:pPr>
            <w:r>
              <w:rPr>
                <w:b/>
                <w:color w:val="FFFFFF"/>
                <w:sz w:val="16"/>
              </w:rPr>
              <w:t>Acceptance criterion</w:t>
            </w:r>
          </w:p>
        </w:tc>
      </w:tr>
      <w:tr>
        <w:tc>
          <w:tcPr>
            <w:tcW w:type="dxa" w:w="2592"/>
            <w:tcMar>
              <w:top w:w="80" w:type="dxa"/>
              <w:start w:w="105" w:type="dxa"/>
              <w:bottom w:w="80" w:type="dxa"/>
              <w:end w:w="105" w:type="dxa"/>
            </w:tcMar>
            <w:vAlign w:val="center"/>
          </w:tcPr>
          <w:p>
            <w:pPr>
              <w:spacing w:after="0" w:line="240" w:lineRule="auto"/>
            </w:pPr>
            <w:r>
              <w:rPr>
                <w:color w:val="17242E"/>
                <w:sz w:val="16"/>
              </w:rPr>
              <w:t>Phase 1 frozen codebook</w:t>
            </w:r>
          </w:p>
        </w:tc>
        <w:tc>
          <w:tcPr>
            <w:tcW w:type="dxa" w:w="7344"/>
            <w:tcMar>
              <w:top w:w="80" w:type="dxa"/>
              <w:start w:w="105" w:type="dxa"/>
              <w:bottom w:w="80" w:type="dxa"/>
              <w:end w:w="105" w:type="dxa"/>
            </w:tcMar>
            <w:vAlign w:val="center"/>
          </w:tcPr>
          <w:p>
            <w:pPr>
              <w:spacing w:after="0" w:line="240" w:lineRule="auto"/>
            </w:pPr>
            <w:r>
              <w:rPr>
                <w:color w:val="17242E"/>
                <w:sz w:val="16"/>
              </w:rPr>
              <w:t>all assets coded with dated evidence; κ reported; disputes resolved</w:t>
            </w:r>
          </w:p>
        </w:tc>
      </w:tr>
      <w:tr>
        <w:tc>
          <w:tcPr>
            <w:tcW w:type="dxa" w:w="2592"/>
            <w:tcMar>
              <w:top w:w="80" w:type="dxa"/>
              <w:start w:w="105" w:type="dxa"/>
              <w:bottom w:w="80" w:type="dxa"/>
              <w:end w:w="105" w:type="dxa"/>
            </w:tcMar>
            <w:vAlign w:val="center"/>
            <w:shd w:fill="F4F7F9"/>
          </w:tcPr>
          <w:p>
            <w:pPr>
              <w:spacing w:after="0" w:line="240" w:lineRule="auto"/>
            </w:pPr>
            <w:r>
              <w:rPr>
                <w:color w:val="17242E"/>
                <w:sz w:val="16"/>
              </w:rPr>
              <w:t>Stablecoin panel</w:t>
            </w:r>
          </w:p>
        </w:tc>
        <w:tc>
          <w:tcPr>
            <w:tcW w:type="dxa" w:w="7344"/>
            <w:tcMar>
              <w:top w:w="80" w:type="dxa"/>
              <w:start w:w="105" w:type="dxa"/>
              <w:bottom w:w="80" w:type="dxa"/>
              <w:end w:w="105" w:type="dxa"/>
            </w:tcMar>
            <w:vAlign w:val="center"/>
            <w:shd w:fill="F4F7F9"/>
          </w:tcPr>
          <w:p>
            <w:pPr>
              <w:spacing w:after="0" w:line="240" w:lineRule="auto"/>
            </w:pPr>
            <w:r>
              <w:rPr>
                <w:color w:val="17242E"/>
                <w:sz w:val="16"/>
              </w:rPr>
              <w:t>price and design history with episode labels and QA report</w:t>
            </w:r>
          </w:p>
        </w:tc>
      </w:tr>
      <w:tr>
        <w:tc>
          <w:tcPr>
            <w:tcW w:type="dxa" w:w="2592"/>
            <w:tcMar>
              <w:top w:w="80" w:type="dxa"/>
              <w:start w:w="105" w:type="dxa"/>
              <w:bottom w:w="80" w:type="dxa"/>
              <w:end w:w="105" w:type="dxa"/>
            </w:tcMar>
            <w:vAlign w:val="center"/>
          </w:tcPr>
          <w:p>
            <w:pPr>
              <w:spacing w:after="0" w:line="240" w:lineRule="auto"/>
            </w:pPr>
            <w:r>
              <w:rPr>
                <w:color w:val="17242E"/>
                <w:sz w:val="16"/>
              </w:rPr>
              <w:t>Crypto panel</w:t>
            </w:r>
          </w:p>
        </w:tc>
        <w:tc>
          <w:tcPr>
            <w:tcW w:type="dxa" w:w="7344"/>
            <w:tcMar>
              <w:top w:w="80" w:type="dxa"/>
              <w:start w:w="105" w:type="dxa"/>
              <w:bottom w:w="80" w:type="dxa"/>
              <w:end w:w="105" w:type="dxa"/>
            </w:tcMar>
            <w:vAlign w:val="center"/>
          </w:tcPr>
          <w:p>
            <w:pPr>
              <w:spacing w:after="0" w:line="240" w:lineRule="auto"/>
            </w:pPr>
            <w:r>
              <w:rPr>
                <w:color w:val="17242E"/>
                <w:sz w:val="16"/>
              </w:rPr>
              <w:t>daily/monthly fundamentals with lineage and missingness map</w:t>
            </w:r>
          </w:p>
        </w:tc>
      </w:tr>
      <w:tr>
        <w:tc>
          <w:tcPr>
            <w:tcW w:type="dxa" w:w="2592"/>
            <w:tcMar>
              <w:top w:w="80" w:type="dxa"/>
              <w:start w:w="105" w:type="dxa"/>
              <w:bottom w:w="80" w:type="dxa"/>
              <w:end w:w="105" w:type="dxa"/>
            </w:tcMar>
            <w:vAlign w:val="center"/>
            <w:shd w:fill="F4F7F9"/>
          </w:tcPr>
          <w:p>
            <w:pPr>
              <w:spacing w:after="0" w:line="240" w:lineRule="auto"/>
            </w:pPr>
            <w:r>
              <w:rPr>
                <w:color w:val="17242E"/>
                <w:sz w:val="16"/>
              </w:rPr>
              <w:t>Descriptive atlas</w:t>
            </w:r>
          </w:p>
        </w:tc>
        <w:tc>
          <w:tcPr>
            <w:tcW w:type="dxa" w:w="7344"/>
            <w:tcMar>
              <w:top w:w="80" w:type="dxa"/>
              <w:start w:w="105" w:type="dxa"/>
              <w:bottom w:w="80" w:type="dxa"/>
              <w:end w:w="105" w:type="dxa"/>
            </w:tcMar>
            <w:vAlign w:val="center"/>
            <w:shd w:fill="F4F7F9"/>
          </w:tcPr>
          <w:p>
            <w:pPr>
              <w:spacing w:after="0" w:line="240" w:lineRule="auto"/>
            </w:pPr>
            <w:r>
              <w:rPr>
                <w:color w:val="17242E"/>
                <w:sz w:val="16"/>
              </w:rPr>
              <w:t>coverage, distributions, correlations, and failure cases</w:t>
            </w:r>
          </w:p>
        </w:tc>
      </w:tr>
      <w:tr>
        <w:tc>
          <w:tcPr>
            <w:tcW w:type="dxa" w:w="2592"/>
            <w:tcMar>
              <w:top w:w="80" w:type="dxa"/>
              <w:start w:w="105" w:type="dxa"/>
              <w:bottom w:w="80" w:type="dxa"/>
              <w:end w:w="105" w:type="dxa"/>
            </w:tcMar>
            <w:vAlign w:val="center"/>
          </w:tcPr>
          <w:p>
            <w:pPr>
              <w:spacing w:after="0" w:line="240" w:lineRule="auto"/>
            </w:pPr>
            <w:r>
              <w:rPr>
                <w:color w:val="17242E"/>
                <w:sz w:val="16"/>
              </w:rPr>
              <w:t>H1–H8 model pack</w:t>
            </w:r>
          </w:p>
        </w:tc>
        <w:tc>
          <w:tcPr>
            <w:tcW w:type="dxa" w:w="7344"/>
            <w:tcMar>
              <w:top w:w="80" w:type="dxa"/>
              <w:start w:w="105" w:type="dxa"/>
              <w:bottom w:w="80" w:type="dxa"/>
              <w:end w:w="105" w:type="dxa"/>
            </w:tcMar>
            <w:vAlign w:val="center"/>
          </w:tcPr>
          <w:p>
            <w:pPr>
              <w:spacing w:after="0" w:line="240" w:lineRule="auto"/>
            </w:pPr>
            <w:r>
              <w:rPr>
                <w:color w:val="17242E"/>
                <w:sz w:val="16"/>
              </w:rPr>
              <w:t>primary + preregistered robustness tables, diagnostics, effect sizes</w:t>
            </w:r>
          </w:p>
        </w:tc>
      </w:tr>
      <w:tr>
        <w:tc>
          <w:tcPr>
            <w:tcW w:type="dxa" w:w="2592"/>
            <w:tcMar>
              <w:top w:w="80" w:type="dxa"/>
              <w:start w:w="105" w:type="dxa"/>
              <w:bottom w:w="80" w:type="dxa"/>
              <w:end w:w="105" w:type="dxa"/>
            </w:tcMar>
            <w:vAlign w:val="center"/>
            <w:shd w:fill="F4F7F9"/>
          </w:tcPr>
          <w:p>
            <w:pPr>
              <w:spacing w:after="0" w:line="240" w:lineRule="auto"/>
            </w:pPr>
            <w:r>
              <w:rPr>
                <w:color w:val="17242E"/>
                <w:sz w:val="16"/>
              </w:rPr>
              <w:t>Reproducibility bundle</w:t>
            </w:r>
          </w:p>
        </w:tc>
        <w:tc>
          <w:tcPr>
            <w:tcW w:type="dxa" w:w="7344"/>
            <w:tcMar>
              <w:top w:w="80" w:type="dxa"/>
              <w:start w:w="105" w:type="dxa"/>
              <w:bottom w:w="80" w:type="dxa"/>
              <w:end w:w="105" w:type="dxa"/>
            </w:tcMar>
            <w:vAlign w:val="center"/>
            <w:shd w:fill="F4F7F9"/>
          </w:tcPr>
          <w:p>
            <w:pPr>
              <w:spacing w:after="0" w:line="240" w:lineRule="auto"/>
            </w:pPr>
            <w:r>
              <w:rPr>
                <w:color w:val="17242E"/>
                <w:sz w:val="16"/>
              </w:rPr>
              <w:t>environment lock, scripts, config, checksums, codebook, README</w:t>
            </w:r>
          </w:p>
        </w:tc>
      </w:tr>
    </w:tbl>
    <w:p>
      <w:pPr>
        <w:spacing w:after="20"/>
      </w:pPr>
    </w:p>
    <w:p>
      <w:pPr>
        <w:pStyle w:val="Heading1"/>
      </w:pPr>
      <w:r>
        <w:rPr>
          <w:b w:val="0"/>
          <w:i w:val="0"/>
        </w:rPr>
        <w:t>14. Validation, governance, and limitations</w:t>
      </w:r>
    </w:p>
    <w:p>
      <w:pPr>
        <w:pStyle w:val="Heading2"/>
      </w:pPr>
      <w:r>
        <w:rPr>
          <w:b w:val="0"/>
          <w:i w:val="0"/>
        </w:rPr>
        <w:t>Quality gates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872"/>
            <w:shd w:fill="183A5A"/>
            <w:tcMar>
              <w:top w:w="80" w:type="dxa"/>
              <w:start w:w="105" w:type="dxa"/>
              <w:bottom w:w="80" w:type="dxa"/>
              <w:end w:w="105" w:type="dxa"/>
            </w:tcMar>
            <w:vAlign w:val="center"/>
          </w:tcPr>
          <w:p>
            <w:pPr>
              <w:spacing w:after="0"/>
            </w:pPr>
            <w:r>
              <w:rPr>
                <w:b/>
                <w:color w:val="FFFFFF"/>
                <w:sz w:val="16"/>
              </w:rPr>
              <w:t>Gate</w:t>
            </w:r>
          </w:p>
        </w:tc>
        <w:tc>
          <w:tcPr>
            <w:tcW w:type="dxa" w:w="8064"/>
            <w:shd w:fill="183A5A"/>
            <w:tcMar>
              <w:top w:w="80" w:type="dxa"/>
              <w:start w:w="105" w:type="dxa"/>
              <w:bottom w:w="80" w:type="dxa"/>
              <w:end w:w="105" w:type="dxa"/>
            </w:tcMar>
            <w:vAlign w:val="center"/>
          </w:tcPr>
          <w:p>
            <w:pPr>
              <w:spacing w:after="0"/>
            </w:pPr>
            <w:r>
              <w:rPr>
                <w:b/>
                <w:color w:val="FFFFFF"/>
                <w:sz w:val="16"/>
              </w:rPr>
              <w:t>Test</w:t>
            </w:r>
          </w:p>
        </w:tc>
      </w:tr>
      <w:tr>
        <w:tc>
          <w:tcPr>
            <w:tcW w:type="dxa" w:w="1872"/>
            <w:tcMar>
              <w:top w:w="80" w:type="dxa"/>
              <w:start w:w="105" w:type="dxa"/>
              <w:bottom w:w="80" w:type="dxa"/>
              <w:end w:w="105" w:type="dxa"/>
            </w:tcMar>
            <w:vAlign w:val="center"/>
          </w:tcPr>
          <w:p>
            <w:pPr>
              <w:spacing w:after="0" w:line="240" w:lineRule="auto"/>
            </w:pPr>
            <w:r>
              <w:rPr>
                <w:color w:val="17242E"/>
                <w:sz w:val="16"/>
              </w:rPr>
              <w:t>Classification</w:t>
            </w:r>
          </w:p>
        </w:tc>
        <w:tc>
          <w:tcPr>
            <w:tcW w:type="dxa" w:w="8064"/>
            <w:tcMar>
              <w:top w:w="80" w:type="dxa"/>
              <w:start w:w="105" w:type="dxa"/>
              <w:bottom w:w="80" w:type="dxa"/>
              <w:end w:w="105" w:type="dxa"/>
            </w:tcMar>
            <w:vAlign w:val="center"/>
          </w:tcPr>
          <w:p>
            <w:pPr>
              <w:spacing w:after="0" w:line="240" w:lineRule="auto"/>
            </w:pPr>
            <w:r>
              <w:rPr>
                <w:color w:val="17242E"/>
                <w:sz w:val="16"/>
              </w:rPr>
              <w:t>two-coder agreement; evidence completeness; point-in-time validity</w:t>
            </w:r>
          </w:p>
        </w:tc>
      </w:tr>
      <w:tr>
        <w:tc>
          <w:tcPr>
            <w:tcW w:type="dxa" w:w="1872"/>
            <w:tcMar>
              <w:top w:w="80" w:type="dxa"/>
              <w:start w:w="105" w:type="dxa"/>
              <w:bottom w:w="80" w:type="dxa"/>
              <w:end w:w="105" w:type="dxa"/>
            </w:tcMar>
            <w:vAlign w:val="center"/>
            <w:shd w:fill="F4F7F9"/>
          </w:tcPr>
          <w:p>
            <w:pPr>
              <w:spacing w:after="0" w:line="240" w:lineRule="auto"/>
            </w:pPr>
            <w:r>
              <w:rPr>
                <w:color w:val="17242E"/>
                <w:sz w:val="16"/>
              </w:rPr>
              <w:t>Identity</w:t>
            </w:r>
          </w:p>
        </w:tc>
        <w:tc>
          <w:tcPr>
            <w:tcW w:type="dxa" w:w="8064"/>
            <w:tcMar>
              <w:top w:w="80" w:type="dxa"/>
              <w:start w:w="105" w:type="dxa"/>
              <w:bottom w:w="80" w:type="dxa"/>
              <w:end w:w="105" w:type="dxa"/>
            </w:tcMar>
            <w:vAlign w:val="center"/>
            <w:shd w:fill="F4F7F9"/>
          </w:tcPr>
          <w:p>
            <w:pPr>
              <w:spacing w:after="0" w:line="240" w:lineRule="auto"/>
            </w:pPr>
            <w:r>
              <w:rPr>
                <w:color w:val="17242E"/>
                <w:sz w:val="16"/>
              </w:rPr>
              <w:t>chain-qualified contract; migrations and wrapped assets reconciled</w:t>
            </w:r>
          </w:p>
        </w:tc>
      </w:tr>
      <w:tr>
        <w:tc>
          <w:tcPr>
            <w:tcW w:type="dxa" w:w="1872"/>
            <w:tcMar>
              <w:top w:w="80" w:type="dxa"/>
              <w:start w:w="105" w:type="dxa"/>
              <w:bottom w:w="80" w:type="dxa"/>
              <w:end w:w="105" w:type="dxa"/>
            </w:tcMar>
            <w:vAlign w:val="center"/>
          </w:tcPr>
          <w:p>
            <w:pPr>
              <w:spacing w:after="0" w:line="240" w:lineRule="auto"/>
            </w:pPr>
            <w:r>
              <w:rPr>
                <w:color w:val="17242E"/>
                <w:sz w:val="16"/>
              </w:rPr>
              <w:t>Market data</w:t>
            </w:r>
          </w:p>
        </w:tc>
        <w:tc>
          <w:tcPr>
            <w:tcW w:type="dxa" w:w="8064"/>
            <w:tcMar>
              <w:top w:w="80" w:type="dxa"/>
              <w:start w:w="105" w:type="dxa"/>
              <w:bottom w:w="80" w:type="dxa"/>
              <w:end w:w="105" w:type="dxa"/>
            </w:tcMar>
            <w:vAlign w:val="center"/>
          </w:tcPr>
          <w:p>
            <w:pPr>
              <w:spacing w:after="0" w:line="240" w:lineRule="auto"/>
            </w:pPr>
            <w:r>
              <w:rPr>
                <w:color w:val="17242E"/>
                <w:sz w:val="16"/>
              </w:rPr>
              <w:t>cross-vendor price tolerance; stale/zero-volume filters; outlier review</w:t>
            </w:r>
          </w:p>
        </w:tc>
      </w:tr>
      <w:tr>
        <w:tc>
          <w:tcPr>
            <w:tcW w:type="dxa" w:w="1872"/>
            <w:tcMar>
              <w:top w:w="80" w:type="dxa"/>
              <w:start w:w="105" w:type="dxa"/>
              <w:bottom w:w="80" w:type="dxa"/>
              <w:end w:w="105" w:type="dxa"/>
            </w:tcMar>
            <w:vAlign w:val="center"/>
            <w:shd w:fill="F4F7F9"/>
          </w:tcPr>
          <w:p>
            <w:pPr>
              <w:spacing w:after="0" w:line="240" w:lineRule="auto"/>
            </w:pPr>
            <w:r>
              <w:rPr>
                <w:color w:val="17242E"/>
                <w:sz w:val="16"/>
              </w:rPr>
              <w:t>Accounting</w:t>
            </w:r>
          </w:p>
        </w:tc>
        <w:tc>
          <w:tcPr>
            <w:tcW w:type="dxa" w:w="8064"/>
            <w:tcMar>
              <w:top w:w="80" w:type="dxa"/>
              <w:start w:w="105" w:type="dxa"/>
              <w:bottom w:w="80" w:type="dxa"/>
              <w:end w:w="105" w:type="dxa"/>
            </w:tcMar>
            <w:vAlign w:val="center"/>
            <w:shd w:fill="F4F7F9"/>
          </w:tcPr>
          <w:p>
            <w:pPr>
              <w:spacing w:after="0" w:line="240" w:lineRule="auto"/>
            </w:pPr>
            <w:r>
              <w:rPr>
                <w:color w:val="17242E"/>
                <w:sz w:val="16"/>
              </w:rPr>
              <w:t>fees ≠ revenue ≠ tokenholder revenue; flows and stocks not mixed</w:t>
            </w:r>
          </w:p>
        </w:tc>
      </w:tr>
      <w:tr>
        <w:tc>
          <w:tcPr>
            <w:tcW w:type="dxa" w:w="1872"/>
            <w:tcMar>
              <w:top w:w="80" w:type="dxa"/>
              <w:start w:w="105" w:type="dxa"/>
              <w:bottom w:w="80" w:type="dxa"/>
              <w:end w:w="105" w:type="dxa"/>
            </w:tcMar>
            <w:vAlign w:val="center"/>
          </w:tcPr>
          <w:p>
            <w:pPr>
              <w:spacing w:after="0" w:line="240" w:lineRule="auto"/>
            </w:pPr>
            <w:r>
              <w:rPr>
                <w:color w:val="17242E"/>
                <w:sz w:val="16"/>
              </w:rPr>
              <w:t>Time</w:t>
            </w:r>
          </w:p>
        </w:tc>
        <w:tc>
          <w:tcPr>
            <w:tcW w:type="dxa" w:w="8064"/>
            <w:tcMar>
              <w:top w:w="80" w:type="dxa"/>
              <w:start w:w="105" w:type="dxa"/>
              <w:bottom w:w="80" w:type="dxa"/>
              <w:end w:w="105" w:type="dxa"/>
            </w:tcMar>
            <w:vAlign w:val="center"/>
          </w:tcPr>
          <w:p>
            <w:pPr>
              <w:spacing w:after="0" w:line="240" w:lineRule="auto"/>
            </w:pPr>
            <w:r>
              <w:rPr>
                <w:color w:val="17242E"/>
                <w:sz w:val="16"/>
              </w:rPr>
              <w:t>UTC normalization; disclosure-known date; no look-ahead</w:t>
            </w:r>
          </w:p>
        </w:tc>
      </w:tr>
      <w:tr>
        <w:tc>
          <w:tcPr>
            <w:tcW w:type="dxa" w:w="1872"/>
            <w:tcMar>
              <w:top w:w="80" w:type="dxa"/>
              <w:start w:w="105" w:type="dxa"/>
              <w:bottom w:w="80" w:type="dxa"/>
              <w:end w:w="105" w:type="dxa"/>
            </w:tcMar>
            <w:vAlign w:val="center"/>
            <w:shd w:fill="F4F7F9"/>
          </w:tcPr>
          <w:p>
            <w:pPr>
              <w:spacing w:after="0" w:line="240" w:lineRule="auto"/>
            </w:pPr>
            <w:r>
              <w:rPr>
                <w:color w:val="17242E"/>
                <w:sz w:val="16"/>
              </w:rPr>
              <w:t>Models</w:t>
            </w:r>
          </w:p>
        </w:tc>
        <w:tc>
          <w:tcPr>
            <w:tcW w:type="dxa" w:w="8064"/>
            <w:tcMar>
              <w:top w:w="80" w:type="dxa"/>
              <w:start w:w="105" w:type="dxa"/>
              <w:bottom w:w="80" w:type="dxa"/>
              <w:end w:w="105" w:type="dxa"/>
            </w:tcMar>
            <w:vAlign w:val="center"/>
            <w:shd w:fill="F4F7F9"/>
          </w:tcPr>
          <w:p>
            <w:pPr>
              <w:spacing w:after="0" w:line="240" w:lineRule="auto"/>
            </w:pPr>
            <w:r>
              <w:rPr>
                <w:color w:val="17242E"/>
                <w:sz w:val="16"/>
              </w:rPr>
              <w:t>residuals, influence, multicollinearity, serial/cross-sectional dependence, calibration</w:t>
            </w:r>
          </w:p>
        </w:tc>
      </w:tr>
      <w:tr>
        <w:tc>
          <w:tcPr>
            <w:tcW w:type="dxa" w:w="1872"/>
            <w:tcMar>
              <w:top w:w="80" w:type="dxa"/>
              <w:start w:w="105" w:type="dxa"/>
              <w:bottom w:w="80" w:type="dxa"/>
              <w:end w:w="105" w:type="dxa"/>
            </w:tcMar>
            <w:vAlign w:val="center"/>
          </w:tcPr>
          <w:p>
            <w:pPr>
              <w:spacing w:after="0" w:line="240" w:lineRule="auto"/>
            </w:pPr>
            <w:r>
              <w:rPr>
                <w:color w:val="17242E"/>
                <w:sz w:val="16"/>
              </w:rPr>
              <w:t>Reproduction</w:t>
            </w:r>
          </w:p>
        </w:tc>
        <w:tc>
          <w:tcPr>
            <w:tcW w:type="dxa" w:w="8064"/>
            <w:tcMar>
              <w:top w:w="80" w:type="dxa"/>
              <w:start w:w="105" w:type="dxa"/>
              <w:bottom w:w="80" w:type="dxa"/>
              <w:end w:w="105" w:type="dxa"/>
            </w:tcMar>
            <w:vAlign w:val="center"/>
          </w:tcPr>
          <w:p>
            <w:pPr>
              <w:spacing w:after="0" w:line="240" w:lineRule="auto"/>
            </w:pPr>
            <w:r>
              <w:rPr>
                <w:color w:val="17242E"/>
                <w:sz w:val="16"/>
              </w:rPr>
              <w:t>clean run from frozen raw snapshot; output hashes and environment captured</w:t>
            </w:r>
          </w:p>
        </w:tc>
      </w:tr>
    </w:tbl>
    <w:p>
      <w:pPr>
        <w:spacing w:after="20"/>
      </w:pPr>
    </w:p>
    <w:p>
      <w:pPr>
        <w:pStyle w:val="Heading2"/>
      </w:pPr>
      <w:r>
        <w:rPr>
          <w:b w:val="0"/>
          <w:i w:val="0"/>
        </w:rPr>
        <w:t>Known limitations</w:t>
      </w:r>
    </w:p>
    <w:p>
      <w:pPr>
        <w:pStyle w:val="ListBullet"/>
      </w:pPr>
      <w:r>
        <w:rPr>
          <w:b w:val="0"/>
          <w:i w:val="0"/>
        </w:rPr>
        <w:t>Token design is endogenous to adoption and governance; simple regressions cannot establish causal value capture.</w:t>
      </w:r>
    </w:p>
    <w:p>
      <w:pPr>
        <w:pStyle w:val="ListBullet"/>
      </w:pPr>
      <w:r>
        <w:rPr>
          <w:b w:val="0"/>
          <w:i w:val="0"/>
        </w:rPr>
        <w:t>On-chain activity may be sybil-driven, automated, bridged, or internally generated.</w:t>
      </w:r>
    </w:p>
    <w:p>
      <w:pPr>
        <w:pStyle w:val="ListBullet"/>
      </w:pPr>
      <w:r>
        <w:rPr>
          <w:b w:val="0"/>
          <w:i w:val="0"/>
        </w:rPr>
        <w:t>Market cap uses circulating-supply estimates that differ across vendors and may overstate realizable value.</w:t>
      </w:r>
    </w:p>
    <w:p>
      <w:pPr>
        <w:pStyle w:val="ListBullet"/>
      </w:pPr>
      <w:r>
        <w:rPr>
          <w:b w:val="0"/>
          <w:i w:val="0"/>
        </w:rPr>
        <w:t>Reserve disclosures vary in frequency, granularity, assurance, and legal meaning.</w:t>
      </w:r>
    </w:p>
    <w:p>
      <w:pPr>
        <w:pStyle w:val="ListBullet"/>
      </w:pPr>
      <w:r>
        <w:rPr>
          <w:b w:val="0"/>
          <w:i w:val="0"/>
        </w:rPr>
        <w:t>Redemption access for eligible primary customers differs from economic exit liquidity for ordinary holders.</w:t>
      </w:r>
    </w:p>
    <w:p>
      <w:pPr>
        <w:pStyle w:val="ListBullet"/>
      </w:pPr>
      <w:r>
        <w:rPr>
          <w:b w:val="0"/>
          <w:i w:val="0"/>
        </w:rPr>
        <w:t>Composite scoring compresses heterogeneous risks; component results must accompany the headline score.</w:t>
      </w:r>
    </w:p>
    <w:p>
      <w:pPr>
        <w:pStyle w:val="ListBullet"/>
      </w:pPr>
      <w:r>
        <w:rPr>
          <w:b w:val="0"/>
          <w:i w:val="0"/>
        </w:rPr>
        <w:t>Regulation and legal claims are jurisdiction- and transaction-specific and can change rapidly.</w:t>
      </w:r>
    </w:p>
    <w:p>
      <w:pPr>
        <w:pStyle w:val="Heading2"/>
      </w:pPr>
      <w:r>
        <w:rPr>
          <w:b w:val="0"/>
          <w:i w:val="0"/>
        </w:rPr>
        <w:t>Decision log for next notebook revision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4176"/>
            <w:shd w:fill="183A5A"/>
            <w:tcMar>
              <w:top w:w="80" w:type="dxa"/>
              <w:start w:w="105" w:type="dxa"/>
              <w:bottom w:w="80" w:type="dxa"/>
              <w:end w:w="105" w:type="dxa"/>
            </w:tcMar>
            <w:vAlign w:val="center"/>
          </w:tcPr>
          <w:p>
            <w:pPr>
              <w:spacing w:after="0"/>
            </w:pPr>
            <w:r>
              <w:rPr>
                <w:b/>
                <w:color w:val="FFFFFF"/>
                <w:sz w:val="16"/>
              </w:rPr>
              <w:t>Decision</w:t>
            </w:r>
          </w:p>
        </w:tc>
        <w:tc>
          <w:tcPr>
            <w:tcW w:type="dxa" w:w="2160"/>
            <w:shd w:fill="183A5A"/>
            <w:tcMar>
              <w:top w:w="80" w:type="dxa"/>
              <w:start w:w="105" w:type="dxa"/>
              <w:bottom w:w="80" w:type="dxa"/>
              <w:end w:w="105" w:type="dxa"/>
            </w:tcMar>
            <w:vAlign w:val="center"/>
          </w:tcPr>
          <w:p>
            <w:pPr>
              <w:spacing w:after="0"/>
            </w:pPr>
            <w:r>
              <w:rPr>
                <w:b/>
                <w:color w:val="FFFFFF"/>
                <w:sz w:val="16"/>
              </w:rPr>
              <w:t>Owner</w:t>
            </w:r>
          </w:p>
        </w:tc>
        <w:tc>
          <w:tcPr>
            <w:tcW w:type="dxa" w:w="3600"/>
            <w:shd w:fill="183A5A"/>
            <w:tcMar>
              <w:top w:w="80" w:type="dxa"/>
              <w:start w:w="105" w:type="dxa"/>
              <w:bottom w:w="80" w:type="dxa"/>
              <w:end w:w="105" w:type="dxa"/>
            </w:tcMar>
            <w:vAlign w:val="center"/>
          </w:tcPr>
          <w:p>
            <w:pPr>
              <w:spacing w:after="0"/>
            </w:pPr>
            <w:r>
              <w:rPr>
                <w:b/>
                <w:color w:val="FFFFFF"/>
                <w:sz w:val="16"/>
              </w:rPr>
              <w:t>Due before</w:t>
            </w:r>
          </w:p>
        </w:tc>
      </w:tr>
      <w:tr>
        <w:tc>
          <w:tcPr>
            <w:tcW w:type="dxa" w:w="4176"/>
            <w:tcMar>
              <w:top w:w="80" w:type="dxa"/>
              <w:start w:w="105" w:type="dxa"/>
              <w:bottom w:w="80" w:type="dxa"/>
              <w:end w:w="105" w:type="dxa"/>
            </w:tcMar>
            <w:vAlign w:val="center"/>
          </w:tcPr>
          <w:p>
            <w:pPr>
              <w:spacing w:after="0" w:line="240" w:lineRule="auto"/>
            </w:pPr>
            <w:r>
              <w:rPr>
                <w:color w:val="17242E"/>
                <w:sz w:val="16"/>
              </w:rPr>
              <w:t>Finalize asset universe and historical membership rule</w:t>
            </w:r>
          </w:p>
        </w:tc>
        <w:tc>
          <w:tcPr>
            <w:tcW w:type="dxa" w:w="2160"/>
            <w:tcMar>
              <w:top w:w="80" w:type="dxa"/>
              <w:start w:w="105" w:type="dxa"/>
              <w:bottom w:w="80" w:type="dxa"/>
              <w:end w:w="105" w:type="dxa"/>
            </w:tcMar>
            <w:vAlign w:val="center"/>
          </w:tcPr>
          <w:p>
            <w:pPr>
              <w:spacing w:after="0" w:line="240" w:lineRule="auto"/>
            </w:pPr>
            <w:r>
              <w:rPr>
                <w:color w:val="17242E"/>
                <w:sz w:val="16"/>
              </w:rPr>
              <w:t>Researcher</w:t>
            </w:r>
          </w:p>
        </w:tc>
        <w:tc>
          <w:tcPr>
            <w:tcW w:type="dxa" w:w="3600"/>
            <w:tcMar>
              <w:top w:w="80" w:type="dxa"/>
              <w:start w:w="105" w:type="dxa"/>
              <w:bottom w:w="80" w:type="dxa"/>
              <w:end w:w="105" w:type="dxa"/>
            </w:tcMar>
            <w:vAlign w:val="center"/>
          </w:tcPr>
          <w:p>
            <w:pPr>
              <w:spacing w:after="0" w:line="240" w:lineRule="auto"/>
            </w:pPr>
            <w:r>
              <w:rPr>
                <w:color w:val="17242E"/>
                <w:sz w:val="16"/>
              </w:rPr>
              <w:t>first production extract</w:t>
            </w:r>
          </w:p>
        </w:tc>
      </w:tr>
      <w:tr>
        <w:tc>
          <w:tcPr>
            <w:tcW w:type="dxa" w:w="4176"/>
            <w:tcMar>
              <w:top w:w="80" w:type="dxa"/>
              <w:start w:w="105" w:type="dxa"/>
              <w:bottom w:w="80" w:type="dxa"/>
              <w:end w:w="105" w:type="dxa"/>
            </w:tcMar>
            <w:vAlign w:val="center"/>
            <w:shd w:fill="F4F7F9"/>
          </w:tcPr>
          <w:p>
            <w:pPr>
              <w:spacing w:after="0" w:line="240" w:lineRule="auto"/>
            </w:pPr>
            <w:r>
              <w:rPr>
                <w:color w:val="17242E"/>
                <w:sz w:val="16"/>
              </w:rPr>
              <w:t>Select primary market/on-chain vendors and confirm licenses</w:t>
            </w:r>
          </w:p>
        </w:tc>
        <w:tc>
          <w:tcPr>
            <w:tcW w:type="dxa" w:w="2160"/>
            <w:tcMar>
              <w:top w:w="80" w:type="dxa"/>
              <w:start w:w="105" w:type="dxa"/>
              <w:bottom w:w="80" w:type="dxa"/>
              <w:end w:w="105" w:type="dxa"/>
            </w:tcMar>
            <w:vAlign w:val="center"/>
            <w:shd w:fill="F4F7F9"/>
          </w:tcPr>
          <w:p>
            <w:pPr>
              <w:spacing w:after="0" w:line="240" w:lineRule="auto"/>
            </w:pPr>
            <w:r>
              <w:rPr>
                <w:color w:val="17242E"/>
                <w:sz w:val="16"/>
              </w:rPr>
              <w:t>Researcher + adviser</w:t>
            </w:r>
          </w:p>
        </w:tc>
        <w:tc>
          <w:tcPr>
            <w:tcW w:type="dxa" w:w="3600"/>
            <w:tcMar>
              <w:top w:w="80" w:type="dxa"/>
              <w:start w:w="105" w:type="dxa"/>
              <w:bottom w:w="80" w:type="dxa"/>
              <w:end w:w="105" w:type="dxa"/>
            </w:tcMar>
            <w:vAlign w:val="center"/>
            <w:shd w:fill="F4F7F9"/>
          </w:tcPr>
          <w:p>
            <w:pPr>
              <w:spacing w:after="0" w:line="240" w:lineRule="auto"/>
            </w:pPr>
            <w:r>
              <w:rPr>
                <w:color w:val="17242E"/>
                <w:sz w:val="16"/>
              </w:rPr>
              <w:t>data acquisition</w:t>
            </w:r>
          </w:p>
        </w:tc>
      </w:tr>
      <w:tr>
        <w:tc>
          <w:tcPr>
            <w:tcW w:type="dxa" w:w="4176"/>
            <w:tcMar>
              <w:top w:w="80" w:type="dxa"/>
              <w:start w:w="105" w:type="dxa"/>
              <w:bottom w:w="80" w:type="dxa"/>
              <w:end w:w="105" w:type="dxa"/>
            </w:tcMar>
            <w:vAlign w:val="center"/>
          </w:tcPr>
          <w:p>
            <w:pPr>
              <w:spacing w:after="0" w:line="240" w:lineRule="auto"/>
            </w:pPr>
            <w:r>
              <w:rPr>
                <w:color w:val="17242E"/>
                <w:sz w:val="16"/>
              </w:rPr>
              <w:t>Approve reserve-score anchors and missing-data penalty</w:t>
            </w:r>
          </w:p>
        </w:tc>
        <w:tc>
          <w:tcPr>
            <w:tcW w:type="dxa" w:w="2160"/>
            <w:tcMar>
              <w:top w:w="80" w:type="dxa"/>
              <w:start w:w="105" w:type="dxa"/>
              <w:bottom w:w="80" w:type="dxa"/>
              <w:end w:w="105" w:type="dxa"/>
            </w:tcMar>
            <w:vAlign w:val="center"/>
          </w:tcPr>
          <w:p>
            <w:pPr>
              <w:spacing w:after="0" w:line="240" w:lineRule="auto"/>
            </w:pPr>
            <w:r>
              <w:rPr>
                <w:color w:val="17242E"/>
                <w:sz w:val="16"/>
              </w:rPr>
              <w:t>Researcher + adviser</w:t>
            </w:r>
          </w:p>
        </w:tc>
        <w:tc>
          <w:tcPr>
            <w:tcW w:type="dxa" w:w="3600"/>
            <w:tcMar>
              <w:top w:w="80" w:type="dxa"/>
              <w:start w:w="105" w:type="dxa"/>
              <w:bottom w:w="80" w:type="dxa"/>
              <w:end w:w="105" w:type="dxa"/>
            </w:tcMar>
            <w:vAlign w:val="center"/>
          </w:tcPr>
          <w:p>
            <w:pPr>
              <w:spacing w:after="0" w:line="240" w:lineRule="auto"/>
            </w:pPr>
            <w:r>
              <w:rPr>
                <w:color w:val="17242E"/>
                <w:sz w:val="16"/>
              </w:rPr>
              <w:t>stablecoin coding</w:t>
            </w:r>
          </w:p>
        </w:tc>
      </w:tr>
      <w:tr>
        <w:tc>
          <w:tcPr>
            <w:tcW w:type="dxa" w:w="4176"/>
            <w:tcMar>
              <w:top w:w="80" w:type="dxa"/>
              <w:start w:w="105" w:type="dxa"/>
              <w:bottom w:w="80" w:type="dxa"/>
              <w:end w:w="105" w:type="dxa"/>
            </w:tcMar>
            <w:vAlign w:val="center"/>
            <w:shd w:fill="F4F7F9"/>
          </w:tcPr>
          <w:p>
            <w:pPr>
              <w:spacing w:after="0" w:line="240" w:lineRule="auto"/>
            </w:pPr>
            <w:r>
              <w:rPr>
                <w:color w:val="17242E"/>
                <w:sz w:val="16"/>
              </w:rPr>
              <w:t>Pre-register primary windows, bands, and model families</w:t>
            </w:r>
          </w:p>
        </w:tc>
        <w:tc>
          <w:tcPr>
            <w:tcW w:type="dxa" w:w="2160"/>
            <w:tcMar>
              <w:top w:w="80" w:type="dxa"/>
              <w:start w:w="105" w:type="dxa"/>
              <w:bottom w:w="80" w:type="dxa"/>
              <w:end w:w="105" w:type="dxa"/>
            </w:tcMar>
            <w:vAlign w:val="center"/>
            <w:shd w:fill="F4F7F9"/>
          </w:tcPr>
          <w:p>
            <w:pPr>
              <w:spacing w:after="0" w:line="240" w:lineRule="auto"/>
            </w:pPr>
            <w:r>
              <w:rPr>
                <w:color w:val="17242E"/>
                <w:sz w:val="16"/>
              </w:rPr>
              <w:t>Researcher</w:t>
            </w:r>
          </w:p>
        </w:tc>
        <w:tc>
          <w:tcPr>
            <w:tcW w:type="dxa" w:w="3600"/>
            <w:tcMar>
              <w:top w:w="80" w:type="dxa"/>
              <w:start w:w="105" w:type="dxa"/>
              <w:bottom w:w="80" w:type="dxa"/>
              <w:end w:w="105" w:type="dxa"/>
            </w:tcMar>
            <w:vAlign w:val="center"/>
            <w:shd w:fill="F4F7F9"/>
          </w:tcPr>
          <w:p>
            <w:pPr>
              <w:spacing w:after="0" w:line="240" w:lineRule="auto"/>
            </w:pPr>
            <w:r>
              <w:rPr>
                <w:color w:val="17242E"/>
                <w:sz w:val="16"/>
              </w:rPr>
              <w:t>headline estimation</w:t>
            </w:r>
          </w:p>
        </w:tc>
      </w:tr>
      <w:tr>
        <w:tc>
          <w:tcPr>
            <w:tcW w:type="dxa" w:w="4176"/>
            <w:tcMar>
              <w:top w:w="80" w:type="dxa"/>
              <w:start w:w="105" w:type="dxa"/>
              <w:bottom w:w="80" w:type="dxa"/>
              <w:end w:w="105" w:type="dxa"/>
            </w:tcMar>
            <w:vAlign w:val="center"/>
          </w:tcPr>
          <w:p>
            <w:pPr>
              <w:spacing w:after="0" w:line="240" w:lineRule="auto"/>
            </w:pPr>
            <w:r>
              <w:rPr>
                <w:color w:val="17242E"/>
                <w:sz w:val="16"/>
              </w:rPr>
              <w:t>Confirm repository/reproducibility requirements with NYU adviser</w:t>
            </w:r>
          </w:p>
        </w:tc>
        <w:tc>
          <w:tcPr>
            <w:tcW w:type="dxa" w:w="2160"/>
            <w:tcMar>
              <w:top w:w="80" w:type="dxa"/>
              <w:start w:w="105" w:type="dxa"/>
              <w:bottom w:w="80" w:type="dxa"/>
              <w:end w:w="105" w:type="dxa"/>
            </w:tcMar>
            <w:vAlign w:val="center"/>
          </w:tcPr>
          <w:p>
            <w:pPr>
              <w:spacing w:after="0" w:line="240" w:lineRule="auto"/>
            </w:pPr>
            <w:r>
              <w:rPr>
                <w:color w:val="17242E"/>
                <w:sz w:val="16"/>
              </w:rPr>
              <w:t>Researcher</w:t>
            </w:r>
          </w:p>
        </w:tc>
        <w:tc>
          <w:tcPr>
            <w:tcW w:type="dxa" w:w="3600"/>
            <w:tcMar>
              <w:top w:w="80" w:type="dxa"/>
              <w:start w:w="105" w:type="dxa"/>
              <w:bottom w:w="80" w:type="dxa"/>
              <w:end w:w="105" w:type="dxa"/>
            </w:tcMar>
            <w:vAlign w:val="center"/>
          </w:tcPr>
          <w:p>
            <w:pPr>
              <w:spacing w:after="0" w:line="240" w:lineRule="auto"/>
            </w:pPr>
            <w:r>
              <w:rPr>
                <w:color w:val="17242E"/>
                <w:sz w:val="16"/>
              </w:rPr>
              <w:t>submission packaging</w:t>
            </w:r>
          </w:p>
        </w:tc>
      </w:tr>
    </w:tbl>
    <w:p>
      <w:pPr>
        <w:spacing w:after="20"/>
      </w:pPr>
    </w:p>
    <w:p>
      <w:pPr>
        <w:pStyle w:val="Heading1"/>
      </w:pPr>
      <w:r>
        <w:rPr>
          <w:b w:val="0"/>
          <w:i w:val="0"/>
        </w:rPr>
        <w:t>Appendix A. Illustrative value-accrual classifications</w:t>
      </w:r>
    </w:p>
    <w:p>
      <w:r>
        <w:rPr>
          <w:b w:val="0"/>
          <w:i/>
          <w:color w:val="5D6B75"/>
        </w:rPr>
        <w:t>These are baseline examples, not final point-in-time dataset entries. Each must be verified against dated primary evidence.</w:t>
      </w:r>
    </w:p>
    <w:tbl>
      <w:tblPr>
        <w:tblStyle w:val="TableGrid"/>
        <w:tblW w:type="auto" w:w="0"/>
        <w:jc w:val="center"/>
        <w:tblLayout w:type="fixed"/>
        <w:tblLook w:firstColumn="1" w:firstRow="1" w:lastColumn="0" w:lastRow="0" w:noHBand="0" w:noVBand="1" w:val="04A0"/>
      </w:tblPr>
      <w:tblGrid>
        <w:gridCol w:w="823"/>
        <w:gridCol w:w="823"/>
        <w:gridCol w:w="823"/>
        <w:gridCol w:w="823"/>
        <w:gridCol w:w="823"/>
        <w:gridCol w:w="823"/>
        <w:gridCol w:w="823"/>
        <w:gridCol w:w="823"/>
        <w:gridCol w:w="823"/>
        <w:gridCol w:w="823"/>
        <w:gridCol w:w="823"/>
        <w:gridCol w:w="823"/>
      </w:tblGrid>
      <w:tr>
        <w:trPr>
          <w:tblHeader w:val="true"/>
        </w:trPr>
        <w:tc>
          <w:tcPr>
            <w:tcW w:type="dxa" w:w="936"/>
            <w:shd w:fill="183A5A"/>
            <w:tcMar>
              <w:top w:w="80" w:type="dxa"/>
              <w:start w:w="105" w:type="dxa"/>
              <w:bottom w:w="80" w:type="dxa"/>
              <w:end w:w="105" w:type="dxa"/>
            </w:tcMar>
            <w:vAlign w:val="center"/>
          </w:tcPr>
          <w:p>
            <w:pPr>
              <w:spacing w:after="0"/>
            </w:pPr>
            <w:r>
              <w:rPr>
                <w:b/>
                <w:color w:val="FFFFFF"/>
                <w:sz w:val="13"/>
              </w:rPr>
              <w:t>Asset</w:t>
            </w:r>
          </w:p>
        </w:tc>
        <w:tc>
          <w:tcPr>
            <w:tcW w:type="dxa" w:w="475"/>
            <w:shd w:fill="183A5A"/>
            <w:tcMar>
              <w:top w:w="80" w:type="dxa"/>
              <w:start w:w="105" w:type="dxa"/>
              <w:bottom w:w="80" w:type="dxa"/>
              <w:end w:w="105" w:type="dxa"/>
            </w:tcMar>
            <w:vAlign w:val="center"/>
          </w:tcPr>
          <w:p>
            <w:pPr>
              <w:spacing w:after="0"/>
            </w:pPr>
            <w:r>
              <w:rPr>
                <w:b/>
                <w:color w:val="FFFFFF"/>
                <w:sz w:val="13"/>
              </w:rPr>
              <w:t>MON</w:t>
            </w:r>
          </w:p>
        </w:tc>
        <w:tc>
          <w:tcPr>
            <w:tcW w:type="dxa" w:w="475"/>
            <w:shd w:fill="183A5A"/>
            <w:tcMar>
              <w:top w:w="80" w:type="dxa"/>
              <w:start w:w="105" w:type="dxa"/>
              <w:bottom w:w="80" w:type="dxa"/>
              <w:end w:w="105" w:type="dxa"/>
            </w:tcMar>
            <w:vAlign w:val="center"/>
          </w:tcPr>
          <w:p>
            <w:pPr>
              <w:spacing w:after="0"/>
            </w:pPr>
            <w:r>
              <w:rPr>
                <w:b/>
                <w:color w:val="FFFFFF"/>
                <w:sz w:val="13"/>
              </w:rPr>
              <w:t>GAS</w:t>
            </w:r>
          </w:p>
        </w:tc>
        <w:tc>
          <w:tcPr>
            <w:tcW w:type="dxa" w:w="547"/>
            <w:shd w:fill="183A5A"/>
            <w:tcMar>
              <w:top w:w="80" w:type="dxa"/>
              <w:start w:w="105" w:type="dxa"/>
              <w:bottom w:w="80" w:type="dxa"/>
              <w:end w:w="105" w:type="dxa"/>
            </w:tcMar>
            <w:vAlign w:val="center"/>
          </w:tcPr>
          <w:p>
            <w:pPr>
              <w:spacing w:after="0"/>
            </w:pPr>
            <w:r>
              <w:rPr>
                <w:b/>
                <w:color w:val="FFFFFF"/>
                <w:sz w:val="13"/>
              </w:rPr>
              <w:t>STAKE</w:t>
            </w:r>
          </w:p>
        </w:tc>
        <w:tc>
          <w:tcPr>
            <w:tcW w:type="dxa" w:w="547"/>
            <w:shd w:fill="183A5A"/>
            <w:tcMar>
              <w:top w:w="80" w:type="dxa"/>
              <w:start w:w="105" w:type="dxa"/>
              <w:bottom w:w="80" w:type="dxa"/>
              <w:end w:w="105" w:type="dxa"/>
            </w:tcMar>
            <w:vAlign w:val="center"/>
          </w:tcPr>
          <w:p>
            <w:pPr>
              <w:spacing w:after="0"/>
            </w:pPr>
            <w:r>
              <w:rPr>
                <w:b/>
                <w:color w:val="FFFFFF"/>
                <w:sz w:val="13"/>
              </w:rPr>
              <w:t>BURN</w:t>
            </w:r>
          </w:p>
        </w:tc>
        <w:tc>
          <w:tcPr>
            <w:tcW w:type="dxa" w:w="547"/>
            <w:shd w:fill="183A5A"/>
            <w:tcMar>
              <w:top w:w="80" w:type="dxa"/>
              <w:start w:w="105" w:type="dxa"/>
              <w:bottom w:w="80" w:type="dxa"/>
              <w:end w:w="105" w:type="dxa"/>
            </w:tcMar>
            <w:vAlign w:val="center"/>
          </w:tcPr>
          <w:p>
            <w:pPr>
              <w:spacing w:after="0"/>
            </w:pPr>
            <w:r>
              <w:rPr>
                <w:b/>
                <w:color w:val="FFFFFF"/>
                <w:sz w:val="13"/>
              </w:rPr>
              <w:t>SCAR</w:t>
            </w:r>
          </w:p>
        </w:tc>
        <w:tc>
          <w:tcPr>
            <w:tcW w:type="dxa" w:w="547"/>
            <w:shd w:fill="183A5A"/>
            <w:tcMar>
              <w:top w:w="80" w:type="dxa"/>
              <w:start w:w="105" w:type="dxa"/>
              <w:bottom w:w="80" w:type="dxa"/>
              <w:end w:w="105" w:type="dxa"/>
            </w:tcMar>
            <w:vAlign w:val="center"/>
          </w:tcPr>
          <w:p>
            <w:pPr>
              <w:spacing w:after="0"/>
            </w:pPr>
            <w:r>
              <w:rPr>
                <w:b/>
                <w:color w:val="FFFFFF"/>
                <w:sz w:val="13"/>
              </w:rPr>
              <w:t>COLL</w:t>
            </w:r>
          </w:p>
        </w:tc>
        <w:tc>
          <w:tcPr>
            <w:tcW w:type="dxa" w:w="518"/>
            <w:shd w:fill="183A5A"/>
            <w:tcMar>
              <w:top w:w="80" w:type="dxa"/>
              <w:start w:w="105" w:type="dxa"/>
              <w:bottom w:w="80" w:type="dxa"/>
              <w:end w:w="105" w:type="dxa"/>
            </w:tcMar>
            <w:vAlign w:val="center"/>
          </w:tcPr>
          <w:p>
            <w:pPr>
              <w:spacing w:after="0"/>
            </w:pPr>
            <w:r>
              <w:rPr>
                <w:b/>
                <w:color w:val="FFFFFF"/>
                <w:sz w:val="13"/>
              </w:rPr>
              <w:t>GOV</w:t>
            </w:r>
          </w:p>
        </w:tc>
        <w:tc>
          <w:tcPr>
            <w:tcW w:type="dxa" w:w="547"/>
            <w:shd w:fill="183A5A"/>
            <w:tcMar>
              <w:top w:w="80" w:type="dxa"/>
              <w:start w:w="105" w:type="dxa"/>
              <w:bottom w:w="80" w:type="dxa"/>
              <w:end w:w="105" w:type="dxa"/>
            </w:tcMar>
            <w:vAlign w:val="center"/>
          </w:tcPr>
          <w:p>
            <w:pPr>
              <w:spacing w:after="0"/>
            </w:pPr>
            <w:r>
              <w:rPr>
                <w:b/>
                <w:color w:val="FFFFFF"/>
                <w:sz w:val="13"/>
              </w:rPr>
              <w:t>PROT</w:t>
            </w:r>
          </w:p>
        </w:tc>
        <w:tc>
          <w:tcPr>
            <w:tcW w:type="dxa" w:w="518"/>
            <w:shd w:fill="183A5A"/>
            <w:tcMar>
              <w:top w:w="80" w:type="dxa"/>
              <w:start w:w="105" w:type="dxa"/>
              <w:bottom w:w="80" w:type="dxa"/>
              <w:end w:w="105" w:type="dxa"/>
            </w:tcMar>
            <w:vAlign w:val="center"/>
          </w:tcPr>
          <w:p>
            <w:pPr>
              <w:spacing w:after="0"/>
            </w:pPr>
            <w:r>
              <w:rPr>
                <w:b/>
                <w:color w:val="FFFFFF"/>
                <w:sz w:val="13"/>
              </w:rPr>
              <w:t>UTIL</w:t>
            </w:r>
          </w:p>
        </w:tc>
        <w:tc>
          <w:tcPr>
            <w:tcW w:type="dxa" w:w="518"/>
            <w:shd w:fill="183A5A"/>
            <w:tcMar>
              <w:top w:w="80" w:type="dxa"/>
              <w:start w:w="105" w:type="dxa"/>
              <w:bottom w:w="80" w:type="dxa"/>
              <w:end w:w="105" w:type="dxa"/>
            </w:tcMar>
            <w:vAlign w:val="center"/>
          </w:tcPr>
          <w:p>
            <w:pPr>
              <w:spacing w:after="0"/>
            </w:pPr>
            <w:r>
              <w:rPr>
                <w:b/>
                <w:color w:val="FFFFFF"/>
                <w:sz w:val="13"/>
              </w:rPr>
              <w:t>INC</w:t>
            </w:r>
          </w:p>
        </w:tc>
        <w:tc>
          <w:tcPr>
            <w:tcW w:type="dxa" w:w="2736"/>
            <w:shd w:fill="183A5A"/>
            <w:tcMar>
              <w:top w:w="80" w:type="dxa"/>
              <w:start w:w="105" w:type="dxa"/>
              <w:bottom w:w="80" w:type="dxa"/>
              <w:end w:w="105" w:type="dxa"/>
            </w:tcMar>
            <w:vAlign w:val="center"/>
          </w:tcPr>
          <w:p>
            <w:pPr>
              <w:spacing w:after="0"/>
            </w:pPr>
            <w:r>
              <w:rPr>
                <w:b/>
                <w:color w:val="FFFFFF"/>
                <w:sz w:val="13"/>
              </w:rPr>
              <w:t>Notes</w:t>
            </w:r>
          </w:p>
        </w:tc>
      </w:tr>
      <w:tr>
        <w:tc>
          <w:tcPr>
            <w:tcW w:type="dxa" w:w="936"/>
            <w:tcMar>
              <w:top w:w="80" w:type="dxa"/>
              <w:start w:w="105" w:type="dxa"/>
              <w:bottom w:w="80" w:type="dxa"/>
              <w:end w:w="105" w:type="dxa"/>
            </w:tcMar>
            <w:vAlign w:val="center"/>
          </w:tcPr>
          <w:p>
            <w:pPr>
              <w:spacing w:after="0" w:line="240" w:lineRule="auto"/>
            </w:pPr>
            <w:r>
              <w:rPr>
                <w:color w:val="17242E"/>
                <w:sz w:val="13"/>
              </w:rPr>
              <w:t>BTC</w:t>
            </w:r>
          </w:p>
        </w:tc>
        <w:tc>
          <w:tcPr>
            <w:tcW w:type="dxa" w:w="475"/>
            <w:tcMar>
              <w:top w:w="80" w:type="dxa"/>
              <w:start w:w="105" w:type="dxa"/>
              <w:bottom w:w="80" w:type="dxa"/>
              <w:end w:w="105" w:type="dxa"/>
            </w:tcMar>
            <w:vAlign w:val="center"/>
          </w:tcPr>
          <w:p>
            <w:pPr>
              <w:spacing w:after="0" w:line="240" w:lineRule="auto"/>
            </w:pPr>
            <w:r>
              <w:rPr>
                <w:color w:val="17242E"/>
                <w:sz w:val="13"/>
              </w:rPr>
              <w:t>1</w:t>
            </w:r>
          </w:p>
        </w:tc>
        <w:tc>
          <w:tcPr>
            <w:tcW w:type="dxa" w:w="475"/>
            <w:tcMar>
              <w:top w:w="80" w:type="dxa"/>
              <w:start w:w="105" w:type="dxa"/>
              <w:bottom w:w="80" w:type="dxa"/>
              <w:end w:w="105" w:type="dxa"/>
            </w:tcMar>
            <w:vAlign w:val="center"/>
          </w:tcPr>
          <w:p>
            <w:pPr>
              <w:spacing w:after="0" w:line="240" w:lineRule="auto"/>
            </w:pPr>
            <w:r>
              <w:rPr>
                <w:color w:val="17242E"/>
                <w:sz w:val="13"/>
              </w:rPr>
              <w:t>0</w:t>
            </w:r>
          </w:p>
        </w:tc>
        <w:tc>
          <w:tcPr>
            <w:tcW w:type="dxa" w:w="547"/>
            <w:tcMar>
              <w:top w:w="80" w:type="dxa"/>
              <w:start w:w="105" w:type="dxa"/>
              <w:bottom w:w="80" w:type="dxa"/>
              <w:end w:w="105" w:type="dxa"/>
            </w:tcMar>
            <w:vAlign w:val="center"/>
          </w:tcPr>
          <w:p>
            <w:pPr>
              <w:spacing w:after="0" w:line="240" w:lineRule="auto"/>
            </w:pPr>
            <w:r>
              <w:rPr>
                <w:color w:val="17242E"/>
                <w:sz w:val="13"/>
              </w:rPr>
              <w:t>0</w:t>
            </w:r>
          </w:p>
        </w:tc>
        <w:tc>
          <w:tcPr>
            <w:tcW w:type="dxa" w:w="547"/>
            <w:tcMar>
              <w:top w:w="80" w:type="dxa"/>
              <w:start w:w="105" w:type="dxa"/>
              <w:bottom w:w="80" w:type="dxa"/>
              <w:end w:w="105" w:type="dxa"/>
            </w:tcMar>
            <w:vAlign w:val="center"/>
          </w:tcPr>
          <w:p>
            <w:pPr>
              <w:spacing w:after="0" w:line="240" w:lineRule="auto"/>
            </w:pPr>
            <w:r>
              <w:rPr>
                <w:color w:val="17242E"/>
                <w:sz w:val="13"/>
              </w:rPr>
              <w:t>0</w:t>
            </w:r>
          </w:p>
        </w:tc>
        <w:tc>
          <w:tcPr>
            <w:tcW w:type="dxa" w:w="547"/>
            <w:tcMar>
              <w:top w:w="80" w:type="dxa"/>
              <w:start w:w="105" w:type="dxa"/>
              <w:bottom w:w="80" w:type="dxa"/>
              <w:end w:w="105" w:type="dxa"/>
            </w:tcMar>
            <w:vAlign w:val="center"/>
          </w:tcPr>
          <w:p>
            <w:pPr>
              <w:spacing w:after="0" w:line="240" w:lineRule="auto"/>
            </w:pPr>
            <w:r>
              <w:rPr>
                <w:color w:val="17242E"/>
                <w:sz w:val="13"/>
              </w:rPr>
              <w:t>1</w:t>
            </w:r>
          </w:p>
        </w:tc>
        <w:tc>
          <w:tcPr>
            <w:tcW w:type="dxa" w:w="547"/>
            <w:tcMar>
              <w:top w:w="80" w:type="dxa"/>
              <w:start w:w="105" w:type="dxa"/>
              <w:bottom w:w="80" w:type="dxa"/>
              <w:end w:w="105" w:type="dxa"/>
            </w:tcMar>
            <w:vAlign w:val="center"/>
          </w:tcPr>
          <w:p>
            <w:pPr>
              <w:spacing w:after="0" w:line="240" w:lineRule="auto"/>
            </w:pPr>
            <w:r>
              <w:rPr>
                <w:color w:val="17242E"/>
                <w:sz w:val="13"/>
              </w:rPr>
              <w:t>1</w:t>
            </w:r>
          </w:p>
        </w:tc>
        <w:tc>
          <w:tcPr>
            <w:tcW w:type="dxa" w:w="518"/>
            <w:tcMar>
              <w:top w:w="80" w:type="dxa"/>
              <w:start w:w="105" w:type="dxa"/>
              <w:bottom w:w="80" w:type="dxa"/>
              <w:end w:w="105" w:type="dxa"/>
            </w:tcMar>
            <w:vAlign w:val="center"/>
          </w:tcPr>
          <w:p>
            <w:pPr>
              <w:spacing w:after="0" w:line="240" w:lineRule="auto"/>
            </w:pPr>
            <w:r>
              <w:rPr>
                <w:color w:val="17242E"/>
                <w:sz w:val="13"/>
              </w:rPr>
              <w:t>0</w:t>
            </w:r>
          </w:p>
        </w:tc>
        <w:tc>
          <w:tcPr>
            <w:tcW w:type="dxa" w:w="547"/>
            <w:tcMar>
              <w:top w:w="80" w:type="dxa"/>
              <w:start w:w="105" w:type="dxa"/>
              <w:bottom w:w="80" w:type="dxa"/>
              <w:end w:w="105" w:type="dxa"/>
            </w:tcMar>
            <w:vAlign w:val="center"/>
          </w:tcPr>
          <w:p>
            <w:pPr>
              <w:spacing w:after="0" w:line="240" w:lineRule="auto"/>
            </w:pPr>
            <w:r>
              <w:rPr>
                <w:color w:val="17242E"/>
                <w:sz w:val="13"/>
              </w:rPr>
              <w:t>0</w:t>
            </w:r>
          </w:p>
        </w:tc>
        <w:tc>
          <w:tcPr>
            <w:tcW w:type="dxa" w:w="518"/>
            <w:tcMar>
              <w:top w:w="80" w:type="dxa"/>
              <w:start w:w="105" w:type="dxa"/>
              <w:bottom w:w="80" w:type="dxa"/>
              <w:end w:w="105" w:type="dxa"/>
            </w:tcMar>
            <w:vAlign w:val="center"/>
          </w:tcPr>
          <w:p>
            <w:pPr>
              <w:spacing w:after="0" w:line="240" w:lineRule="auto"/>
            </w:pPr>
            <w:r>
              <w:rPr>
                <w:color w:val="17242E"/>
                <w:sz w:val="13"/>
              </w:rPr>
              <w:t>0</w:t>
            </w:r>
          </w:p>
        </w:tc>
        <w:tc>
          <w:tcPr>
            <w:tcW w:type="dxa" w:w="518"/>
            <w:tcMar>
              <w:top w:w="80" w:type="dxa"/>
              <w:start w:w="105" w:type="dxa"/>
              <w:bottom w:w="80" w:type="dxa"/>
              <w:end w:w="105" w:type="dxa"/>
            </w:tcMar>
            <w:vAlign w:val="center"/>
          </w:tcPr>
          <w:p>
            <w:pPr>
              <w:spacing w:after="0" w:line="240" w:lineRule="auto"/>
            </w:pPr>
            <w:r>
              <w:rPr>
                <w:color w:val="17242E"/>
                <w:sz w:val="13"/>
              </w:rPr>
              <w:t>0</w:t>
            </w:r>
          </w:p>
        </w:tc>
        <w:tc>
          <w:tcPr>
            <w:tcW w:type="dxa" w:w="2736"/>
            <w:tcMar>
              <w:top w:w="80" w:type="dxa"/>
              <w:start w:w="105" w:type="dxa"/>
              <w:bottom w:w="80" w:type="dxa"/>
              <w:end w:w="105" w:type="dxa"/>
            </w:tcMar>
            <w:vAlign w:val="center"/>
          </w:tcPr>
          <w:p>
            <w:pPr>
              <w:spacing w:after="0" w:line="240" w:lineRule="auto"/>
            </w:pPr>
            <w:r>
              <w:rPr>
                <w:color w:val="17242E"/>
                <w:sz w:val="13"/>
              </w:rPr>
              <w:t>collateral subject to materiality threshold</w:t>
            </w:r>
          </w:p>
        </w:tc>
      </w:tr>
      <w:tr>
        <w:tc>
          <w:tcPr>
            <w:tcW w:type="dxa" w:w="936"/>
            <w:tcMar>
              <w:top w:w="80" w:type="dxa"/>
              <w:start w:w="105" w:type="dxa"/>
              <w:bottom w:w="80" w:type="dxa"/>
              <w:end w:w="105" w:type="dxa"/>
            </w:tcMar>
            <w:vAlign w:val="center"/>
            <w:shd w:fill="F4F7F9"/>
          </w:tcPr>
          <w:p>
            <w:pPr>
              <w:spacing w:after="0" w:line="240" w:lineRule="auto"/>
            </w:pPr>
            <w:r>
              <w:rPr>
                <w:color w:val="17242E"/>
                <w:sz w:val="13"/>
              </w:rPr>
              <w:t>ETH</w:t>
            </w:r>
          </w:p>
        </w:tc>
        <w:tc>
          <w:tcPr>
            <w:tcW w:type="dxa" w:w="475"/>
            <w:tcMar>
              <w:top w:w="80" w:type="dxa"/>
              <w:start w:w="105" w:type="dxa"/>
              <w:bottom w:w="80" w:type="dxa"/>
              <w:end w:w="105" w:type="dxa"/>
            </w:tcMar>
            <w:vAlign w:val="center"/>
            <w:shd w:fill="F4F7F9"/>
          </w:tcPr>
          <w:p>
            <w:pPr>
              <w:spacing w:after="0" w:line="240" w:lineRule="auto"/>
            </w:pPr>
            <w:r>
              <w:rPr>
                <w:color w:val="17242E"/>
                <w:sz w:val="13"/>
              </w:rPr>
              <w:t>1</w:t>
            </w:r>
          </w:p>
        </w:tc>
        <w:tc>
          <w:tcPr>
            <w:tcW w:type="dxa" w:w="475"/>
            <w:tcMar>
              <w:top w:w="80" w:type="dxa"/>
              <w:start w:w="105" w:type="dxa"/>
              <w:bottom w:w="80" w:type="dxa"/>
              <w:end w:w="105" w:type="dxa"/>
            </w:tcMar>
            <w:vAlign w:val="center"/>
            <w:shd w:fill="F4F7F9"/>
          </w:tcPr>
          <w:p>
            <w:pPr>
              <w:spacing w:after="0" w:line="240" w:lineRule="auto"/>
            </w:pPr>
            <w:r>
              <w:rPr>
                <w:color w:val="17242E"/>
                <w:sz w:val="13"/>
              </w:rPr>
              <w:t>1</w:t>
            </w:r>
          </w:p>
        </w:tc>
        <w:tc>
          <w:tcPr>
            <w:tcW w:type="dxa" w:w="547"/>
            <w:tcMar>
              <w:top w:w="80" w:type="dxa"/>
              <w:start w:w="105" w:type="dxa"/>
              <w:bottom w:w="80" w:type="dxa"/>
              <w:end w:w="105" w:type="dxa"/>
            </w:tcMar>
            <w:vAlign w:val="center"/>
            <w:shd w:fill="F4F7F9"/>
          </w:tcPr>
          <w:p>
            <w:pPr>
              <w:spacing w:after="0" w:line="240" w:lineRule="auto"/>
            </w:pPr>
            <w:r>
              <w:rPr>
                <w:color w:val="17242E"/>
                <w:sz w:val="13"/>
              </w:rPr>
              <w:t>1</w:t>
            </w:r>
          </w:p>
        </w:tc>
        <w:tc>
          <w:tcPr>
            <w:tcW w:type="dxa" w:w="547"/>
            <w:tcMar>
              <w:top w:w="80" w:type="dxa"/>
              <w:start w:w="105" w:type="dxa"/>
              <w:bottom w:w="80" w:type="dxa"/>
              <w:end w:w="105" w:type="dxa"/>
            </w:tcMar>
            <w:vAlign w:val="center"/>
            <w:shd w:fill="F4F7F9"/>
          </w:tcPr>
          <w:p>
            <w:pPr>
              <w:spacing w:after="0" w:line="240" w:lineRule="auto"/>
            </w:pPr>
            <w:r>
              <w:rPr>
                <w:color w:val="17242E"/>
                <w:sz w:val="13"/>
              </w:rPr>
              <w:t>1</w:t>
            </w:r>
          </w:p>
        </w:tc>
        <w:tc>
          <w:tcPr>
            <w:tcW w:type="dxa" w:w="547"/>
            <w:tcMar>
              <w:top w:w="80" w:type="dxa"/>
              <w:start w:w="105" w:type="dxa"/>
              <w:bottom w:w="80" w:type="dxa"/>
              <w:end w:w="105" w:type="dxa"/>
            </w:tcMar>
            <w:vAlign w:val="center"/>
            <w:shd w:fill="F4F7F9"/>
          </w:tcPr>
          <w:p>
            <w:pPr>
              <w:spacing w:after="0" w:line="240" w:lineRule="auto"/>
            </w:pPr>
            <w:r>
              <w:rPr>
                <w:color w:val="17242E"/>
                <w:sz w:val="13"/>
              </w:rPr>
              <w:t>0</w:t>
            </w:r>
          </w:p>
        </w:tc>
        <w:tc>
          <w:tcPr>
            <w:tcW w:type="dxa" w:w="547"/>
            <w:tcMar>
              <w:top w:w="80" w:type="dxa"/>
              <w:start w:w="105" w:type="dxa"/>
              <w:bottom w:w="80" w:type="dxa"/>
              <w:end w:w="105" w:type="dxa"/>
            </w:tcMar>
            <w:vAlign w:val="center"/>
            <w:shd w:fill="F4F7F9"/>
          </w:tcPr>
          <w:p>
            <w:pPr>
              <w:spacing w:after="0" w:line="240" w:lineRule="auto"/>
            </w:pPr>
            <w:r>
              <w:rPr>
                <w:color w:val="17242E"/>
                <w:sz w:val="13"/>
              </w:rPr>
              <w:t>1</w:t>
            </w:r>
          </w:p>
        </w:tc>
        <w:tc>
          <w:tcPr>
            <w:tcW w:type="dxa" w:w="518"/>
            <w:tcMar>
              <w:top w:w="80" w:type="dxa"/>
              <w:start w:w="105" w:type="dxa"/>
              <w:bottom w:w="80" w:type="dxa"/>
              <w:end w:w="105" w:type="dxa"/>
            </w:tcMar>
            <w:vAlign w:val="center"/>
            <w:shd w:fill="F4F7F9"/>
          </w:tcPr>
          <w:p>
            <w:pPr>
              <w:spacing w:after="0" w:line="240" w:lineRule="auto"/>
            </w:pPr>
            <w:r>
              <w:rPr>
                <w:color w:val="17242E"/>
                <w:sz w:val="13"/>
              </w:rPr>
              <w:t>0</w:t>
            </w:r>
          </w:p>
        </w:tc>
        <w:tc>
          <w:tcPr>
            <w:tcW w:type="dxa" w:w="547"/>
            <w:tcMar>
              <w:top w:w="80" w:type="dxa"/>
              <w:start w:w="105" w:type="dxa"/>
              <w:bottom w:w="80" w:type="dxa"/>
              <w:end w:w="105" w:type="dxa"/>
            </w:tcMar>
            <w:vAlign w:val="center"/>
            <w:shd w:fill="F4F7F9"/>
          </w:tcPr>
          <w:p>
            <w:pPr>
              <w:spacing w:after="0" w:line="240" w:lineRule="auto"/>
            </w:pPr>
            <w:r>
              <w:rPr>
                <w:color w:val="17242E"/>
                <w:sz w:val="13"/>
              </w:rPr>
              <w:t>1</w:t>
            </w:r>
          </w:p>
        </w:tc>
        <w:tc>
          <w:tcPr>
            <w:tcW w:type="dxa" w:w="518"/>
            <w:tcMar>
              <w:top w:w="80" w:type="dxa"/>
              <w:start w:w="105" w:type="dxa"/>
              <w:bottom w:w="80" w:type="dxa"/>
              <w:end w:w="105" w:type="dxa"/>
            </w:tcMar>
            <w:vAlign w:val="center"/>
            <w:shd w:fill="F4F7F9"/>
          </w:tcPr>
          <w:p>
            <w:pPr>
              <w:spacing w:after="0" w:line="240" w:lineRule="auto"/>
            </w:pPr>
            <w:r>
              <w:rPr>
                <w:color w:val="17242E"/>
                <w:sz w:val="13"/>
              </w:rPr>
              <w:t>1</w:t>
            </w:r>
          </w:p>
        </w:tc>
        <w:tc>
          <w:tcPr>
            <w:tcW w:type="dxa" w:w="518"/>
            <w:tcMar>
              <w:top w:w="80" w:type="dxa"/>
              <w:start w:w="105" w:type="dxa"/>
              <w:bottom w:w="80" w:type="dxa"/>
              <w:end w:w="105" w:type="dxa"/>
            </w:tcMar>
            <w:vAlign w:val="center"/>
            <w:shd w:fill="F4F7F9"/>
          </w:tcPr>
          <w:p>
            <w:pPr>
              <w:spacing w:after="0" w:line="240" w:lineRule="auto"/>
            </w:pPr>
            <w:r>
              <w:rPr>
                <w:color w:val="17242E"/>
                <w:sz w:val="13"/>
              </w:rPr>
              <w:t>0</w:t>
            </w:r>
          </w:p>
        </w:tc>
        <w:tc>
          <w:tcPr>
            <w:tcW w:type="dxa" w:w="2736"/>
            <w:tcMar>
              <w:top w:w="80" w:type="dxa"/>
              <w:start w:w="105" w:type="dxa"/>
              <w:bottom w:w="80" w:type="dxa"/>
              <w:end w:w="105" w:type="dxa"/>
            </w:tcMar>
            <w:vAlign w:val="center"/>
            <w:shd w:fill="F4F7F9"/>
          </w:tcPr>
          <w:p>
            <w:pPr>
              <w:spacing w:after="0" w:line="240" w:lineRule="auto"/>
            </w:pPr>
            <w:r>
              <w:rPr>
                <w:color w:val="17242E"/>
                <w:sz w:val="13"/>
              </w:rPr>
              <w:t>base fee burn; staking; protocol-native use</w:t>
            </w:r>
          </w:p>
        </w:tc>
      </w:tr>
      <w:tr>
        <w:tc>
          <w:tcPr>
            <w:tcW w:type="dxa" w:w="936"/>
            <w:tcMar>
              <w:top w:w="80" w:type="dxa"/>
              <w:start w:w="105" w:type="dxa"/>
              <w:bottom w:w="80" w:type="dxa"/>
              <w:end w:w="105" w:type="dxa"/>
            </w:tcMar>
            <w:vAlign w:val="center"/>
          </w:tcPr>
          <w:p>
            <w:pPr>
              <w:spacing w:after="0" w:line="240" w:lineRule="auto"/>
            </w:pPr>
            <w:r>
              <w:rPr>
                <w:color w:val="17242E"/>
                <w:sz w:val="13"/>
              </w:rPr>
              <w:t>SOL</w:t>
            </w:r>
          </w:p>
        </w:tc>
        <w:tc>
          <w:tcPr>
            <w:tcW w:type="dxa" w:w="475"/>
            <w:tcMar>
              <w:top w:w="80" w:type="dxa"/>
              <w:start w:w="105" w:type="dxa"/>
              <w:bottom w:w="80" w:type="dxa"/>
              <w:end w:w="105" w:type="dxa"/>
            </w:tcMar>
            <w:vAlign w:val="center"/>
          </w:tcPr>
          <w:p>
            <w:pPr>
              <w:spacing w:after="0" w:line="240" w:lineRule="auto"/>
            </w:pPr>
            <w:r>
              <w:rPr>
                <w:color w:val="17242E"/>
                <w:sz w:val="13"/>
              </w:rPr>
              <w:t>0</w:t>
            </w:r>
          </w:p>
        </w:tc>
        <w:tc>
          <w:tcPr>
            <w:tcW w:type="dxa" w:w="475"/>
            <w:tcMar>
              <w:top w:w="80" w:type="dxa"/>
              <w:start w:w="105" w:type="dxa"/>
              <w:bottom w:w="80" w:type="dxa"/>
              <w:end w:w="105" w:type="dxa"/>
            </w:tcMar>
            <w:vAlign w:val="center"/>
          </w:tcPr>
          <w:p>
            <w:pPr>
              <w:spacing w:after="0" w:line="240" w:lineRule="auto"/>
            </w:pPr>
            <w:r>
              <w:rPr>
                <w:color w:val="17242E"/>
                <w:sz w:val="13"/>
              </w:rPr>
              <w:t>1</w:t>
            </w:r>
          </w:p>
        </w:tc>
        <w:tc>
          <w:tcPr>
            <w:tcW w:type="dxa" w:w="547"/>
            <w:tcMar>
              <w:top w:w="80" w:type="dxa"/>
              <w:start w:w="105" w:type="dxa"/>
              <w:bottom w:w="80" w:type="dxa"/>
              <w:end w:w="105" w:type="dxa"/>
            </w:tcMar>
            <w:vAlign w:val="center"/>
          </w:tcPr>
          <w:p>
            <w:pPr>
              <w:spacing w:after="0" w:line="240" w:lineRule="auto"/>
            </w:pPr>
            <w:r>
              <w:rPr>
                <w:color w:val="17242E"/>
                <w:sz w:val="13"/>
              </w:rPr>
              <w:t>1</w:t>
            </w:r>
          </w:p>
        </w:tc>
        <w:tc>
          <w:tcPr>
            <w:tcW w:type="dxa" w:w="547"/>
            <w:tcMar>
              <w:top w:w="80" w:type="dxa"/>
              <w:start w:w="105" w:type="dxa"/>
              <w:bottom w:w="80" w:type="dxa"/>
              <w:end w:w="105" w:type="dxa"/>
            </w:tcMar>
            <w:vAlign w:val="center"/>
          </w:tcPr>
          <w:p>
            <w:pPr>
              <w:spacing w:after="0" w:line="240" w:lineRule="auto"/>
            </w:pPr>
            <w:r>
              <w:rPr>
                <w:color w:val="17242E"/>
                <w:sz w:val="13"/>
              </w:rPr>
              <w:t>1</w:t>
            </w:r>
          </w:p>
        </w:tc>
        <w:tc>
          <w:tcPr>
            <w:tcW w:type="dxa" w:w="547"/>
            <w:tcMar>
              <w:top w:w="80" w:type="dxa"/>
              <w:start w:w="105" w:type="dxa"/>
              <w:bottom w:w="80" w:type="dxa"/>
              <w:end w:w="105" w:type="dxa"/>
            </w:tcMar>
            <w:vAlign w:val="center"/>
          </w:tcPr>
          <w:p>
            <w:pPr>
              <w:spacing w:after="0" w:line="240" w:lineRule="auto"/>
            </w:pPr>
            <w:r>
              <w:rPr>
                <w:color w:val="17242E"/>
                <w:sz w:val="13"/>
              </w:rPr>
              <w:t>0</w:t>
            </w:r>
          </w:p>
        </w:tc>
        <w:tc>
          <w:tcPr>
            <w:tcW w:type="dxa" w:w="547"/>
            <w:tcMar>
              <w:top w:w="80" w:type="dxa"/>
              <w:start w:w="105" w:type="dxa"/>
              <w:bottom w:w="80" w:type="dxa"/>
              <w:end w:w="105" w:type="dxa"/>
            </w:tcMar>
            <w:vAlign w:val="center"/>
          </w:tcPr>
          <w:p>
            <w:pPr>
              <w:spacing w:after="0" w:line="240" w:lineRule="auto"/>
            </w:pPr>
            <w:r>
              <w:rPr>
                <w:color w:val="17242E"/>
                <w:sz w:val="13"/>
              </w:rPr>
              <w:t>1</w:t>
            </w:r>
          </w:p>
        </w:tc>
        <w:tc>
          <w:tcPr>
            <w:tcW w:type="dxa" w:w="518"/>
            <w:tcMar>
              <w:top w:w="80" w:type="dxa"/>
              <w:start w:w="105" w:type="dxa"/>
              <w:bottom w:w="80" w:type="dxa"/>
              <w:end w:w="105" w:type="dxa"/>
            </w:tcMar>
            <w:vAlign w:val="center"/>
          </w:tcPr>
          <w:p>
            <w:pPr>
              <w:spacing w:after="0" w:line="240" w:lineRule="auto"/>
            </w:pPr>
            <w:r>
              <w:rPr>
                <w:color w:val="17242E"/>
                <w:sz w:val="13"/>
              </w:rPr>
              <w:t>0</w:t>
            </w:r>
          </w:p>
        </w:tc>
        <w:tc>
          <w:tcPr>
            <w:tcW w:type="dxa" w:w="547"/>
            <w:tcMar>
              <w:top w:w="80" w:type="dxa"/>
              <w:start w:w="105" w:type="dxa"/>
              <w:bottom w:w="80" w:type="dxa"/>
              <w:end w:w="105" w:type="dxa"/>
            </w:tcMar>
            <w:vAlign w:val="center"/>
          </w:tcPr>
          <w:p>
            <w:pPr>
              <w:spacing w:after="0" w:line="240" w:lineRule="auto"/>
            </w:pPr>
            <w:r>
              <w:rPr>
                <w:color w:val="17242E"/>
                <w:sz w:val="13"/>
              </w:rPr>
              <w:t>1</w:t>
            </w:r>
          </w:p>
        </w:tc>
        <w:tc>
          <w:tcPr>
            <w:tcW w:type="dxa" w:w="518"/>
            <w:tcMar>
              <w:top w:w="80" w:type="dxa"/>
              <w:start w:w="105" w:type="dxa"/>
              <w:bottom w:w="80" w:type="dxa"/>
              <w:end w:w="105" w:type="dxa"/>
            </w:tcMar>
            <w:vAlign w:val="center"/>
          </w:tcPr>
          <w:p>
            <w:pPr>
              <w:spacing w:after="0" w:line="240" w:lineRule="auto"/>
            </w:pPr>
            <w:r>
              <w:rPr>
                <w:color w:val="17242E"/>
                <w:sz w:val="13"/>
              </w:rPr>
              <w:t>1</w:t>
            </w:r>
          </w:p>
        </w:tc>
        <w:tc>
          <w:tcPr>
            <w:tcW w:type="dxa" w:w="518"/>
            <w:tcMar>
              <w:top w:w="80" w:type="dxa"/>
              <w:start w:w="105" w:type="dxa"/>
              <w:bottom w:w="80" w:type="dxa"/>
              <w:end w:w="105" w:type="dxa"/>
            </w:tcMar>
            <w:vAlign w:val="center"/>
          </w:tcPr>
          <w:p>
            <w:pPr>
              <w:spacing w:after="0" w:line="240" w:lineRule="auto"/>
            </w:pPr>
            <w:r>
              <w:rPr>
                <w:color w:val="17242E"/>
                <w:sz w:val="13"/>
              </w:rPr>
              <w:t>0</w:t>
            </w:r>
          </w:p>
        </w:tc>
        <w:tc>
          <w:tcPr>
            <w:tcW w:type="dxa" w:w="2736"/>
            <w:tcMar>
              <w:top w:w="80" w:type="dxa"/>
              <w:start w:w="105" w:type="dxa"/>
              <w:bottom w:w="80" w:type="dxa"/>
              <w:end w:w="105" w:type="dxa"/>
            </w:tcMar>
            <w:vAlign w:val="center"/>
          </w:tcPr>
          <w:p>
            <w:pPr>
              <w:spacing w:after="0" w:line="240" w:lineRule="auto"/>
            </w:pPr>
            <w:r>
              <w:rPr>
                <w:color w:val="17242E"/>
                <w:sz w:val="13"/>
              </w:rPr>
              <w:t>verify burn rule and collateral materiality by date</w:t>
            </w:r>
          </w:p>
        </w:tc>
      </w:tr>
      <w:tr>
        <w:tc>
          <w:tcPr>
            <w:tcW w:type="dxa" w:w="936"/>
            <w:tcMar>
              <w:top w:w="80" w:type="dxa"/>
              <w:start w:w="105" w:type="dxa"/>
              <w:bottom w:w="80" w:type="dxa"/>
              <w:end w:w="105" w:type="dxa"/>
            </w:tcMar>
            <w:vAlign w:val="center"/>
            <w:shd w:fill="F4F7F9"/>
          </w:tcPr>
          <w:p>
            <w:pPr>
              <w:spacing w:after="0" w:line="240" w:lineRule="auto"/>
            </w:pPr>
            <w:r>
              <w:rPr>
                <w:color w:val="17242E"/>
                <w:sz w:val="13"/>
              </w:rPr>
              <w:t>UNI</w:t>
            </w:r>
          </w:p>
        </w:tc>
        <w:tc>
          <w:tcPr>
            <w:tcW w:type="dxa" w:w="475"/>
            <w:tcMar>
              <w:top w:w="80" w:type="dxa"/>
              <w:start w:w="105" w:type="dxa"/>
              <w:bottom w:w="80" w:type="dxa"/>
              <w:end w:w="105" w:type="dxa"/>
            </w:tcMar>
            <w:vAlign w:val="center"/>
            <w:shd w:fill="F4F7F9"/>
          </w:tcPr>
          <w:p>
            <w:pPr>
              <w:spacing w:after="0" w:line="240" w:lineRule="auto"/>
            </w:pPr>
            <w:r>
              <w:rPr>
                <w:color w:val="17242E"/>
                <w:sz w:val="13"/>
              </w:rPr>
              <w:t>0</w:t>
            </w:r>
          </w:p>
        </w:tc>
        <w:tc>
          <w:tcPr>
            <w:tcW w:type="dxa" w:w="475"/>
            <w:tcMar>
              <w:top w:w="80" w:type="dxa"/>
              <w:start w:w="105" w:type="dxa"/>
              <w:bottom w:w="80" w:type="dxa"/>
              <w:end w:w="105" w:type="dxa"/>
            </w:tcMar>
            <w:vAlign w:val="center"/>
            <w:shd w:fill="F4F7F9"/>
          </w:tcPr>
          <w:p>
            <w:pPr>
              <w:spacing w:after="0" w:line="240" w:lineRule="auto"/>
            </w:pPr>
            <w:r>
              <w:rPr>
                <w:color w:val="17242E"/>
                <w:sz w:val="13"/>
              </w:rPr>
              <w:t>0</w:t>
            </w:r>
          </w:p>
        </w:tc>
        <w:tc>
          <w:tcPr>
            <w:tcW w:type="dxa" w:w="547"/>
            <w:tcMar>
              <w:top w:w="80" w:type="dxa"/>
              <w:start w:w="105" w:type="dxa"/>
              <w:bottom w:w="80" w:type="dxa"/>
              <w:end w:w="105" w:type="dxa"/>
            </w:tcMar>
            <w:vAlign w:val="center"/>
            <w:shd w:fill="F4F7F9"/>
          </w:tcPr>
          <w:p>
            <w:pPr>
              <w:spacing w:after="0" w:line="240" w:lineRule="auto"/>
            </w:pPr>
            <w:r>
              <w:rPr>
                <w:color w:val="17242E"/>
                <w:sz w:val="13"/>
              </w:rPr>
              <w:t>0</w:t>
            </w:r>
          </w:p>
        </w:tc>
        <w:tc>
          <w:tcPr>
            <w:tcW w:type="dxa" w:w="547"/>
            <w:tcMar>
              <w:top w:w="80" w:type="dxa"/>
              <w:start w:w="105" w:type="dxa"/>
              <w:bottom w:w="80" w:type="dxa"/>
              <w:end w:w="105" w:type="dxa"/>
            </w:tcMar>
            <w:vAlign w:val="center"/>
            <w:shd w:fill="F4F7F9"/>
          </w:tcPr>
          <w:p>
            <w:pPr>
              <w:spacing w:after="0" w:line="240" w:lineRule="auto"/>
            </w:pPr>
            <w:r>
              <w:rPr>
                <w:color w:val="17242E"/>
                <w:sz w:val="13"/>
              </w:rPr>
              <w:t>0</w:t>
            </w:r>
          </w:p>
        </w:tc>
        <w:tc>
          <w:tcPr>
            <w:tcW w:type="dxa" w:w="547"/>
            <w:tcMar>
              <w:top w:w="80" w:type="dxa"/>
              <w:start w:w="105" w:type="dxa"/>
              <w:bottom w:w="80" w:type="dxa"/>
              <w:end w:w="105" w:type="dxa"/>
            </w:tcMar>
            <w:vAlign w:val="center"/>
            <w:shd w:fill="F4F7F9"/>
          </w:tcPr>
          <w:p>
            <w:pPr>
              <w:spacing w:after="0" w:line="240" w:lineRule="auto"/>
            </w:pPr>
            <w:r>
              <w:rPr>
                <w:color w:val="17242E"/>
                <w:sz w:val="13"/>
              </w:rPr>
              <w:t>0</w:t>
            </w:r>
          </w:p>
        </w:tc>
        <w:tc>
          <w:tcPr>
            <w:tcW w:type="dxa" w:w="547"/>
            <w:tcMar>
              <w:top w:w="80" w:type="dxa"/>
              <w:start w:w="105" w:type="dxa"/>
              <w:bottom w:w="80" w:type="dxa"/>
              <w:end w:w="105" w:type="dxa"/>
            </w:tcMar>
            <w:vAlign w:val="center"/>
            <w:shd w:fill="F4F7F9"/>
          </w:tcPr>
          <w:p>
            <w:pPr>
              <w:spacing w:after="0" w:line="240" w:lineRule="auto"/>
            </w:pPr>
            <w:r>
              <w:rPr>
                <w:color w:val="17242E"/>
                <w:sz w:val="13"/>
              </w:rPr>
              <w:t>0</w:t>
            </w:r>
          </w:p>
        </w:tc>
        <w:tc>
          <w:tcPr>
            <w:tcW w:type="dxa" w:w="518"/>
            <w:tcMar>
              <w:top w:w="80" w:type="dxa"/>
              <w:start w:w="105" w:type="dxa"/>
              <w:bottom w:w="80" w:type="dxa"/>
              <w:end w:w="105" w:type="dxa"/>
            </w:tcMar>
            <w:vAlign w:val="center"/>
            <w:shd w:fill="F4F7F9"/>
          </w:tcPr>
          <w:p>
            <w:pPr>
              <w:spacing w:after="0" w:line="240" w:lineRule="auto"/>
            </w:pPr>
            <w:r>
              <w:rPr>
                <w:color w:val="17242E"/>
                <w:sz w:val="13"/>
              </w:rPr>
              <w:t>1</w:t>
            </w:r>
          </w:p>
        </w:tc>
        <w:tc>
          <w:tcPr>
            <w:tcW w:type="dxa" w:w="547"/>
            <w:tcMar>
              <w:top w:w="80" w:type="dxa"/>
              <w:start w:w="105" w:type="dxa"/>
              <w:bottom w:w="80" w:type="dxa"/>
              <w:end w:w="105" w:type="dxa"/>
            </w:tcMar>
            <w:vAlign w:val="center"/>
            <w:shd w:fill="F4F7F9"/>
          </w:tcPr>
          <w:p>
            <w:pPr>
              <w:spacing w:after="0" w:line="240" w:lineRule="auto"/>
            </w:pPr>
            <w:r>
              <w:rPr>
                <w:color w:val="17242E"/>
                <w:sz w:val="13"/>
              </w:rPr>
              <w:t>0</w:t>
            </w:r>
          </w:p>
        </w:tc>
        <w:tc>
          <w:tcPr>
            <w:tcW w:type="dxa" w:w="518"/>
            <w:tcMar>
              <w:top w:w="80" w:type="dxa"/>
              <w:start w:w="105" w:type="dxa"/>
              <w:bottom w:w="80" w:type="dxa"/>
              <w:end w:w="105" w:type="dxa"/>
            </w:tcMar>
            <w:vAlign w:val="center"/>
            <w:shd w:fill="F4F7F9"/>
          </w:tcPr>
          <w:p>
            <w:pPr>
              <w:spacing w:after="0" w:line="240" w:lineRule="auto"/>
            </w:pPr>
            <w:r>
              <w:rPr>
                <w:color w:val="17242E"/>
                <w:sz w:val="13"/>
              </w:rPr>
              <w:t>0</w:t>
            </w:r>
          </w:p>
        </w:tc>
        <w:tc>
          <w:tcPr>
            <w:tcW w:type="dxa" w:w="518"/>
            <w:tcMar>
              <w:top w:w="80" w:type="dxa"/>
              <w:start w:w="105" w:type="dxa"/>
              <w:bottom w:w="80" w:type="dxa"/>
              <w:end w:w="105" w:type="dxa"/>
            </w:tcMar>
            <w:vAlign w:val="center"/>
            <w:shd w:fill="F4F7F9"/>
          </w:tcPr>
          <w:p>
            <w:pPr>
              <w:spacing w:after="0" w:line="240" w:lineRule="auto"/>
            </w:pPr>
            <w:r>
              <w:rPr>
                <w:color w:val="17242E"/>
                <w:sz w:val="13"/>
              </w:rPr>
              <w:t>1</w:t>
            </w:r>
          </w:p>
        </w:tc>
        <w:tc>
          <w:tcPr>
            <w:tcW w:type="dxa" w:w="2736"/>
            <w:tcMar>
              <w:top w:w="80" w:type="dxa"/>
              <w:start w:w="105" w:type="dxa"/>
              <w:bottom w:w="80" w:type="dxa"/>
              <w:end w:w="105" w:type="dxa"/>
            </w:tcMar>
            <w:vAlign w:val="center"/>
            <w:shd w:fill="F4F7F9"/>
          </w:tcPr>
          <w:p>
            <w:pPr>
              <w:spacing w:after="0" w:line="240" w:lineRule="auto"/>
            </w:pPr>
            <w:r>
              <w:rPr>
                <w:color w:val="17242E"/>
                <w:sz w:val="13"/>
              </w:rPr>
              <w:t>protocol option recorded separately if fee switch inactive</w:t>
            </w:r>
          </w:p>
        </w:tc>
      </w:tr>
      <w:tr>
        <w:tc>
          <w:tcPr>
            <w:tcW w:type="dxa" w:w="936"/>
            <w:tcMar>
              <w:top w:w="80" w:type="dxa"/>
              <w:start w:w="105" w:type="dxa"/>
              <w:bottom w:w="80" w:type="dxa"/>
              <w:end w:w="105" w:type="dxa"/>
            </w:tcMar>
            <w:vAlign w:val="center"/>
          </w:tcPr>
          <w:p>
            <w:pPr>
              <w:spacing w:after="0" w:line="240" w:lineRule="auto"/>
            </w:pPr>
            <w:r>
              <w:rPr>
                <w:color w:val="17242E"/>
                <w:sz w:val="13"/>
              </w:rPr>
              <w:t>AAVE</w:t>
            </w:r>
          </w:p>
        </w:tc>
        <w:tc>
          <w:tcPr>
            <w:tcW w:type="dxa" w:w="475"/>
            <w:tcMar>
              <w:top w:w="80" w:type="dxa"/>
              <w:start w:w="105" w:type="dxa"/>
              <w:bottom w:w="80" w:type="dxa"/>
              <w:end w:w="105" w:type="dxa"/>
            </w:tcMar>
            <w:vAlign w:val="center"/>
          </w:tcPr>
          <w:p>
            <w:pPr>
              <w:spacing w:after="0" w:line="240" w:lineRule="auto"/>
            </w:pPr>
            <w:r>
              <w:rPr>
                <w:color w:val="17242E"/>
                <w:sz w:val="13"/>
              </w:rPr>
              <w:t>0</w:t>
            </w:r>
          </w:p>
        </w:tc>
        <w:tc>
          <w:tcPr>
            <w:tcW w:type="dxa" w:w="475"/>
            <w:tcMar>
              <w:top w:w="80" w:type="dxa"/>
              <w:start w:w="105" w:type="dxa"/>
              <w:bottom w:w="80" w:type="dxa"/>
              <w:end w:w="105" w:type="dxa"/>
            </w:tcMar>
            <w:vAlign w:val="center"/>
          </w:tcPr>
          <w:p>
            <w:pPr>
              <w:spacing w:after="0" w:line="240" w:lineRule="auto"/>
            </w:pPr>
            <w:r>
              <w:rPr>
                <w:color w:val="17242E"/>
                <w:sz w:val="13"/>
              </w:rPr>
              <w:t>0</w:t>
            </w:r>
          </w:p>
        </w:tc>
        <w:tc>
          <w:tcPr>
            <w:tcW w:type="dxa" w:w="547"/>
            <w:tcMar>
              <w:top w:w="80" w:type="dxa"/>
              <w:start w:w="105" w:type="dxa"/>
              <w:bottom w:w="80" w:type="dxa"/>
              <w:end w:w="105" w:type="dxa"/>
            </w:tcMar>
            <w:vAlign w:val="center"/>
          </w:tcPr>
          <w:p>
            <w:pPr>
              <w:spacing w:after="0" w:line="240" w:lineRule="auto"/>
            </w:pPr>
            <w:r>
              <w:rPr>
                <w:color w:val="17242E"/>
                <w:sz w:val="13"/>
              </w:rPr>
              <w:t>0</w:t>
            </w:r>
          </w:p>
        </w:tc>
        <w:tc>
          <w:tcPr>
            <w:tcW w:type="dxa" w:w="547"/>
            <w:tcMar>
              <w:top w:w="80" w:type="dxa"/>
              <w:start w:w="105" w:type="dxa"/>
              <w:bottom w:w="80" w:type="dxa"/>
              <w:end w:w="105" w:type="dxa"/>
            </w:tcMar>
            <w:vAlign w:val="center"/>
          </w:tcPr>
          <w:p>
            <w:pPr>
              <w:spacing w:after="0" w:line="240" w:lineRule="auto"/>
            </w:pPr>
            <w:r>
              <w:rPr>
                <w:color w:val="17242E"/>
                <w:sz w:val="13"/>
              </w:rPr>
              <w:t>0</w:t>
            </w:r>
          </w:p>
        </w:tc>
        <w:tc>
          <w:tcPr>
            <w:tcW w:type="dxa" w:w="547"/>
            <w:tcMar>
              <w:top w:w="80" w:type="dxa"/>
              <w:start w:w="105" w:type="dxa"/>
              <w:bottom w:w="80" w:type="dxa"/>
              <w:end w:w="105" w:type="dxa"/>
            </w:tcMar>
            <w:vAlign w:val="center"/>
          </w:tcPr>
          <w:p>
            <w:pPr>
              <w:spacing w:after="0" w:line="240" w:lineRule="auto"/>
            </w:pPr>
            <w:r>
              <w:rPr>
                <w:color w:val="17242E"/>
                <w:sz w:val="13"/>
              </w:rPr>
              <w:t>0</w:t>
            </w:r>
          </w:p>
        </w:tc>
        <w:tc>
          <w:tcPr>
            <w:tcW w:type="dxa" w:w="547"/>
            <w:tcMar>
              <w:top w:w="80" w:type="dxa"/>
              <w:start w:w="105" w:type="dxa"/>
              <w:bottom w:w="80" w:type="dxa"/>
              <w:end w:w="105" w:type="dxa"/>
            </w:tcMar>
            <w:vAlign w:val="center"/>
          </w:tcPr>
          <w:p>
            <w:pPr>
              <w:spacing w:after="0" w:line="240" w:lineRule="auto"/>
            </w:pPr>
            <w:r>
              <w:rPr>
                <w:color w:val="17242E"/>
                <w:sz w:val="13"/>
              </w:rPr>
              <w:t>0</w:t>
            </w:r>
          </w:p>
        </w:tc>
        <w:tc>
          <w:tcPr>
            <w:tcW w:type="dxa" w:w="518"/>
            <w:tcMar>
              <w:top w:w="80" w:type="dxa"/>
              <w:start w:w="105" w:type="dxa"/>
              <w:bottom w:w="80" w:type="dxa"/>
              <w:end w:w="105" w:type="dxa"/>
            </w:tcMar>
            <w:vAlign w:val="center"/>
          </w:tcPr>
          <w:p>
            <w:pPr>
              <w:spacing w:after="0" w:line="240" w:lineRule="auto"/>
            </w:pPr>
            <w:r>
              <w:rPr>
                <w:color w:val="17242E"/>
                <w:sz w:val="13"/>
              </w:rPr>
              <w:t>1</w:t>
            </w:r>
          </w:p>
        </w:tc>
        <w:tc>
          <w:tcPr>
            <w:tcW w:type="dxa" w:w="547"/>
            <w:tcMar>
              <w:top w:w="80" w:type="dxa"/>
              <w:start w:w="105" w:type="dxa"/>
              <w:bottom w:w="80" w:type="dxa"/>
              <w:end w:w="105" w:type="dxa"/>
            </w:tcMar>
            <w:vAlign w:val="center"/>
          </w:tcPr>
          <w:p>
            <w:pPr>
              <w:spacing w:after="0" w:line="240" w:lineRule="auto"/>
            </w:pPr>
            <w:r>
              <w:rPr>
                <w:color w:val="17242E"/>
                <w:sz w:val="13"/>
              </w:rPr>
              <w:t>1</w:t>
            </w:r>
          </w:p>
        </w:tc>
        <w:tc>
          <w:tcPr>
            <w:tcW w:type="dxa" w:w="518"/>
            <w:tcMar>
              <w:top w:w="80" w:type="dxa"/>
              <w:start w:w="105" w:type="dxa"/>
              <w:bottom w:w="80" w:type="dxa"/>
              <w:end w:w="105" w:type="dxa"/>
            </w:tcMar>
            <w:vAlign w:val="center"/>
          </w:tcPr>
          <w:p>
            <w:pPr>
              <w:spacing w:after="0" w:line="240" w:lineRule="auto"/>
            </w:pPr>
            <w:r>
              <w:rPr>
                <w:color w:val="17242E"/>
                <w:sz w:val="13"/>
              </w:rPr>
              <w:t>1</w:t>
            </w:r>
          </w:p>
        </w:tc>
        <w:tc>
          <w:tcPr>
            <w:tcW w:type="dxa" w:w="518"/>
            <w:tcMar>
              <w:top w:w="80" w:type="dxa"/>
              <w:start w:w="105" w:type="dxa"/>
              <w:bottom w:w="80" w:type="dxa"/>
              <w:end w:w="105" w:type="dxa"/>
            </w:tcMar>
            <w:vAlign w:val="center"/>
          </w:tcPr>
          <w:p>
            <w:pPr>
              <w:spacing w:after="0" w:line="240" w:lineRule="auto"/>
            </w:pPr>
            <w:r>
              <w:rPr>
                <w:color w:val="17242E"/>
                <w:sz w:val="13"/>
              </w:rPr>
              <w:t>1</w:t>
            </w:r>
          </w:p>
        </w:tc>
        <w:tc>
          <w:tcPr>
            <w:tcW w:type="dxa" w:w="2736"/>
            <w:tcMar>
              <w:top w:w="80" w:type="dxa"/>
              <w:start w:w="105" w:type="dxa"/>
              <w:bottom w:w="80" w:type="dxa"/>
              <w:end w:w="105" w:type="dxa"/>
            </w:tcMar>
            <w:vAlign w:val="center"/>
          </w:tcPr>
          <w:p>
            <w:pPr>
              <w:spacing w:after="0" w:line="240" w:lineRule="auto"/>
            </w:pPr>
            <w:r>
              <w:rPr>
                <w:color w:val="17242E"/>
                <w:sz w:val="13"/>
              </w:rPr>
              <w:t>security/governance mechanisms are time-varying</w:t>
            </w:r>
          </w:p>
        </w:tc>
      </w:tr>
      <w:tr>
        <w:tc>
          <w:tcPr>
            <w:tcW w:type="dxa" w:w="936"/>
            <w:tcMar>
              <w:top w:w="80" w:type="dxa"/>
              <w:start w:w="105" w:type="dxa"/>
              <w:bottom w:w="80" w:type="dxa"/>
              <w:end w:w="105" w:type="dxa"/>
            </w:tcMar>
            <w:vAlign w:val="center"/>
            <w:shd w:fill="F4F7F9"/>
          </w:tcPr>
          <w:p>
            <w:pPr>
              <w:spacing w:after="0" w:line="240" w:lineRule="auto"/>
            </w:pPr>
            <w:r>
              <w:rPr>
                <w:color w:val="17242E"/>
                <w:sz w:val="13"/>
              </w:rPr>
              <w:t>LINK</w:t>
            </w:r>
          </w:p>
        </w:tc>
        <w:tc>
          <w:tcPr>
            <w:tcW w:type="dxa" w:w="475"/>
            <w:tcMar>
              <w:top w:w="80" w:type="dxa"/>
              <w:start w:w="105" w:type="dxa"/>
              <w:bottom w:w="80" w:type="dxa"/>
              <w:end w:w="105" w:type="dxa"/>
            </w:tcMar>
            <w:vAlign w:val="center"/>
            <w:shd w:fill="F4F7F9"/>
          </w:tcPr>
          <w:p>
            <w:pPr>
              <w:spacing w:after="0" w:line="240" w:lineRule="auto"/>
            </w:pPr>
            <w:r>
              <w:rPr>
                <w:color w:val="17242E"/>
                <w:sz w:val="13"/>
              </w:rPr>
              <w:t>0</w:t>
            </w:r>
          </w:p>
        </w:tc>
        <w:tc>
          <w:tcPr>
            <w:tcW w:type="dxa" w:w="475"/>
            <w:tcMar>
              <w:top w:w="80" w:type="dxa"/>
              <w:start w:w="105" w:type="dxa"/>
              <w:bottom w:w="80" w:type="dxa"/>
              <w:end w:w="105" w:type="dxa"/>
            </w:tcMar>
            <w:vAlign w:val="center"/>
            <w:shd w:fill="F4F7F9"/>
          </w:tcPr>
          <w:p>
            <w:pPr>
              <w:spacing w:after="0" w:line="240" w:lineRule="auto"/>
            </w:pPr>
            <w:r>
              <w:rPr>
                <w:color w:val="17242E"/>
                <w:sz w:val="13"/>
              </w:rPr>
              <w:t>0</w:t>
            </w:r>
          </w:p>
        </w:tc>
        <w:tc>
          <w:tcPr>
            <w:tcW w:type="dxa" w:w="547"/>
            <w:tcMar>
              <w:top w:w="80" w:type="dxa"/>
              <w:start w:w="105" w:type="dxa"/>
              <w:bottom w:w="80" w:type="dxa"/>
              <w:end w:w="105" w:type="dxa"/>
            </w:tcMar>
            <w:vAlign w:val="center"/>
            <w:shd w:fill="F4F7F9"/>
          </w:tcPr>
          <w:p>
            <w:pPr>
              <w:spacing w:after="0" w:line="240" w:lineRule="auto"/>
            </w:pPr>
            <w:r>
              <w:rPr>
                <w:color w:val="17242E"/>
                <w:sz w:val="13"/>
              </w:rPr>
              <w:t>1</w:t>
            </w:r>
          </w:p>
        </w:tc>
        <w:tc>
          <w:tcPr>
            <w:tcW w:type="dxa" w:w="547"/>
            <w:tcMar>
              <w:top w:w="80" w:type="dxa"/>
              <w:start w:w="105" w:type="dxa"/>
              <w:bottom w:w="80" w:type="dxa"/>
              <w:end w:w="105" w:type="dxa"/>
            </w:tcMar>
            <w:vAlign w:val="center"/>
            <w:shd w:fill="F4F7F9"/>
          </w:tcPr>
          <w:p>
            <w:pPr>
              <w:spacing w:after="0" w:line="240" w:lineRule="auto"/>
            </w:pPr>
            <w:r>
              <w:rPr>
                <w:color w:val="17242E"/>
                <w:sz w:val="13"/>
              </w:rPr>
              <w:t>0</w:t>
            </w:r>
          </w:p>
        </w:tc>
        <w:tc>
          <w:tcPr>
            <w:tcW w:type="dxa" w:w="547"/>
            <w:tcMar>
              <w:top w:w="80" w:type="dxa"/>
              <w:start w:w="105" w:type="dxa"/>
              <w:bottom w:w="80" w:type="dxa"/>
              <w:end w:w="105" w:type="dxa"/>
            </w:tcMar>
            <w:vAlign w:val="center"/>
            <w:shd w:fill="F4F7F9"/>
          </w:tcPr>
          <w:p>
            <w:pPr>
              <w:spacing w:after="0" w:line="240" w:lineRule="auto"/>
            </w:pPr>
            <w:r>
              <w:rPr>
                <w:color w:val="17242E"/>
                <w:sz w:val="13"/>
              </w:rPr>
              <w:t>0</w:t>
            </w:r>
          </w:p>
        </w:tc>
        <w:tc>
          <w:tcPr>
            <w:tcW w:type="dxa" w:w="547"/>
            <w:tcMar>
              <w:top w:w="80" w:type="dxa"/>
              <w:start w:w="105" w:type="dxa"/>
              <w:bottom w:w="80" w:type="dxa"/>
              <w:end w:w="105" w:type="dxa"/>
            </w:tcMar>
            <w:vAlign w:val="center"/>
            <w:shd w:fill="F4F7F9"/>
          </w:tcPr>
          <w:p>
            <w:pPr>
              <w:spacing w:after="0" w:line="240" w:lineRule="auto"/>
            </w:pPr>
            <w:r>
              <w:rPr>
                <w:color w:val="17242E"/>
                <w:sz w:val="13"/>
              </w:rPr>
              <w:t>0</w:t>
            </w:r>
          </w:p>
        </w:tc>
        <w:tc>
          <w:tcPr>
            <w:tcW w:type="dxa" w:w="518"/>
            <w:tcMar>
              <w:top w:w="80" w:type="dxa"/>
              <w:start w:w="105" w:type="dxa"/>
              <w:bottom w:w="80" w:type="dxa"/>
              <w:end w:w="105" w:type="dxa"/>
            </w:tcMar>
            <w:vAlign w:val="center"/>
            <w:shd w:fill="F4F7F9"/>
          </w:tcPr>
          <w:p>
            <w:pPr>
              <w:spacing w:after="0" w:line="240" w:lineRule="auto"/>
            </w:pPr>
            <w:r>
              <w:rPr>
                <w:color w:val="17242E"/>
                <w:sz w:val="13"/>
              </w:rPr>
              <w:t>0</w:t>
            </w:r>
          </w:p>
        </w:tc>
        <w:tc>
          <w:tcPr>
            <w:tcW w:type="dxa" w:w="547"/>
            <w:tcMar>
              <w:top w:w="80" w:type="dxa"/>
              <w:start w:w="105" w:type="dxa"/>
              <w:bottom w:w="80" w:type="dxa"/>
              <w:end w:w="105" w:type="dxa"/>
            </w:tcMar>
            <w:vAlign w:val="center"/>
            <w:shd w:fill="F4F7F9"/>
          </w:tcPr>
          <w:p>
            <w:pPr>
              <w:spacing w:after="0" w:line="240" w:lineRule="auto"/>
            </w:pPr>
            <w:r>
              <w:rPr>
                <w:color w:val="17242E"/>
                <w:sz w:val="13"/>
              </w:rPr>
              <w:t>1</w:t>
            </w:r>
          </w:p>
        </w:tc>
        <w:tc>
          <w:tcPr>
            <w:tcW w:type="dxa" w:w="518"/>
            <w:tcMar>
              <w:top w:w="80" w:type="dxa"/>
              <w:start w:w="105" w:type="dxa"/>
              <w:bottom w:w="80" w:type="dxa"/>
              <w:end w:w="105" w:type="dxa"/>
            </w:tcMar>
            <w:vAlign w:val="center"/>
            <w:shd w:fill="F4F7F9"/>
          </w:tcPr>
          <w:p>
            <w:pPr>
              <w:spacing w:after="0" w:line="240" w:lineRule="auto"/>
            </w:pPr>
            <w:r>
              <w:rPr>
                <w:color w:val="17242E"/>
                <w:sz w:val="13"/>
              </w:rPr>
              <w:t>1</w:t>
            </w:r>
          </w:p>
        </w:tc>
        <w:tc>
          <w:tcPr>
            <w:tcW w:type="dxa" w:w="518"/>
            <w:tcMar>
              <w:top w:w="80" w:type="dxa"/>
              <w:start w:w="105" w:type="dxa"/>
              <w:bottom w:w="80" w:type="dxa"/>
              <w:end w:w="105" w:type="dxa"/>
            </w:tcMar>
            <w:vAlign w:val="center"/>
            <w:shd w:fill="F4F7F9"/>
          </w:tcPr>
          <w:p>
            <w:pPr>
              <w:spacing w:after="0" w:line="240" w:lineRule="auto"/>
            </w:pPr>
            <w:r>
              <w:rPr>
                <w:color w:val="17242E"/>
                <w:sz w:val="13"/>
              </w:rPr>
              <w:t>1</w:t>
            </w:r>
          </w:p>
        </w:tc>
        <w:tc>
          <w:tcPr>
            <w:tcW w:type="dxa" w:w="2736"/>
            <w:tcMar>
              <w:top w:w="80" w:type="dxa"/>
              <w:start w:w="105" w:type="dxa"/>
              <w:bottom w:w="80" w:type="dxa"/>
              <w:end w:w="105" w:type="dxa"/>
            </w:tcMar>
            <w:vAlign w:val="center"/>
            <w:shd w:fill="F4F7F9"/>
          </w:tcPr>
          <w:p>
            <w:pPr>
              <w:spacing w:after="0" w:line="240" w:lineRule="auto"/>
            </w:pPr>
            <w:r>
              <w:rPr>
                <w:color w:val="17242E"/>
                <w:sz w:val="13"/>
              </w:rPr>
              <w:t>service utility and staking; verify activation scope</w:t>
            </w:r>
          </w:p>
        </w:tc>
      </w:tr>
      <w:tr>
        <w:tc>
          <w:tcPr>
            <w:tcW w:type="dxa" w:w="936"/>
            <w:tcMar>
              <w:top w:w="80" w:type="dxa"/>
              <w:start w:w="105" w:type="dxa"/>
              <w:bottom w:w="80" w:type="dxa"/>
              <w:end w:w="105" w:type="dxa"/>
            </w:tcMar>
            <w:vAlign w:val="center"/>
          </w:tcPr>
          <w:p>
            <w:pPr>
              <w:spacing w:after="0" w:line="240" w:lineRule="auto"/>
            </w:pPr>
            <w:r>
              <w:rPr>
                <w:color w:val="17242E"/>
                <w:sz w:val="13"/>
              </w:rPr>
              <w:t>USDC</w:t>
            </w:r>
          </w:p>
        </w:tc>
        <w:tc>
          <w:tcPr>
            <w:tcW w:type="dxa" w:w="475"/>
            <w:tcMar>
              <w:top w:w="80" w:type="dxa"/>
              <w:start w:w="105" w:type="dxa"/>
              <w:bottom w:w="80" w:type="dxa"/>
              <w:end w:w="105" w:type="dxa"/>
            </w:tcMar>
            <w:vAlign w:val="center"/>
          </w:tcPr>
          <w:p>
            <w:pPr>
              <w:spacing w:after="0" w:line="240" w:lineRule="auto"/>
            </w:pPr>
            <w:r>
              <w:rPr>
                <w:color w:val="17242E"/>
                <w:sz w:val="13"/>
              </w:rPr>
              <w:t>1</w:t>
            </w:r>
          </w:p>
        </w:tc>
        <w:tc>
          <w:tcPr>
            <w:tcW w:type="dxa" w:w="475"/>
            <w:tcMar>
              <w:top w:w="80" w:type="dxa"/>
              <w:start w:w="105" w:type="dxa"/>
              <w:bottom w:w="80" w:type="dxa"/>
              <w:end w:w="105" w:type="dxa"/>
            </w:tcMar>
            <w:vAlign w:val="center"/>
          </w:tcPr>
          <w:p>
            <w:pPr>
              <w:spacing w:after="0" w:line="240" w:lineRule="auto"/>
            </w:pPr>
            <w:r>
              <w:rPr>
                <w:color w:val="17242E"/>
                <w:sz w:val="13"/>
              </w:rPr>
              <w:t>0</w:t>
            </w:r>
          </w:p>
        </w:tc>
        <w:tc>
          <w:tcPr>
            <w:tcW w:type="dxa" w:w="547"/>
            <w:tcMar>
              <w:top w:w="80" w:type="dxa"/>
              <w:start w:w="105" w:type="dxa"/>
              <w:bottom w:w="80" w:type="dxa"/>
              <w:end w:w="105" w:type="dxa"/>
            </w:tcMar>
            <w:vAlign w:val="center"/>
          </w:tcPr>
          <w:p>
            <w:pPr>
              <w:spacing w:after="0" w:line="240" w:lineRule="auto"/>
            </w:pPr>
            <w:r>
              <w:rPr>
                <w:color w:val="17242E"/>
                <w:sz w:val="13"/>
              </w:rPr>
              <w:t>0</w:t>
            </w:r>
          </w:p>
        </w:tc>
        <w:tc>
          <w:tcPr>
            <w:tcW w:type="dxa" w:w="547"/>
            <w:tcMar>
              <w:top w:w="80" w:type="dxa"/>
              <w:start w:w="105" w:type="dxa"/>
              <w:bottom w:w="80" w:type="dxa"/>
              <w:end w:w="105" w:type="dxa"/>
            </w:tcMar>
            <w:vAlign w:val="center"/>
          </w:tcPr>
          <w:p>
            <w:pPr>
              <w:spacing w:after="0" w:line="240" w:lineRule="auto"/>
            </w:pPr>
            <w:r>
              <w:rPr>
                <w:color w:val="17242E"/>
                <w:sz w:val="13"/>
              </w:rPr>
              <w:t>0</w:t>
            </w:r>
          </w:p>
        </w:tc>
        <w:tc>
          <w:tcPr>
            <w:tcW w:type="dxa" w:w="547"/>
            <w:tcMar>
              <w:top w:w="80" w:type="dxa"/>
              <w:start w:w="105" w:type="dxa"/>
              <w:bottom w:w="80" w:type="dxa"/>
              <w:end w:w="105" w:type="dxa"/>
            </w:tcMar>
            <w:vAlign w:val="center"/>
          </w:tcPr>
          <w:p>
            <w:pPr>
              <w:spacing w:after="0" w:line="240" w:lineRule="auto"/>
            </w:pPr>
            <w:r>
              <w:rPr>
                <w:color w:val="17242E"/>
                <w:sz w:val="13"/>
              </w:rPr>
              <w:t>0</w:t>
            </w:r>
          </w:p>
        </w:tc>
        <w:tc>
          <w:tcPr>
            <w:tcW w:type="dxa" w:w="547"/>
            <w:tcMar>
              <w:top w:w="80" w:type="dxa"/>
              <w:start w:w="105" w:type="dxa"/>
              <w:bottom w:w="80" w:type="dxa"/>
              <w:end w:w="105" w:type="dxa"/>
            </w:tcMar>
            <w:vAlign w:val="center"/>
          </w:tcPr>
          <w:p>
            <w:pPr>
              <w:spacing w:after="0" w:line="240" w:lineRule="auto"/>
            </w:pPr>
            <w:r>
              <w:rPr>
                <w:color w:val="17242E"/>
                <w:sz w:val="13"/>
              </w:rPr>
              <w:t>1</w:t>
            </w:r>
          </w:p>
        </w:tc>
        <w:tc>
          <w:tcPr>
            <w:tcW w:type="dxa" w:w="518"/>
            <w:tcMar>
              <w:top w:w="80" w:type="dxa"/>
              <w:start w:w="105" w:type="dxa"/>
              <w:bottom w:w="80" w:type="dxa"/>
              <w:end w:w="105" w:type="dxa"/>
            </w:tcMar>
            <w:vAlign w:val="center"/>
          </w:tcPr>
          <w:p>
            <w:pPr>
              <w:spacing w:after="0" w:line="240" w:lineRule="auto"/>
            </w:pPr>
            <w:r>
              <w:rPr>
                <w:color w:val="17242E"/>
                <w:sz w:val="13"/>
              </w:rPr>
              <w:t>0</w:t>
            </w:r>
          </w:p>
        </w:tc>
        <w:tc>
          <w:tcPr>
            <w:tcW w:type="dxa" w:w="547"/>
            <w:tcMar>
              <w:top w:w="80" w:type="dxa"/>
              <w:start w:w="105" w:type="dxa"/>
              <w:bottom w:w="80" w:type="dxa"/>
              <w:end w:w="105" w:type="dxa"/>
            </w:tcMar>
            <w:vAlign w:val="center"/>
          </w:tcPr>
          <w:p>
            <w:pPr>
              <w:spacing w:after="0" w:line="240" w:lineRule="auto"/>
            </w:pPr>
            <w:r>
              <w:rPr>
                <w:color w:val="17242E"/>
                <w:sz w:val="13"/>
              </w:rPr>
              <w:t>0</w:t>
            </w:r>
          </w:p>
        </w:tc>
        <w:tc>
          <w:tcPr>
            <w:tcW w:type="dxa" w:w="518"/>
            <w:tcMar>
              <w:top w:w="80" w:type="dxa"/>
              <w:start w:w="105" w:type="dxa"/>
              <w:bottom w:w="80" w:type="dxa"/>
              <w:end w:w="105" w:type="dxa"/>
            </w:tcMar>
            <w:vAlign w:val="center"/>
          </w:tcPr>
          <w:p>
            <w:pPr>
              <w:spacing w:after="0" w:line="240" w:lineRule="auto"/>
            </w:pPr>
            <w:r>
              <w:rPr>
                <w:color w:val="17242E"/>
                <w:sz w:val="13"/>
              </w:rPr>
              <w:t>0</w:t>
            </w:r>
          </w:p>
        </w:tc>
        <w:tc>
          <w:tcPr>
            <w:tcW w:type="dxa" w:w="518"/>
            <w:tcMar>
              <w:top w:w="80" w:type="dxa"/>
              <w:start w:w="105" w:type="dxa"/>
              <w:bottom w:w="80" w:type="dxa"/>
              <w:end w:w="105" w:type="dxa"/>
            </w:tcMar>
            <w:vAlign w:val="center"/>
          </w:tcPr>
          <w:p>
            <w:pPr>
              <w:spacing w:after="0" w:line="240" w:lineRule="auto"/>
            </w:pPr>
            <w:r>
              <w:rPr>
                <w:color w:val="17242E"/>
                <w:sz w:val="13"/>
              </w:rPr>
              <w:t>0</w:t>
            </w:r>
          </w:p>
        </w:tc>
        <w:tc>
          <w:tcPr>
            <w:tcW w:type="dxa" w:w="2736"/>
            <w:tcMar>
              <w:top w:w="80" w:type="dxa"/>
              <w:start w:w="105" w:type="dxa"/>
              <w:bottom w:w="80" w:type="dxa"/>
              <w:end w:w="105" w:type="dxa"/>
            </w:tcMar>
            <w:vAlign w:val="center"/>
          </w:tcPr>
          <w:p>
            <w:pPr>
              <w:spacing w:after="0" w:line="240" w:lineRule="auto"/>
            </w:pPr>
            <w:r>
              <w:rPr>
                <w:color w:val="17242E"/>
                <w:sz w:val="13"/>
              </w:rPr>
              <w:t>redemption/collateral claims coded separately</w:t>
            </w:r>
          </w:p>
        </w:tc>
      </w:tr>
    </w:tbl>
    <w:p>
      <w:pPr>
        <w:spacing w:after="20"/>
      </w:pPr>
    </w:p>
    <w:p>
      <w:pPr>
        <w:pStyle w:val="Heading1"/>
      </w:pPr>
      <w:r>
        <w:rPr>
          <w:b w:val="0"/>
          <w:i w:val="0"/>
        </w:rPr>
        <w:t>Appendix B. Variable naming and transformation rules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448"/>
            <w:shd w:fill="183A5A"/>
            <w:tcMar>
              <w:top w:w="80" w:type="dxa"/>
              <w:start w:w="105" w:type="dxa"/>
              <w:bottom w:w="80" w:type="dxa"/>
              <w:end w:w="105" w:type="dxa"/>
            </w:tcMar>
            <w:vAlign w:val="center"/>
          </w:tcPr>
          <w:p>
            <w:pPr>
              <w:spacing w:after="0"/>
            </w:pPr>
            <w:r>
              <w:rPr>
                <w:b/>
                <w:color w:val="FFFFFF"/>
                <w:sz w:val="16"/>
              </w:rPr>
              <w:t>Rule</w:t>
            </w:r>
          </w:p>
        </w:tc>
        <w:tc>
          <w:tcPr>
            <w:tcW w:type="dxa" w:w="7488"/>
            <w:shd w:fill="183A5A"/>
            <w:tcMar>
              <w:top w:w="80" w:type="dxa"/>
              <w:start w:w="105" w:type="dxa"/>
              <w:bottom w:w="80" w:type="dxa"/>
              <w:end w:w="105" w:type="dxa"/>
            </w:tcMar>
            <w:vAlign w:val="center"/>
          </w:tcPr>
          <w:p>
            <w:pPr>
              <w:spacing w:after="0"/>
            </w:pPr>
            <w:r>
              <w:rPr>
                <w:b/>
                <w:color w:val="FFFFFF"/>
                <w:sz w:val="16"/>
              </w:rPr>
              <w:t>Standard</w:t>
            </w:r>
          </w:p>
        </w:tc>
      </w:tr>
      <w:tr>
        <w:tc>
          <w:tcPr>
            <w:tcW w:type="dxa" w:w="2448"/>
            <w:tcMar>
              <w:top w:w="80" w:type="dxa"/>
              <w:start w:w="105" w:type="dxa"/>
              <w:bottom w:w="80" w:type="dxa"/>
              <w:end w:w="105" w:type="dxa"/>
            </w:tcMar>
            <w:vAlign w:val="center"/>
          </w:tcPr>
          <w:p>
            <w:pPr>
              <w:spacing w:after="0" w:line="240" w:lineRule="auto"/>
            </w:pPr>
            <w:r>
              <w:rPr>
                <w:color w:val="17242E"/>
                <w:sz w:val="16"/>
              </w:rPr>
              <w:t>Case</w:t>
            </w:r>
          </w:p>
        </w:tc>
        <w:tc>
          <w:tcPr>
            <w:tcW w:type="dxa" w:w="7488"/>
            <w:tcMar>
              <w:top w:w="80" w:type="dxa"/>
              <w:start w:w="105" w:type="dxa"/>
              <w:bottom w:w="80" w:type="dxa"/>
              <w:end w:w="105" w:type="dxa"/>
            </w:tcMar>
            <w:vAlign w:val="center"/>
          </w:tcPr>
          <w:p>
            <w:pPr>
              <w:spacing w:after="0" w:line="240" w:lineRule="auto"/>
            </w:pPr>
            <w:r>
              <w:rPr>
                <w:color w:val="17242E"/>
                <w:sz w:val="16"/>
              </w:rPr>
              <w:t>snake_case</w:t>
            </w:r>
          </w:p>
        </w:tc>
      </w:tr>
      <w:tr>
        <w:tc>
          <w:tcPr>
            <w:tcW w:type="dxa" w:w="2448"/>
            <w:tcMar>
              <w:top w:w="80" w:type="dxa"/>
              <w:start w:w="105" w:type="dxa"/>
              <w:bottom w:w="80" w:type="dxa"/>
              <w:end w:w="105" w:type="dxa"/>
            </w:tcMar>
            <w:vAlign w:val="center"/>
            <w:shd w:fill="F4F7F9"/>
          </w:tcPr>
          <w:p>
            <w:pPr>
              <w:spacing w:after="0" w:line="240" w:lineRule="auto"/>
            </w:pPr>
            <w:r>
              <w:rPr>
                <w:color w:val="17242E"/>
                <w:sz w:val="16"/>
              </w:rPr>
              <w:t>Booleans</w:t>
            </w:r>
          </w:p>
        </w:tc>
        <w:tc>
          <w:tcPr>
            <w:tcW w:type="dxa" w:w="7488"/>
            <w:tcMar>
              <w:top w:w="80" w:type="dxa"/>
              <w:start w:w="105" w:type="dxa"/>
              <w:bottom w:w="80" w:type="dxa"/>
              <w:end w:w="105" w:type="dxa"/>
            </w:tcMar>
            <w:vAlign w:val="center"/>
            <w:shd w:fill="F4F7F9"/>
          </w:tcPr>
          <w:p>
            <w:pPr>
              <w:spacing w:after="0" w:line="240" w:lineRule="auto"/>
            </w:pPr>
            <w:r>
              <w:rPr>
                <w:color w:val="17242E"/>
                <w:sz w:val="16"/>
              </w:rPr>
              <w:t>0/1; null = not known/not reviewed</w:t>
            </w:r>
          </w:p>
        </w:tc>
      </w:tr>
      <w:tr>
        <w:tc>
          <w:tcPr>
            <w:tcW w:type="dxa" w:w="2448"/>
            <w:tcMar>
              <w:top w:w="80" w:type="dxa"/>
              <w:start w:w="105" w:type="dxa"/>
              <w:bottom w:w="80" w:type="dxa"/>
              <w:end w:w="105" w:type="dxa"/>
            </w:tcMar>
            <w:vAlign w:val="center"/>
          </w:tcPr>
          <w:p>
            <w:pPr>
              <w:spacing w:after="0" w:line="240" w:lineRule="auto"/>
            </w:pPr>
            <w:r>
              <w:rPr>
                <w:color w:val="17242E"/>
                <w:sz w:val="16"/>
              </w:rPr>
              <w:t>Dates</w:t>
            </w:r>
          </w:p>
        </w:tc>
        <w:tc>
          <w:tcPr>
            <w:tcW w:type="dxa" w:w="7488"/>
            <w:tcMar>
              <w:top w:w="80" w:type="dxa"/>
              <w:start w:w="105" w:type="dxa"/>
              <w:bottom w:w="80" w:type="dxa"/>
              <w:end w:w="105" w:type="dxa"/>
            </w:tcMar>
            <w:vAlign w:val="center"/>
          </w:tcPr>
          <w:p>
            <w:pPr>
              <w:spacing w:after="0" w:line="240" w:lineRule="auto"/>
            </w:pPr>
            <w:r>
              <w:rPr>
                <w:color w:val="17242E"/>
                <w:sz w:val="16"/>
              </w:rPr>
              <w:t>ISO 8601; timestamps UTC</w:t>
            </w:r>
          </w:p>
        </w:tc>
      </w:tr>
      <w:tr>
        <w:tc>
          <w:tcPr>
            <w:tcW w:type="dxa" w:w="2448"/>
            <w:tcMar>
              <w:top w:w="80" w:type="dxa"/>
              <w:start w:w="105" w:type="dxa"/>
              <w:bottom w:w="80" w:type="dxa"/>
              <w:end w:w="105" w:type="dxa"/>
            </w:tcMar>
            <w:vAlign w:val="center"/>
            <w:shd w:fill="F4F7F9"/>
          </w:tcPr>
          <w:p>
            <w:pPr>
              <w:spacing w:after="0" w:line="240" w:lineRule="auto"/>
            </w:pPr>
            <w:r>
              <w:rPr>
                <w:color w:val="17242E"/>
                <w:sz w:val="16"/>
              </w:rPr>
              <w:t>Currency</w:t>
            </w:r>
          </w:p>
        </w:tc>
        <w:tc>
          <w:tcPr>
            <w:tcW w:type="dxa" w:w="7488"/>
            <w:tcMar>
              <w:top w:w="80" w:type="dxa"/>
              <w:start w:w="105" w:type="dxa"/>
              <w:bottom w:w="80" w:type="dxa"/>
              <w:end w:w="105" w:type="dxa"/>
            </w:tcMar>
            <w:vAlign w:val="center"/>
            <w:shd w:fill="F4F7F9"/>
          </w:tcPr>
          <w:p>
            <w:pPr>
              <w:spacing w:after="0" w:line="240" w:lineRule="auto"/>
            </w:pPr>
            <w:r>
              <w:rPr>
                <w:color w:val="17242E"/>
                <w:sz w:val="16"/>
              </w:rPr>
              <w:t>ISO code plus quote/reference asset</w:t>
            </w:r>
          </w:p>
        </w:tc>
      </w:tr>
      <w:tr>
        <w:tc>
          <w:tcPr>
            <w:tcW w:type="dxa" w:w="2448"/>
            <w:tcMar>
              <w:top w:w="80" w:type="dxa"/>
              <w:start w:w="105" w:type="dxa"/>
              <w:bottom w:w="80" w:type="dxa"/>
              <w:end w:w="105" w:type="dxa"/>
            </w:tcMar>
            <w:vAlign w:val="center"/>
          </w:tcPr>
          <w:p>
            <w:pPr>
              <w:spacing w:after="0" w:line="240" w:lineRule="auto"/>
            </w:pPr>
            <w:r>
              <w:rPr>
                <w:color w:val="17242E"/>
                <w:sz w:val="16"/>
              </w:rPr>
              <w:t>Amounts</w:t>
            </w:r>
          </w:p>
        </w:tc>
        <w:tc>
          <w:tcPr>
            <w:tcW w:type="dxa" w:w="7488"/>
            <w:tcMar>
              <w:top w:w="80" w:type="dxa"/>
              <w:start w:w="105" w:type="dxa"/>
              <w:bottom w:w="80" w:type="dxa"/>
              <w:end w:w="105" w:type="dxa"/>
            </w:tcMar>
            <w:vAlign w:val="center"/>
          </w:tcPr>
          <w:p>
            <w:pPr>
              <w:spacing w:after="0" w:line="240" w:lineRule="auto"/>
            </w:pPr>
            <w:r>
              <w:rPr>
                <w:color w:val="17242E"/>
                <w:sz w:val="16"/>
              </w:rPr>
              <w:t>raw native units and normalized USD field stored separately</w:t>
            </w:r>
          </w:p>
        </w:tc>
      </w:tr>
      <w:tr>
        <w:tc>
          <w:tcPr>
            <w:tcW w:type="dxa" w:w="2448"/>
            <w:tcMar>
              <w:top w:w="80" w:type="dxa"/>
              <w:start w:w="105" w:type="dxa"/>
              <w:bottom w:w="80" w:type="dxa"/>
              <w:end w:w="105" w:type="dxa"/>
            </w:tcMar>
            <w:vAlign w:val="center"/>
            <w:shd w:fill="F4F7F9"/>
          </w:tcPr>
          <w:p>
            <w:pPr>
              <w:spacing w:after="0" w:line="240" w:lineRule="auto"/>
            </w:pPr>
            <w:r>
              <w:rPr>
                <w:color w:val="17242E"/>
                <w:sz w:val="16"/>
              </w:rPr>
              <w:t>Returns</w:t>
            </w:r>
          </w:p>
        </w:tc>
        <w:tc>
          <w:tcPr>
            <w:tcW w:type="dxa" w:w="7488"/>
            <w:tcMar>
              <w:top w:w="80" w:type="dxa"/>
              <w:start w:w="105" w:type="dxa"/>
              <w:bottom w:w="80" w:type="dxa"/>
              <w:end w:w="105" w:type="dxa"/>
            </w:tcMar>
            <w:vAlign w:val="center"/>
            <w:shd w:fill="F4F7F9"/>
          </w:tcPr>
          <w:p>
            <w:pPr>
              <w:spacing w:after="0" w:line="240" w:lineRule="auto"/>
            </w:pPr>
            <w:r>
              <w:rPr>
                <w:color w:val="17242E"/>
                <w:sz w:val="16"/>
              </w:rPr>
              <w:t>log returns by default; simple returns for economic interpretation</w:t>
            </w:r>
          </w:p>
        </w:tc>
      </w:tr>
      <w:tr>
        <w:tc>
          <w:tcPr>
            <w:tcW w:type="dxa" w:w="2448"/>
            <w:tcMar>
              <w:top w:w="80" w:type="dxa"/>
              <w:start w:w="105" w:type="dxa"/>
              <w:bottom w:w="80" w:type="dxa"/>
              <w:end w:w="105" w:type="dxa"/>
            </w:tcMar>
            <w:vAlign w:val="center"/>
          </w:tcPr>
          <w:p>
            <w:pPr>
              <w:spacing w:after="0" w:line="240" w:lineRule="auto"/>
            </w:pPr>
            <w:r>
              <w:rPr>
                <w:color w:val="17242E"/>
                <w:sz w:val="16"/>
              </w:rPr>
              <w:t>Supply growth</w:t>
            </w:r>
          </w:p>
        </w:tc>
        <w:tc>
          <w:tcPr>
            <w:tcW w:type="dxa" w:w="7488"/>
            <w:tcMar>
              <w:top w:w="80" w:type="dxa"/>
              <w:start w:w="105" w:type="dxa"/>
              <w:bottom w:w="80" w:type="dxa"/>
              <w:end w:w="105" w:type="dxa"/>
            </w:tcMar>
            <w:vAlign w:val="center"/>
          </w:tcPr>
          <w:p>
            <w:pPr>
              <w:spacing w:after="0" w:line="240" w:lineRule="auto"/>
            </w:pPr>
            <w:r>
              <w:rPr>
                <w:color w:val="17242E"/>
                <w:sz w:val="16"/>
              </w:rPr>
              <w:t>log difference; annualization method explicit</w:t>
            </w:r>
          </w:p>
        </w:tc>
      </w:tr>
      <w:tr>
        <w:tc>
          <w:tcPr>
            <w:tcW w:type="dxa" w:w="2448"/>
            <w:tcMar>
              <w:top w:w="80" w:type="dxa"/>
              <w:start w:w="105" w:type="dxa"/>
              <w:bottom w:w="80" w:type="dxa"/>
              <w:end w:w="105" w:type="dxa"/>
            </w:tcMar>
            <w:vAlign w:val="center"/>
            <w:shd w:fill="F4F7F9"/>
          </w:tcPr>
          <w:p>
            <w:pPr>
              <w:spacing w:after="0" w:line="240" w:lineRule="auto"/>
            </w:pPr>
            <w:r>
              <w:rPr>
                <w:color w:val="17242E"/>
                <w:sz w:val="16"/>
              </w:rPr>
              <w:t>Outliers</w:t>
            </w:r>
          </w:p>
        </w:tc>
        <w:tc>
          <w:tcPr>
            <w:tcW w:type="dxa" w:w="7488"/>
            <w:tcMar>
              <w:top w:w="80" w:type="dxa"/>
              <w:start w:w="105" w:type="dxa"/>
              <w:bottom w:w="80" w:type="dxa"/>
              <w:end w:w="105" w:type="dxa"/>
            </w:tcMar>
            <w:vAlign w:val="center"/>
            <w:shd w:fill="F4F7F9"/>
          </w:tcPr>
          <w:p>
            <w:pPr>
              <w:spacing w:after="0" w:line="240" w:lineRule="auto"/>
            </w:pPr>
            <w:r>
              <w:rPr>
                <w:color w:val="17242E"/>
                <w:sz w:val="16"/>
              </w:rPr>
              <w:t>flag first; never silently delete</w:t>
            </w:r>
          </w:p>
        </w:tc>
      </w:tr>
      <w:tr>
        <w:tc>
          <w:tcPr>
            <w:tcW w:type="dxa" w:w="2448"/>
            <w:tcMar>
              <w:top w:w="80" w:type="dxa"/>
              <w:start w:w="105" w:type="dxa"/>
              <w:bottom w:w="80" w:type="dxa"/>
              <w:end w:w="105" w:type="dxa"/>
            </w:tcMar>
            <w:vAlign w:val="center"/>
          </w:tcPr>
          <w:p>
            <w:pPr>
              <w:spacing w:after="0" w:line="240" w:lineRule="auto"/>
            </w:pPr>
            <w:r>
              <w:rPr>
                <w:color w:val="17242E"/>
                <w:sz w:val="16"/>
              </w:rPr>
              <w:t>Revisions</w:t>
            </w:r>
          </w:p>
        </w:tc>
        <w:tc>
          <w:tcPr>
            <w:tcW w:type="dxa" w:w="7488"/>
            <w:tcMar>
              <w:top w:w="80" w:type="dxa"/>
              <w:start w:w="105" w:type="dxa"/>
              <w:bottom w:w="80" w:type="dxa"/>
              <w:end w:w="105" w:type="dxa"/>
            </w:tcMar>
            <w:vAlign w:val="center"/>
          </w:tcPr>
          <w:p>
            <w:pPr>
              <w:spacing w:after="0" w:line="240" w:lineRule="auto"/>
            </w:pPr>
            <w:r>
              <w:rPr>
                <w:color w:val="17242E"/>
                <w:sz w:val="16"/>
              </w:rPr>
              <w:t>append/version; do not overwrite raw or design history</w:t>
            </w:r>
          </w:p>
        </w:tc>
      </w:tr>
      <w:tr>
        <w:tc>
          <w:tcPr>
            <w:tcW w:type="dxa" w:w="2448"/>
            <w:tcMar>
              <w:top w:w="80" w:type="dxa"/>
              <w:start w:w="105" w:type="dxa"/>
              <w:bottom w:w="80" w:type="dxa"/>
              <w:end w:w="105" w:type="dxa"/>
            </w:tcMar>
            <w:vAlign w:val="center"/>
            <w:shd w:fill="F4F7F9"/>
          </w:tcPr>
          <w:p>
            <w:pPr>
              <w:spacing w:after="0" w:line="240" w:lineRule="auto"/>
            </w:pPr>
            <w:r>
              <w:rPr>
                <w:color w:val="17242E"/>
                <w:sz w:val="16"/>
              </w:rPr>
              <w:t>Provenance</w:t>
            </w:r>
          </w:p>
        </w:tc>
        <w:tc>
          <w:tcPr>
            <w:tcW w:type="dxa" w:w="7488"/>
            <w:tcMar>
              <w:top w:w="80" w:type="dxa"/>
              <w:start w:w="105" w:type="dxa"/>
              <w:bottom w:w="80" w:type="dxa"/>
              <w:end w:w="105" w:type="dxa"/>
            </w:tcMar>
            <w:vAlign w:val="center"/>
            <w:shd w:fill="F4F7F9"/>
          </w:tcPr>
          <w:p>
            <w:pPr>
              <w:spacing w:after="0" w:line="240" w:lineRule="auto"/>
            </w:pPr>
            <w:r>
              <w:rPr>
                <w:color w:val="17242E"/>
                <w:sz w:val="16"/>
              </w:rPr>
              <w:t>source_id + retrieved_at + checksum + transformation_version</w:t>
            </w:r>
          </w:p>
        </w:tc>
      </w:tr>
    </w:tbl>
    <w:p>
      <w:pPr>
        <w:spacing w:after="20"/>
      </w:pPr>
    </w:p>
    <w:p>
      <w:pPr>
        <w:pStyle w:val="Heading1"/>
      </w:pPr>
      <w:r>
        <w:rPr>
          <w:b w:val="0"/>
          <w:i w:val="0"/>
        </w:rPr>
        <w:t>Appendix C. Selected authoritative and methodological sources</w:t>
      </w:r>
    </w:p>
    <w:p>
      <w:r>
        <w:rPr>
          <w:b w:val="0"/>
          <w:i w:val="0"/>
          <w:sz w:val="17"/>
        </w:rPr>
        <w:t>1. BIS Working Paper 1164, Public information and stablecoin runs (2024; revised 2025). https://www.bis.org/publ/work1164.htm</w:t>
      </w:r>
    </w:p>
    <w:p>
      <w:r>
        <w:rPr>
          <w:b w:val="0"/>
          <w:i w:val="0"/>
          <w:sz w:val="17"/>
        </w:rPr>
        <w:t>2. BIS FSI Insights 57, Stablecoins: regulatory responses to their promise of stability (2024). https://www.bis.org/fsi/publ/insights57.htm</w:t>
      </w:r>
    </w:p>
    <w:p>
      <w:r>
        <w:rPr>
          <w:b w:val="0"/>
          <w:i w:val="0"/>
          <w:sz w:val="17"/>
        </w:rPr>
        <w:t>3. CPMI, Considerations for stablecoin arrangements in cross-border payments (2023). https://www.bis.org/cpmi/publ/d220.pdf</w:t>
      </w:r>
    </w:p>
    <w:p>
      <w:r>
        <w:rPr>
          <w:b w:val="0"/>
          <w:i w:val="0"/>
          <w:sz w:val="17"/>
        </w:rPr>
        <w:t>4. IMF, Understanding Stablecoins (2025). https://www.imf.org/en/-/media/files/publications/dp/2025/english/usea.pdf</w:t>
      </w:r>
    </w:p>
    <w:p>
      <w:r>
        <w:rPr>
          <w:b w:val="0"/>
          <w:i w:val="0"/>
          <w:sz w:val="17"/>
        </w:rPr>
        <w:t>5. IMF WP, From Par to Pressure: Liquidity, Redemptions, and Fire Sales with a Systemic Stablecoin (2026). https://www.elibrary.imf.org/abstract/journals/001/2026/005/001.2026.issue-005-en.xml</w:t>
      </w:r>
    </w:p>
    <w:p>
      <w:r>
        <w:rPr>
          <w:b w:val="0"/>
          <w:i w:val="0"/>
          <w:sz w:val="17"/>
        </w:rPr>
        <w:t>6. Circle, USDC transparency and reserve composition. https://www.circle.com/transparency</w:t>
      </w:r>
    </w:p>
    <w:p>
      <w:r>
        <w:rPr>
          <w:b w:val="0"/>
          <w:i w:val="0"/>
          <w:sz w:val="17"/>
        </w:rPr>
        <w:t>7. Ethereum Improvement Proposal 1559. https://eips.ethereum.org/EIPS/eip-1559</w:t>
      </w:r>
    </w:p>
    <w:p>
      <w:r>
        <w:rPr>
          <w:b w:val="0"/>
          <w:i w:val="0"/>
          <w:sz w:val="17"/>
        </w:rPr>
        <w:t>8. Ethereum.org, proof-of-stake documentation. https://ethereum.org/developers/docs/consensus-mechanisms/pos/</w:t>
      </w:r>
    </w:p>
    <w:p>
      <w:r>
        <w:rPr>
          <w:b w:val="0"/>
          <w:i w:val="0"/>
          <w:sz w:val="17"/>
        </w:rPr>
        <w:t>9. Bitcoin Core validation. https://bitcoin.org/en/bitcoin-core/features/validation</w:t>
      </w:r>
    </w:p>
    <w:p>
      <w:r>
        <w:rPr>
          <w:b w:val="0"/>
          <w:i w:val="0"/>
          <w:sz w:val="17"/>
        </w:rPr>
        <w:t>10. DeFiLlama data definitions. https://defillama.com/data-definitions</w:t>
      </w:r>
    </w:p>
    <w:p>
      <w:r>
        <w:rPr>
          <w:b w:val="0"/>
          <w:i w:val="0"/>
          <w:sz w:val="17"/>
        </w:rPr>
        <w:t>11. CoinGecko API documentation. https://docs.coingecko.com/</w:t>
      </w:r>
    </w:p>
    <w:p>
      <w:pPr>
        <w:pStyle w:val="Heading2"/>
      </w:pPr>
      <w:r>
        <w:rPr>
          <w:b w:val="0"/>
          <w:i w:val="0"/>
        </w:rPr>
        <w:t>Source-use rule</w:t>
      </w:r>
    </w:p>
    <w:p>
      <w:r>
        <w:rPr>
          <w:b w:val="0"/>
          <w:i w:val="0"/>
        </w:rPr>
        <w:t>Issuer and protocol sources establish design and stated rights; independent data and institutional research evaluate outcomes and risk. A source’s inclusion does not imply endorsement. All web facts and classifications must be rechecked at the observation date and before final submission.</w:t>
      </w:r>
    </w:p>
    <w:p>
      <w:r>
        <w:br w:type="page"/>
      </w:r>
    </w:p>
    <w:p>
      <w:pPr>
        <w:pStyle w:val="Heading1"/>
      </w:pPr>
      <w:r>
        <w:rPr>
          <w:b w:val="0"/>
          <w:i w:val="0"/>
        </w:rPr>
        <w:t>Notebook Update 1.1 — Pilot Universe Freeze</w:t>
      </w:r>
    </w:p>
    <w:p>
      <w:r>
        <w:rPr>
          <w:b w:val="0"/>
          <w:i/>
          <w:color w:val="5D6B75"/>
        </w:rPr>
        <w:t>Entry date: 22 August 2026 • Status: market snapshot frozen; pilot classifications populated; second-coder validation pending</w:t>
      </w:r>
    </w:p>
    <w:p>
      <w:pPr>
        <w:pStyle w:val="Heading2"/>
      </w:pPr>
      <w:r>
        <w:rPr>
          <w:b w:val="0"/>
          <w:i w:val="0"/>
        </w:rPr>
        <w:t>Selection decision</w:t>
      </w:r>
    </w:p>
    <w:p>
      <w:r>
        <w:rPr>
          <w:b w:val="0"/>
          <w:i w:val="0"/>
        </w:rPr>
        <w:t>The Phase 2 pilot universe is frozen at 25 non-stable cryptoassets and 16 stable-value assets. The selection combines market dominance, trading liquidity, public-data accessibility, economic-mechanism coverage, and a deliberately limited high-growth sleeve.</w:t>
      </w:r>
    </w:p>
    <w:tbl>
      <w:tblPr>
        <w:tblW w:type="auto" w:w="0"/>
        <w:tblLook w:firstColumn="1" w:firstRow="1" w:lastColumn="0" w:lastRow="0" w:noHBand="0" w:noVBand="1" w:val="04A0"/>
      </w:tblPr>
      <w:tblGrid>
        <w:gridCol w:w="9878"/>
      </w:tblGrid>
      <w:tr>
        <w:tc>
          <w:tcPr>
            <w:tcW w:type="dxa" w:w="9878"/>
            <w:shd w:fill="EAF1F5"/>
            <w:tcMar>
              <w:top w:w="80" w:type="dxa"/>
              <w:start w:w="105" w:type="dxa"/>
              <w:bottom w:w="80" w:type="dxa"/>
              <w:end w:w="105" w:type="dxa"/>
            </w:tcMar>
          </w:tcPr>
          <w:p>
            <w:r>
              <w:rPr>
                <w:b/>
                <w:color w:val="167D7F"/>
              </w:rPr>
              <w:t xml:space="preserve">Coverage result  </w:t>
            </w:r>
            <w:r>
              <w:t>Using contemporaneous CoinGecko and DeFiLlama snapshots, the selected assets represent approximately 95.5% of total crypto market capitalization. The figure is indicative because vendor supply methodologies and snapshot timing differ; it should be recomputed from a synchronized production extract.</w:t>
            </w:r>
          </w:p>
        </w:tc>
      </w:tr>
    </w:tbl>
    <w:p/>
    <w:p>
      <w:pPr>
        <w:pStyle w:val="Heading2"/>
      </w:pPr>
      <w:r>
        <w:rPr>
          <w:b w:val="0"/>
          <w:i w:val="0"/>
        </w:rPr>
        <w:t>Formal inclusion hierarchy</w:t>
      </w:r>
    </w:p>
    <w:p>
      <w:pPr>
        <w:pStyle w:val="ListBullet"/>
      </w:pPr>
      <w:r>
        <w:rPr>
          <w:b w:val="0"/>
          <w:i w:val="0"/>
        </w:rPr>
        <w:t>Tier 1 — Market core: large capitalization and meaningful trading volume; optimized for broad market coverage.</w:t>
      </w:r>
    </w:p>
    <w:p>
      <w:pPr>
        <w:pStyle w:val="ListBullet"/>
      </w:pPr>
      <w:r>
        <w:rPr>
          <w:b w:val="0"/>
          <w:i w:val="0"/>
        </w:rPr>
        <w:t>Tier 2 — Growth sleeve: expanding capitalization, supply, adoption, or economic relevance with accessible historical data.</w:t>
      </w:r>
    </w:p>
    <w:p>
      <w:pPr>
        <w:pStyle w:val="ListBullet"/>
      </w:pPr>
      <w:r>
        <w:rPr>
          <w:b w:val="0"/>
          <w:i w:val="0"/>
        </w:rPr>
        <w:t>Tier 3 — Economic coverage: adds a distinct value-accrual, consensus, privacy, governance, or stablecoin design mechanism.</w:t>
      </w:r>
    </w:p>
    <w:p>
      <w:pPr>
        <w:pStyle w:val="ListBullet"/>
      </w:pPr>
      <w:r>
        <w:rPr>
          <w:b w:val="0"/>
          <w:i w:val="0"/>
        </w:rPr>
        <w:t>Tier 4 — Failure control: retains failed/reflexive designs needed to estimate downside and avoid survivorship bias.</w:t>
      </w:r>
    </w:p>
    <w:p>
      <w:pPr>
        <w:pStyle w:val="ListBullet"/>
      </w:pPr>
      <w:r>
        <w:rPr>
          <w:b w:val="0"/>
          <w:i w:val="0"/>
        </w:rPr>
        <w:t>Exclusion rule: omit assets whose observed capitalization is primarily illiquid, whose volume is de minimis/unreliable, or whose historical/design data cannot support reproducible measurement.</w:t>
      </w:r>
    </w:p>
    <w:p>
      <w:pPr>
        <w:pStyle w:val="Heading2"/>
      </w:pPr>
      <w:r>
        <w:rPr>
          <w:b w:val="0"/>
          <w:i w:val="0"/>
        </w:rPr>
        <w:t>Selected non-stable cryptoassets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83A5A"/>
            <w:tcMar>
              <w:top w:w="80" w:type="dxa"/>
              <w:start w:w="105" w:type="dxa"/>
              <w:bottom w:w="80" w:type="dxa"/>
              <w:end w:w="105" w:type="dxa"/>
            </w:tcMar>
            <w:vAlign w:val="center"/>
          </w:tcPr>
          <w:p>
            <w:pPr>
              <w:spacing w:after="0"/>
            </w:pPr>
            <w:r>
              <w:rPr>
                <w:b/>
                <w:color w:val="FFFFFF"/>
                <w:sz w:val="16"/>
              </w:rPr>
              <w:t>Tier</w:t>
            </w:r>
          </w:p>
        </w:tc>
        <w:tc>
          <w:tcPr>
            <w:tcW w:type="dxa" w:w="3456"/>
            <w:shd w:fill="183A5A"/>
            <w:tcMar>
              <w:top w:w="80" w:type="dxa"/>
              <w:start w:w="105" w:type="dxa"/>
              <w:bottom w:w="80" w:type="dxa"/>
              <w:end w:w="105" w:type="dxa"/>
            </w:tcMar>
            <w:vAlign w:val="center"/>
          </w:tcPr>
          <w:p>
            <w:pPr>
              <w:spacing w:after="0"/>
            </w:pPr>
            <w:r>
              <w:rPr>
                <w:b/>
                <w:color w:val="FFFFFF"/>
                <w:sz w:val="16"/>
              </w:rPr>
              <w:t>Assets</w:t>
            </w:r>
          </w:p>
        </w:tc>
        <w:tc>
          <w:tcPr>
            <w:tcW w:type="dxa" w:w="4608"/>
            <w:shd w:fill="183A5A"/>
            <w:tcMar>
              <w:top w:w="80" w:type="dxa"/>
              <w:start w:w="105" w:type="dxa"/>
              <w:bottom w:w="80" w:type="dxa"/>
              <w:end w:w="105" w:type="dxa"/>
            </w:tcMar>
            <w:vAlign w:val="center"/>
          </w:tcPr>
          <w:p>
            <w:pPr>
              <w:spacing w:after="0"/>
            </w:pPr>
            <w:r>
              <w:rPr>
                <w:b/>
                <w:color w:val="FFFFFF"/>
                <w:sz w:val="16"/>
              </w:rPr>
              <w:t>Research role</w:t>
            </w:r>
          </w:p>
        </w:tc>
      </w:tr>
      <w:tr>
        <w:tc>
          <w:tcPr>
            <w:tcW w:type="dxa" w:w="1800"/>
            <w:tcMar>
              <w:top w:w="80" w:type="dxa"/>
              <w:start w:w="105" w:type="dxa"/>
              <w:bottom w:w="80" w:type="dxa"/>
              <w:end w:w="105" w:type="dxa"/>
            </w:tcMar>
            <w:vAlign w:val="center"/>
          </w:tcPr>
          <w:p>
            <w:pPr>
              <w:spacing w:after="0" w:line="240" w:lineRule="auto"/>
            </w:pPr>
            <w:r>
              <w:rPr>
                <w:color w:val="17242E"/>
                <w:sz w:val="16"/>
              </w:rPr>
              <w:t>Market core</w:t>
            </w:r>
          </w:p>
        </w:tc>
        <w:tc>
          <w:tcPr>
            <w:tcW w:type="dxa" w:w="3456"/>
            <w:tcMar>
              <w:top w:w="80" w:type="dxa"/>
              <w:start w:w="105" w:type="dxa"/>
              <w:bottom w:w="80" w:type="dxa"/>
              <w:end w:w="105" w:type="dxa"/>
            </w:tcMar>
            <w:vAlign w:val="center"/>
          </w:tcPr>
          <w:p>
            <w:pPr>
              <w:spacing w:after="0" w:line="240" w:lineRule="auto"/>
            </w:pPr>
            <w:r>
              <w:rPr>
                <w:color w:val="17242E"/>
                <w:sz w:val="16"/>
              </w:rPr>
              <w:t>BTC, ETH, BNB, XRP, SOL, TRX, DOGE, ZEC, LINK, ADA, XMR</w:t>
            </w:r>
          </w:p>
        </w:tc>
        <w:tc>
          <w:tcPr>
            <w:tcW w:type="dxa" w:w="4608"/>
            <w:tcMar>
              <w:top w:w="80" w:type="dxa"/>
              <w:start w:w="105" w:type="dxa"/>
              <w:bottom w:w="80" w:type="dxa"/>
              <w:end w:w="105" w:type="dxa"/>
            </w:tcMar>
            <w:vAlign w:val="center"/>
          </w:tcPr>
          <w:p>
            <w:pPr>
              <w:spacing w:after="0" w:line="240" w:lineRule="auto"/>
            </w:pPr>
            <w:r>
              <w:rPr>
                <w:color w:val="17242E"/>
                <w:sz w:val="16"/>
              </w:rPr>
              <w:t>Dominant monetary, infrastructure, payments, privacy, and oracle exposures</w:t>
            </w:r>
          </w:p>
        </w:tc>
      </w:tr>
      <w:tr>
        <w:tc>
          <w:tcPr>
            <w:tcW w:type="dxa" w:w="1800"/>
            <w:tcMar>
              <w:top w:w="80" w:type="dxa"/>
              <w:start w:w="105" w:type="dxa"/>
              <w:bottom w:w="80" w:type="dxa"/>
              <w:end w:w="105" w:type="dxa"/>
            </w:tcMar>
            <w:vAlign w:val="center"/>
            <w:shd w:fill="F4F7F9"/>
          </w:tcPr>
          <w:p>
            <w:pPr>
              <w:spacing w:after="0" w:line="240" w:lineRule="auto"/>
            </w:pPr>
            <w:r>
              <w:rPr>
                <w:color w:val="17242E"/>
                <w:sz w:val="16"/>
              </w:rPr>
              <w:t>Economic coverage</w:t>
            </w:r>
          </w:p>
        </w:tc>
        <w:tc>
          <w:tcPr>
            <w:tcW w:type="dxa" w:w="3456"/>
            <w:tcMar>
              <w:top w:w="80" w:type="dxa"/>
              <w:start w:w="105" w:type="dxa"/>
              <w:bottom w:w="80" w:type="dxa"/>
              <w:end w:w="105" w:type="dxa"/>
            </w:tcMar>
            <w:vAlign w:val="center"/>
            <w:shd w:fill="F4F7F9"/>
          </w:tcPr>
          <w:p>
            <w:pPr>
              <w:spacing w:after="0" w:line="240" w:lineRule="auto"/>
            </w:pPr>
            <w:r>
              <w:rPr>
                <w:color w:val="17242E"/>
                <w:sz w:val="16"/>
              </w:rPr>
              <w:t>XLM, BCH, LTC, HBAR, AVAX, TON, UNI, AAVE, ARB, OP, POL</w:t>
            </w:r>
          </w:p>
        </w:tc>
        <w:tc>
          <w:tcPr>
            <w:tcW w:type="dxa" w:w="4608"/>
            <w:tcMar>
              <w:top w:w="80" w:type="dxa"/>
              <w:start w:w="105" w:type="dxa"/>
              <w:bottom w:w="80" w:type="dxa"/>
              <w:end w:w="105" w:type="dxa"/>
            </w:tcMar>
            <w:vAlign w:val="center"/>
            <w:shd w:fill="F4F7F9"/>
          </w:tcPr>
          <w:p>
            <w:pPr>
              <w:spacing w:after="0" w:line="240" w:lineRule="auto"/>
            </w:pPr>
            <w:r>
              <w:rPr>
                <w:color w:val="17242E"/>
                <w:sz w:val="16"/>
              </w:rPr>
              <w:t>Additional consensus, L2, DeFi, governance, and supply-design variation</w:t>
            </w:r>
          </w:p>
        </w:tc>
      </w:tr>
      <w:tr>
        <w:tc>
          <w:tcPr>
            <w:tcW w:type="dxa" w:w="1800"/>
            <w:tcMar>
              <w:top w:w="80" w:type="dxa"/>
              <w:start w:w="105" w:type="dxa"/>
              <w:bottom w:w="80" w:type="dxa"/>
              <w:end w:w="105" w:type="dxa"/>
            </w:tcMar>
            <w:vAlign w:val="center"/>
          </w:tcPr>
          <w:p>
            <w:pPr>
              <w:spacing w:after="0" w:line="240" w:lineRule="auto"/>
            </w:pPr>
            <w:r>
              <w:rPr>
                <w:color w:val="17242E"/>
                <w:sz w:val="16"/>
              </w:rPr>
              <w:t>Growth sleeve</w:t>
            </w:r>
          </w:p>
        </w:tc>
        <w:tc>
          <w:tcPr>
            <w:tcW w:type="dxa" w:w="3456"/>
            <w:tcMar>
              <w:top w:w="80" w:type="dxa"/>
              <w:start w:w="105" w:type="dxa"/>
              <w:bottom w:w="80" w:type="dxa"/>
              <w:end w:w="105" w:type="dxa"/>
            </w:tcMar>
            <w:vAlign w:val="center"/>
          </w:tcPr>
          <w:p>
            <w:pPr>
              <w:spacing w:after="0" w:line="240" w:lineRule="auto"/>
            </w:pPr>
            <w:r>
              <w:rPr>
                <w:color w:val="17242E"/>
                <w:sz w:val="16"/>
              </w:rPr>
              <w:t>HYPE, SUI, TAO</w:t>
            </w:r>
          </w:p>
        </w:tc>
        <w:tc>
          <w:tcPr>
            <w:tcW w:type="dxa" w:w="4608"/>
            <w:tcMar>
              <w:top w:w="80" w:type="dxa"/>
              <w:start w:w="105" w:type="dxa"/>
              <w:bottom w:w="80" w:type="dxa"/>
              <w:end w:w="105" w:type="dxa"/>
            </w:tcMar>
            <w:vAlign w:val="center"/>
          </w:tcPr>
          <w:p>
            <w:pPr>
              <w:spacing w:after="0" w:line="240" w:lineRule="auto"/>
            </w:pPr>
            <w:r>
              <w:rPr>
                <w:color w:val="17242E"/>
                <w:sz w:val="16"/>
              </w:rPr>
              <w:t>High-growth exchange/L1, scalable L1, and AI/service-network stories</w:t>
            </w:r>
          </w:p>
        </w:tc>
      </w:tr>
    </w:tbl>
    <w:p/>
    <w:p>
      <w:pPr>
        <w:pStyle w:val="Heading2"/>
      </w:pPr>
      <w:r>
        <w:rPr>
          <w:b w:val="0"/>
          <w:i w:val="0"/>
        </w:rPr>
        <w:t>Selected stable-value assets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83A5A"/>
            <w:tcMar>
              <w:top w:w="80" w:type="dxa"/>
              <w:start w:w="105" w:type="dxa"/>
              <w:bottom w:w="80" w:type="dxa"/>
              <w:end w:w="105" w:type="dxa"/>
            </w:tcMar>
            <w:vAlign w:val="center"/>
          </w:tcPr>
          <w:p>
            <w:pPr>
              <w:spacing w:after="0"/>
            </w:pPr>
            <w:r>
              <w:rPr>
                <w:b/>
                <w:color w:val="FFFFFF"/>
                <w:sz w:val="16"/>
              </w:rPr>
              <w:t>Tier</w:t>
            </w:r>
          </w:p>
        </w:tc>
        <w:tc>
          <w:tcPr>
            <w:tcW w:type="dxa" w:w="3456"/>
            <w:shd w:fill="183A5A"/>
            <w:tcMar>
              <w:top w:w="80" w:type="dxa"/>
              <w:start w:w="105" w:type="dxa"/>
              <w:bottom w:w="80" w:type="dxa"/>
              <w:end w:w="105" w:type="dxa"/>
            </w:tcMar>
            <w:vAlign w:val="center"/>
          </w:tcPr>
          <w:p>
            <w:pPr>
              <w:spacing w:after="0"/>
            </w:pPr>
            <w:r>
              <w:rPr>
                <w:b/>
                <w:color w:val="FFFFFF"/>
                <w:sz w:val="16"/>
              </w:rPr>
              <w:t>Assets</w:t>
            </w:r>
          </w:p>
        </w:tc>
        <w:tc>
          <w:tcPr>
            <w:tcW w:type="dxa" w:w="4608"/>
            <w:shd w:fill="183A5A"/>
            <w:tcMar>
              <w:top w:w="80" w:type="dxa"/>
              <w:start w:w="105" w:type="dxa"/>
              <w:bottom w:w="80" w:type="dxa"/>
              <w:end w:w="105" w:type="dxa"/>
            </w:tcMar>
            <w:vAlign w:val="center"/>
          </w:tcPr>
          <w:p>
            <w:pPr>
              <w:spacing w:after="0"/>
            </w:pPr>
            <w:r>
              <w:rPr>
                <w:b/>
                <w:color w:val="FFFFFF"/>
                <w:sz w:val="16"/>
              </w:rPr>
              <w:t>Research role</w:t>
            </w:r>
          </w:p>
        </w:tc>
      </w:tr>
      <w:tr>
        <w:tc>
          <w:tcPr>
            <w:tcW w:type="dxa" w:w="1800"/>
            <w:tcMar>
              <w:top w:w="80" w:type="dxa"/>
              <w:start w:w="105" w:type="dxa"/>
              <w:bottom w:w="80" w:type="dxa"/>
              <w:end w:w="105" w:type="dxa"/>
            </w:tcMar>
            <w:vAlign w:val="center"/>
          </w:tcPr>
          <w:p>
            <w:pPr>
              <w:spacing w:after="0" w:line="240" w:lineRule="auto"/>
            </w:pPr>
            <w:r>
              <w:rPr>
                <w:color w:val="17242E"/>
                <w:sz w:val="16"/>
              </w:rPr>
              <w:t>Market core</w:t>
            </w:r>
          </w:p>
        </w:tc>
        <w:tc>
          <w:tcPr>
            <w:tcW w:type="dxa" w:w="3456"/>
            <w:tcMar>
              <w:top w:w="80" w:type="dxa"/>
              <w:start w:w="105" w:type="dxa"/>
              <w:bottom w:w="80" w:type="dxa"/>
              <w:end w:w="105" w:type="dxa"/>
            </w:tcMar>
            <w:vAlign w:val="center"/>
          </w:tcPr>
          <w:p>
            <w:pPr>
              <w:spacing w:after="0" w:line="240" w:lineRule="auto"/>
            </w:pPr>
            <w:r>
              <w:rPr>
                <w:color w:val="17242E"/>
                <w:sz w:val="16"/>
              </w:rPr>
              <w:t>USDT, USDC, USDS, DAI, USDe, USD1, USDG</w:t>
            </w:r>
          </w:p>
        </w:tc>
        <w:tc>
          <w:tcPr>
            <w:tcW w:type="dxa" w:w="4608"/>
            <w:tcMar>
              <w:top w:w="80" w:type="dxa"/>
              <w:start w:w="105" w:type="dxa"/>
              <w:bottom w:w="80" w:type="dxa"/>
              <w:end w:w="105" w:type="dxa"/>
            </w:tcMar>
            <w:vAlign w:val="center"/>
          </w:tcPr>
          <w:p>
            <w:pPr>
              <w:spacing w:after="0" w:line="240" w:lineRule="auto"/>
            </w:pPr>
            <w:r>
              <w:rPr>
                <w:color w:val="17242E"/>
                <w:sz w:val="16"/>
              </w:rPr>
              <w:t>Captures the large majority of USD stablecoin supply across reserve, collateral, and synthetic structures</w:t>
            </w:r>
          </w:p>
        </w:tc>
      </w:tr>
      <w:tr>
        <w:tc>
          <w:tcPr>
            <w:tcW w:type="dxa" w:w="1800"/>
            <w:tcMar>
              <w:top w:w="80" w:type="dxa"/>
              <w:start w:w="105" w:type="dxa"/>
              <w:bottom w:w="80" w:type="dxa"/>
              <w:end w:w="105" w:type="dxa"/>
            </w:tcMar>
            <w:vAlign w:val="center"/>
            <w:shd w:fill="F4F7F9"/>
          </w:tcPr>
          <w:p>
            <w:pPr>
              <w:spacing w:after="0" w:line="240" w:lineRule="auto"/>
            </w:pPr>
            <w:r>
              <w:rPr>
                <w:color w:val="17242E"/>
                <w:sz w:val="16"/>
              </w:rPr>
              <w:t>Growth sleeve</w:t>
            </w:r>
          </w:p>
        </w:tc>
        <w:tc>
          <w:tcPr>
            <w:tcW w:type="dxa" w:w="3456"/>
            <w:tcMar>
              <w:top w:w="80" w:type="dxa"/>
              <w:start w:w="105" w:type="dxa"/>
              <w:bottom w:w="80" w:type="dxa"/>
              <w:end w:w="105" w:type="dxa"/>
            </w:tcMar>
            <w:vAlign w:val="center"/>
            <w:shd w:fill="F4F7F9"/>
          </w:tcPr>
          <w:p>
            <w:pPr>
              <w:spacing w:after="0" w:line="240" w:lineRule="auto"/>
            </w:pPr>
            <w:r>
              <w:rPr>
                <w:color w:val="17242E"/>
                <w:sz w:val="16"/>
              </w:rPr>
              <w:t>RLUSD, PYUSD, USDD, GHO</w:t>
            </w:r>
          </w:p>
        </w:tc>
        <w:tc>
          <w:tcPr>
            <w:tcW w:type="dxa" w:w="4608"/>
            <w:tcMar>
              <w:top w:w="80" w:type="dxa"/>
              <w:start w:w="105" w:type="dxa"/>
              <w:bottom w:w="80" w:type="dxa"/>
              <w:end w:w="105" w:type="dxa"/>
            </w:tcMar>
            <w:vAlign w:val="center"/>
            <w:shd w:fill="F4F7F9"/>
          </w:tcPr>
          <w:p>
            <w:pPr>
              <w:spacing w:after="0" w:line="240" w:lineRule="auto"/>
            </w:pPr>
            <w:r>
              <w:rPr>
                <w:color w:val="17242E"/>
                <w:sz w:val="16"/>
              </w:rPr>
              <w:t>Tests rapid issuance/adoption and newer distribution or protocol designs</w:t>
            </w:r>
          </w:p>
        </w:tc>
      </w:tr>
      <w:tr>
        <w:tc>
          <w:tcPr>
            <w:tcW w:type="dxa" w:w="1800"/>
            <w:tcMar>
              <w:top w:w="80" w:type="dxa"/>
              <w:start w:w="105" w:type="dxa"/>
              <w:bottom w:w="80" w:type="dxa"/>
              <w:end w:w="105" w:type="dxa"/>
            </w:tcMar>
            <w:vAlign w:val="center"/>
          </w:tcPr>
          <w:p>
            <w:pPr>
              <w:spacing w:after="0" w:line="240" w:lineRule="auto"/>
            </w:pPr>
            <w:r>
              <w:rPr>
                <w:color w:val="17242E"/>
                <w:sz w:val="16"/>
              </w:rPr>
              <w:t>Structural coverage</w:t>
            </w:r>
          </w:p>
        </w:tc>
        <w:tc>
          <w:tcPr>
            <w:tcW w:type="dxa" w:w="3456"/>
            <w:tcMar>
              <w:top w:w="80" w:type="dxa"/>
              <w:start w:w="105" w:type="dxa"/>
              <w:bottom w:w="80" w:type="dxa"/>
              <w:end w:w="105" w:type="dxa"/>
            </w:tcMar>
            <w:vAlign w:val="center"/>
          </w:tcPr>
          <w:p>
            <w:pPr>
              <w:spacing w:after="0" w:line="240" w:lineRule="auto"/>
            </w:pPr>
            <w:r>
              <w:rPr>
                <w:color w:val="17242E"/>
                <w:sz w:val="16"/>
              </w:rPr>
              <w:t>FDUSD, TUSD, FRAX, PAXG</w:t>
            </w:r>
          </w:p>
        </w:tc>
        <w:tc>
          <w:tcPr>
            <w:tcW w:type="dxa" w:w="4608"/>
            <w:tcMar>
              <w:top w:w="80" w:type="dxa"/>
              <w:start w:w="105" w:type="dxa"/>
              <w:bottom w:w="80" w:type="dxa"/>
              <w:end w:w="105" w:type="dxa"/>
            </w:tcMar>
            <w:vAlign w:val="center"/>
          </w:tcPr>
          <w:p>
            <w:pPr>
              <w:spacing w:after="0" w:line="240" w:lineRule="auto"/>
            </w:pPr>
            <w:r>
              <w:rPr>
                <w:color w:val="17242E"/>
                <w:sz w:val="16"/>
              </w:rPr>
              <w:t>Adds issuer diversity, hybrid/protocol structure, and a commodity-referenced design</w:t>
            </w:r>
          </w:p>
        </w:tc>
      </w:tr>
      <w:tr>
        <w:tc>
          <w:tcPr>
            <w:tcW w:type="dxa" w:w="1800"/>
            <w:tcMar>
              <w:top w:w="80" w:type="dxa"/>
              <w:start w:w="105" w:type="dxa"/>
              <w:bottom w:w="80" w:type="dxa"/>
              <w:end w:w="105" w:type="dxa"/>
            </w:tcMar>
            <w:vAlign w:val="center"/>
            <w:shd w:fill="F4F7F9"/>
          </w:tcPr>
          <w:p>
            <w:pPr>
              <w:spacing w:after="0" w:line="240" w:lineRule="auto"/>
            </w:pPr>
            <w:r>
              <w:rPr>
                <w:color w:val="17242E"/>
                <w:sz w:val="16"/>
              </w:rPr>
              <w:t>Failure control</w:t>
            </w:r>
          </w:p>
        </w:tc>
        <w:tc>
          <w:tcPr>
            <w:tcW w:type="dxa" w:w="3456"/>
            <w:tcMar>
              <w:top w:w="80" w:type="dxa"/>
              <w:start w:w="105" w:type="dxa"/>
              <w:bottom w:w="80" w:type="dxa"/>
              <w:end w:w="105" w:type="dxa"/>
            </w:tcMar>
            <w:vAlign w:val="center"/>
            <w:shd w:fill="F4F7F9"/>
          </w:tcPr>
          <w:p>
            <w:pPr>
              <w:spacing w:after="0" w:line="240" w:lineRule="auto"/>
            </w:pPr>
            <w:r>
              <w:rPr>
                <w:color w:val="17242E"/>
                <w:sz w:val="16"/>
              </w:rPr>
              <w:t>USTC / historical UST</w:t>
            </w:r>
          </w:p>
        </w:tc>
        <w:tc>
          <w:tcPr>
            <w:tcW w:type="dxa" w:w="4608"/>
            <w:tcMar>
              <w:top w:w="80" w:type="dxa"/>
              <w:start w:w="105" w:type="dxa"/>
              <w:bottom w:w="80" w:type="dxa"/>
              <w:end w:w="105" w:type="dxa"/>
            </w:tcMar>
            <w:vAlign w:val="center"/>
            <w:shd w:fill="F4F7F9"/>
          </w:tcPr>
          <w:p>
            <w:pPr>
              <w:spacing w:after="0" w:line="240" w:lineRule="auto"/>
            </w:pPr>
            <w:r>
              <w:rPr>
                <w:color w:val="17242E"/>
                <w:sz w:val="16"/>
              </w:rPr>
              <w:t>Required reflexive-algorithmic failure observation</w:t>
            </w:r>
          </w:p>
        </w:tc>
      </w:tr>
    </w:tbl>
    <w:p/>
    <w:p>
      <w:pPr>
        <w:pStyle w:val="Heading2"/>
      </w:pPr>
      <w:r>
        <w:rPr>
          <w:b w:val="0"/>
          <w:i w:val="0"/>
        </w:rPr>
        <w:t>Frozen snapshot metrics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40"/>
            <w:shd w:fill="183A5A"/>
            <w:tcMar>
              <w:top w:w="80" w:type="dxa"/>
              <w:start w:w="105" w:type="dxa"/>
              <w:bottom w:w="80" w:type="dxa"/>
              <w:end w:w="105" w:type="dxa"/>
            </w:tcMar>
            <w:vAlign w:val="center"/>
          </w:tcPr>
          <w:p>
            <w:pPr>
              <w:spacing w:after="0"/>
            </w:pPr>
            <w:r>
              <w:rPr>
                <w:b/>
                <w:color w:val="FFFFFF"/>
                <w:sz w:val="16"/>
              </w:rPr>
              <w:t>Metric</w:t>
            </w:r>
          </w:p>
        </w:tc>
        <w:tc>
          <w:tcPr>
            <w:tcW w:type="dxa" w:w="2376"/>
            <w:shd w:fill="183A5A"/>
            <w:tcMar>
              <w:top w:w="80" w:type="dxa"/>
              <w:start w:w="105" w:type="dxa"/>
              <w:bottom w:w="80" w:type="dxa"/>
              <w:end w:w="105" w:type="dxa"/>
            </w:tcMar>
            <w:vAlign w:val="center"/>
          </w:tcPr>
          <w:p>
            <w:pPr>
              <w:spacing w:after="0"/>
            </w:pPr>
            <w:r>
              <w:rPr>
                <w:b/>
                <w:color w:val="FFFFFF"/>
                <w:sz w:val="16"/>
              </w:rPr>
              <w:t>Value</w:t>
            </w:r>
          </w:p>
        </w:tc>
        <w:tc>
          <w:tcPr>
            <w:tcW w:type="dxa" w:w="4248"/>
            <w:shd w:fill="183A5A"/>
            <w:tcMar>
              <w:top w:w="80" w:type="dxa"/>
              <w:start w:w="105" w:type="dxa"/>
              <w:bottom w:w="80" w:type="dxa"/>
              <w:end w:w="105" w:type="dxa"/>
            </w:tcMar>
            <w:vAlign w:val="center"/>
          </w:tcPr>
          <w:p>
            <w:pPr>
              <w:spacing w:after="0"/>
            </w:pPr>
            <w:r>
              <w:rPr>
                <w:b/>
                <w:color w:val="FFFFFF"/>
                <w:sz w:val="16"/>
              </w:rPr>
              <w:t>Interpretation</w:t>
            </w:r>
          </w:p>
        </w:tc>
      </w:tr>
      <w:tr>
        <w:tc>
          <w:tcPr>
            <w:tcW w:type="dxa" w:w="3240"/>
            <w:tcMar>
              <w:top w:w="80" w:type="dxa"/>
              <w:start w:w="105" w:type="dxa"/>
              <w:bottom w:w="80" w:type="dxa"/>
              <w:end w:w="105" w:type="dxa"/>
            </w:tcMar>
            <w:vAlign w:val="center"/>
          </w:tcPr>
          <w:p>
            <w:pPr>
              <w:spacing w:after="0" w:line="240" w:lineRule="auto"/>
            </w:pPr>
            <w:r>
              <w:rPr>
                <w:color w:val="17242E"/>
                <w:sz w:val="16"/>
              </w:rPr>
              <w:t>Total crypto market capitalization</w:t>
            </w:r>
          </w:p>
        </w:tc>
        <w:tc>
          <w:tcPr>
            <w:tcW w:type="dxa" w:w="2376"/>
            <w:tcMar>
              <w:top w:w="80" w:type="dxa"/>
              <w:start w:w="105" w:type="dxa"/>
              <w:bottom w:w="80" w:type="dxa"/>
              <w:end w:w="105" w:type="dxa"/>
            </w:tcMar>
            <w:vAlign w:val="center"/>
          </w:tcPr>
          <w:p>
            <w:pPr>
              <w:spacing w:after="0" w:line="240" w:lineRule="auto"/>
            </w:pPr>
            <w:r>
              <w:rPr>
                <w:color w:val="17242E"/>
                <w:sz w:val="16"/>
              </w:rPr>
              <w:t>$2.617 trillion</w:t>
            </w:r>
          </w:p>
        </w:tc>
        <w:tc>
          <w:tcPr>
            <w:tcW w:type="dxa" w:w="4248"/>
            <w:tcMar>
              <w:top w:w="80" w:type="dxa"/>
              <w:start w:w="105" w:type="dxa"/>
              <w:bottom w:w="80" w:type="dxa"/>
              <w:end w:w="105" w:type="dxa"/>
            </w:tcMar>
            <w:vAlign w:val="center"/>
          </w:tcPr>
          <w:p>
            <w:pPr>
              <w:spacing w:after="0" w:line="240" w:lineRule="auto"/>
            </w:pPr>
            <w:r>
              <w:rPr>
                <w:color w:val="17242E"/>
                <w:sz w:val="16"/>
              </w:rPr>
              <w:t>CoinGecko global snapshot</w:t>
            </w:r>
          </w:p>
        </w:tc>
      </w:tr>
      <w:tr>
        <w:tc>
          <w:tcPr>
            <w:tcW w:type="dxa" w:w="3240"/>
            <w:tcMar>
              <w:top w:w="80" w:type="dxa"/>
              <w:start w:w="105" w:type="dxa"/>
              <w:bottom w:w="80" w:type="dxa"/>
              <w:end w:w="105" w:type="dxa"/>
            </w:tcMar>
            <w:vAlign w:val="center"/>
            <w:shd w:fill="F4F7F9"/>
          </w:tcPr>
          <w:p>
            <w:pPr>
              <w:spacing w:after="0" w:line="240" w:lineRule="auto"/>
            </w:pPr>
            <w:r>
              <w:rPr>
                <w:color w:val="17242E"/>
                <w:sz w:val="16"/>
              </w:rPr>
              <w:t>Selected non-stable crypto capitalization</w:t>
            </w:r>
          </w:p>
        </w:tc>
        <w:tc>
          <w:tcPr>
            <w:tcW w:type="dxa" w:w="2376"/>
            <w:tcMar>
              <w:top w:w="80" w:type="dxa"/>
              <w:start w:w="105" w:type="dxa"/>
              <w:bottom w:w="80" w:type="dxa"/>
              <w:end w:w="105" w:type="dxa"/>
            </w:tcMar>
            <w:vAlign w:val="center"/>
            <w:shd w:fill="F4F7F9"/>
          </w:tcPr>
          <w:p>
            <w:pPr>
              <w:spacing w:after="0" w:line="240" w:lineRule="auto"/>
            </w:pPr>
            <w:r>
              <w:rPr>
                <w:color w:val="17242E"/>
                <w:sz w:val="16"/>
              </w:rPr>
              <w:t>$2.211 trillion</w:t>
            </w:r>
          </w:p>
        </w:tc>
        <w:tc>
          <w:tcPr>
            <w:tcW w:type="dxa" w:w="4248"/>
            <w:tcMar>
              <w:top w:w="80" w:type="dxa"/>
              <w:start w:w="105" w:type="dxa"/>
              <w:bottom w:w="80" w:type="dxa"/>
              <w:end w:w="105" w:type="dxa"/>
            </w:tcMar>
            <w:vAlign w:val="center"/>
            <w:shd w:fill="F4F7F9"/>
          </w:tcPr>
          <w:p>
            <w:pPr>
              <w:spacing w:after="0" w:line="240" w:lineRule="auto"/>
            </w:pPr>
            <w:r>
              <w:rPr>
                <w:color w:val="17242E"/>
                <w:sz w:val="16"/>
              </w:rPr>
              <w:t>Approximately 84.5% of total market</w:t>
            </w:r>
          </w:p>
        </w:tc>
      </w:tr>
      <w:tr>
        <w:tc>
          <w:tcPr>
            <w:tcW w:type="dxa" w:w="3240"/>
            <w:tcMar>
              <w:top w:w="80" w:type="dxa"/>
              <w:start w:w="105" w:type="dxa"/>
              <w:bottom w:w="80" w:type="dxa"/>
              <w:end w:w="105" w:type="dxa"/>
            </w:tcMar>
            <w:vAlign w:val="center"/>
          </w:tcPr>
          <w:p>
            <w:pPr>
              <w:spacing w:after="0" w:line="240" w:lineRule="auto"/>
            </w:pPr>
            <w:r>
              <w:rPr>
                <w:color w:val="17242E"/>
                <w:sz w:val="16"/>
              </w:rPr>
              <w:t>Selected stable-value capitalization</w:t>
            </w:r>
          </w:p>
        </w:tc>
        <w:tc>
          <w:tcPr>
            <w:tcW w:type="dxa" w:w="2376"/>
            <w:tcMar>
              <w:top w:w="80" w:type="dxa"/>
              <w:start w:w="105" w:type="dxa"/>
              <w:bottom w:w="80" w:type="dxa"/>
              <w:end w:w="105" w:type="dxa"/>
            </w:tcMar>
            <w:vAlign w:val="center"/>
          </w:tcPr>
          <w:p>
            <w:pPr>
              <w:spacing w:after="0" w:line="240" w:lineRule="auto"/>
            </w:pPr>
            <w:r>
              <w:rPr>
                <w:color w:val="17242E"/>
                <w:sz w:val="16"/>
              </w:rPr>
              <w:t>$287.9 billion</w:t>
            </w:r>
          </w:p>
        </w:tc>
        <w:tc>
          <w:tcPr>
            <w:tcW w:type="dxa" w:w="4248"/>
            <w:tcMar>
              <w:top w:w="80" w:type="dxa"/>
              <w:start w:w="105" w:type="dxa"/>
              <w:bottom w:w="80" w:type="dxa"/>
              <w:end w:w="105" w:type="dxa"/>
            </w:tcMar>
            <w:vAlign w:val="center"/>
          </w:tcPr>
          <w:p>
            <w:pPr>
              <w:spacing w:after="0" w:line="240" w:lineRule="auto"/>
            </w:pPr>
            <w:r>
              <w:rPr>
                <w:color w:val="17242E"/>
                <w:sz w:val="16"/>
              </w:rPr>
              <w:t>DeFiLlama circulating peg-USD snapshot</w:t>
            </w:r>
          </w:p>
        </w:tc>
      </w:tr>
      <w:tr>
        <w:tc>
          <w:tcPr>
            <w:tcW w:type="dxa" w:w="3240"/>
            <w:tcMar>
              <w:top w:w="80" w:type="dxa"/>
              <w:start w:w="105" w:type="dxa"/>
              <w:bottom w:w="80" w:type="dxa"/>
              <w:end w:w="105" w:type="dxa"/>
            </w:tcMar>
            <w:vAlign w:val="center"/>
            <w:shd w:fill="F4F7F9"/>
          </w:tcPr>
          <w:p>
            <w:pPr>
              <w:spacing w:after="0" w:line="240" w:lineRule="auto"/>
            </w:pPr>
            <w:r>
              <w:rPr>
                <w:color w:val="17242E"/>
                <w:sz w:val="16"/>
              </w:rPr>
              <w:t>Indicative combined coverage</w:t>
            </w:r>
          </w:p>
        </w:tc>
        <w:tc>
          <w:tcPr>
            <w:tcW w:type="dxa" w:w="2376"/>
            <w:tcMar>
              <w:top w:w="80" w:type="dxa"/>
              <w:start w:w="105" w:type="dxa"/>
              <w:bottom w:w="80" w:type="dxa"/>
              <w:end w:w="105" w:type="dxa"/>
            </w:tcMar>
            <w:vAlign w:val="center"/>
            <w:shd w:fill="F4F7F9"/>
          </w:tcPr>
          <w:p>
            <w:pPr>
              <w:spacing w:after="0" w:line="240" w:lineRule="auto"/>
            </w:pPr>
            <w:r>
              <w:rPr>
                <w:color w:val="17242E"/>
                <w:sz w:val="16"/>
              </w:rPr>
              <w:t>Approximately 95.5%</w:t>
            </w:r>
          </w:p>
        </w:tc>
        <w:tc>
          <w:tcPr>
            <w:tcW w:type="dxa" w:w="4248"/>
            <w:tcMar>
              <w:top w:w="80" w:type="dxa"/>
              <w:start w:w="105" w:type="dxa"/>
              <w:bottom w:w="80" w:type="dxa"/>
              <w:end w:w="105" w:type="dxa"/>
            </w:tcMar>
            <w:vAlign w:val="center"/>
            <w:shd w:fill="F4F7F9"/>
          </w:tcPr>
          <w:p>
            <w:pPr>
              <w:spacing w:after="0" w:line="240" w:lineRule="auto"/>
            </w:pPr>
            <w:r>
              <w:rPr>
                <w:color w:val="17242E"/>
                <w:sz w:val="16"/>
              </w:rPr>
              <w:t>Cross-provider estimate; synchronize for production</w:t>
            </w:r>
          </w:p>
        </w:tc>
      </w:tr>
      <w:tr>
        <w:tc>
          <w:tcPr>
            <w:tcW w:type="dxa" w:w="3240"/>
            <w:tcMar>
              <w:top w:w="80" w:type="dxa"/>
              <w:start w:w="105" w:type="dxa"/>
              <w:bottom w:w="80" w:type="dxa"/>
              <w:end w:w="105" w:type="dxa"/>
            </w:tcMar>
            <w:vAlign w:val="center"/>
          </w:tcPr>
          <w:p>
            <w:pPr>
              <w:spacing w:after="0" w:line="240" w:lineRule="auto"/>
            </w:pPr>
            <w:r>
              <w:rPr>
                <w:color w:val="17242E"/>
                <w:sz w:val="16"/>
              </w:rPr>
              <w:t>Workbook rows</w:t>
            </w:r>
          </w:p>
        </w:tc>
        <w:tc>
          <w:tcPr>
            <w:tcW w:type="dxa" w:w="2376"/>
            <w:tcMar>
              <w:top w:w="80" w:type="dxa"/>
              <w:start w:w="105" w:type="dxa"/>
              <w:bottom w:w="80" w:type="dxa"/>
              <w:end w:w="105" w:type="dxa"/>
            </w:tcMar>
            <w:vAlign w:val="center"/>
          </w:tcPr>
          <w:p>
            <w:pPr>
              <w:spacing w:after="0" w:line="240" w:lineRule="auto"/>
            </w:pPr>
            <w:r>
              <w:rPr>
                <w:color w:val="17242E"/>
                <w:sz w:val="16"/>
              </w:rPr>
              <w:t>25 crypto + 16 stable-value</w:t>
            </w:r>
          </w:p>
        </w:tc>
        <w:tc>
          <w:tcPr>
            <w:tcW w:type="dxa" w:w="4248"/>
            <w:tcMar>
              <w:top w:w="80" w:type="dxa"/>
              <w:start w:w="105" w:type="dxa"/>
              <w:bottom w:w="80" w:type="dxa"/>
              <w:end w:w="105" w:type="dxa"/>
            </w:tcMar>
            <w:vAlign w:val="center"/>
          </w:tcPr>
          <w:p>
            <w:pPr>
              <w:spacing w:after="0" w:line="240" w:lineRule="auto"/>
            </w:pPr>
            <w:r>
              <w:rPr>
                <w:color w:val="17242E"/>
                <w:sz w:val="16"/>
              </w:rPr>
              <w:t>41 asset-level pilot observations</w:t>
            </w:r>
          </w:p>
        </w:tc>
      </w:tr>
    </w:tbl>
    <w:p/>
    <w:p>
      <w:pPr>
        <w:pStyle w:val="Heading2"/>
      </w:pPr>
      <w:r>
        <w:rPr>
          <w:b w:val="0"/>
          <w:i w:val="0"/>
        </w:rPr>
        <w:t>Deliverable and validation status</w:t>
      </w:r>
    </w:p>
    <w:p>
      <w:pPr>
        <w:pStyle w:val="ListBullet"/>
      </w:pPr>
      <w:r>
        <w:rPr>
          <w:b w:val="0"/>
          <w:i w:val="0"/>
        </w:rPr>
        <w:t>The editable workbook now contains Universe, asset_master, economic_design, stablecoin_design, Codebook, and Sources sheets.</w:t>
      </w:r>
    </w:p>
    <w:p>
      <w:pPr>
        <w:pStyle w:val="ListBullet"/>
      </w:pPr>
      <w:r>
        <w:rPr>
          <w:b w:val="0"/>
          <w:i w:val="0"/>
        </w:rPr>
        <w:t>Market fields are frozen to the retrieval date; formulas calculate liquidity ratios and value-accrual breadth.</w:t>
      </w:r>
    </w:p>
    <w:p>
      <w:pPr>
        <w:pStyle w:val="ListBullet"/>
      </w:pPr>
      <w:r>
        <w:rPr>
          <w:b w:val="0"/>
          <w:i w:val="0"/>
        </w:rPr>
        <w:t>Primary-source URLs are attached to design rows. These support the pilot coding but must be independently reviewed by a second coder.</w:t>
      </w:r>
    </w:p>
    <w:p>
      <w:pPr>
        <w:pStyle w:val="ListBullet"/>
      </w:pPr>
      <w:r>
        <w:rPr>
          <w:b w:val="0"/>
          <w:i w:val="0"/>
        </w:rPr>
        <w:t>Reserve-quality, redemption-friction, and transparency composite scores remain intentionally blank until component-level disclosures are extracted and scored.</w:t>
      </w:r>
    </w:p>
    <w:p>
      <w:pPr>
        <w:pStyle w:val="ListBullet"/>
      </w:pPr>
      <w:r>
        <w:rPr>
          <w:b w:val="0"/>
          <w:i w:val="0"/>
        </w:rPr>
        <w:t>No asset selection decision is currently required from the project sponsor. Adviser confirmation will be requested only if the desired sample size, historical start date, or treatment of memecoins/tokenized real-world assets changes materially.</w:t>
      </w:r>
    </w:p>
    <w:p>
      <w:pPr>
        <w:pStyle w:val="Heading2"/>
      </w:pPr>
      <w:r>
        <w:rPr>
          <w:b w:val="0"/>
          <w:i w:val="0"/>
        </w:rPr>
        <w:t>Immediate next research action</w:t>
      </w:r>
    </w:p>
    <w:p>
      <w:r>
        <w:rPr>
          <w:b w:val="0"/>
          <w:i w:val="0"/>
        </w:rPr>
        <w:t>Conduct the second-coder review and fill the component-level stablecoin scoring inputs. In parallel, test data coverage for 2019–2026 daily market observations and the selected intraday depeg episodes. Assets failing the predeclared coverage threshold should be flagged—not silently replaced—before the final sample is locked.</w:t>
      </w:r>
    </w:p>
    <w:p>
      <w:pPr>
        <w:pStyle w:val="Heading2"/>
      </w:pPr>
      <w:r>
        <w:rPr>
          <w:b w:val="0"/>
          <w:i w:val="0"/>
        </w:rPr>
        <w:t>Update sources</w:t>
      </w:r>
    </w:p>
    <w:p>
      <w:r>
        <w:rPr>
          <w:b w:val="0"/>
          <w:i w:val="0"/>
        </w:rPr>
        <w:t>CoinGecko Markets API: https://api.coingecko.com/api/v3/coins/markets</w:t>
      </w:r>
    </w:p>
    <w:p>
      <w:r>
        <w:rPr>
          <w:b w:val="0"/>
          <w:i w:val="0"/>
        </w:rPr>
        <w:t>CoinGecko Global API: https://api.coingecko.com/api/v3/global</w:t>
      </w:r>
    </w:p>
    <w:p>
      <w:r>
        <w:rPr>
          <w:b w:val="0"/>
          <w:i w:val="0"/>
        </w:rPr>
        <w:t>DeFiLlama Stablecoins API: https://stablecoins.llama.fi/stablecoins?includePrices=true</w:t>
      </w:r>
    </w:p>
    <w:sectPr w:rsidR="00FC693F" w:rsidRPr="0006063C" w:rsidSect="00034616">
      <w:headerReference w:type="default" r:id="rId9"/>
      <w:footerReference w:type="default" r:id="rId10"/>
      <w:pgSz w:w="12240" w:h="15840"/>
      <w:pgMar w:top="1181"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D6B75"/>
        <w:sz w:val="16"/>
      </w:rPr>
      <w:t xml:space="preserve">Version 1.1  •  22 August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67D7F"/>
      </w:rPr>
      <w:t>DIGITAL ASSET VALUATION  /  LIVING RESEARCH NOTEBOOK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ptos" w:hAnsi="Aptos"/>
      <w:color w:val="1724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83A5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67D7F"/>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183A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83A5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5D6B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3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3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5D6B7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Asset Valuation — Living Research Notebook</dc:title>
  <dc:subject>Economic taxonomy, measurement codebook, and empirical research design</dc:subject>
  <dc:creator>NYU Financial Engineering Research Project</dc:creator>
  <cp:keywords>digital assets, stablecoins, cryptocurrency, valuation, taxonomy, empirical finance</cp:keywords>
  <dc:description>Version 1.1 adds the frozen Phase 2 pilot universe and selection methodology.</dc:description>
  <cp:lastModifiedBy/>
  <cp:revision>1</cp:revision>
  <dcterms:created xsi:type="dcterms:W3CDTF">2013-12-23T23:15:00Z</dcterms:created>
  <dcterms:modified xsi:type="dcterms:W3CDTF">2013-12-23T23:15:00Z</dcterms:modified>
  <cp:category/>
</cp:coreProperties>
</file>