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6934" w:rsidRPr="00B26934" w:rsidRDefault="00B26934" w:rsidP="00B26934">
      <w:pPr>
        <w:spacing w:after="0" w:line="240" w:lineRule="auto"/>
        <w:jc w:val="center"/>
        <w:rPr>
          <w:rFonts w:ascii="Century" w:eastAsia="Times New Roman" w:hAnsi="Century" w:cs="Times New Roman"/>
          <w:color w:val="004080"/>
          <w:sz w:val="24"/>
          <w:szCs w:val="24"/>
          <w:u w:val="single"/>
          <w:lang w:eastAsia="de-DE"/>
        </w:rPr>
      </w:pPr>
      <w:r w:rsidRPr="00B26934">
        <w:rPr>
          <w:rFonts w:ascii="Century" w:eastAsia="Times New Roman" w:hAnsi="Century" w:cs="Times New Roman"/>
          <w:b/>
          <w:bCs/>
          <w:color w:val="004080"/>
          <w:sz w:val="41"/>
          <w:szCs w:val="41"/>
          <w:u w:val="single"/>
          <w:lang w:eastAsia="de-DE"/>
        </w:rPr>
        <w:t xml:space="preserve">Graue </w:t>
      </w:r>
      <w:r w:rsidRPr="00B26934">
        <w:rPr>
          <w:rFonts w:ascii="Century" w:eastAsia="Times New Roman" w:hAnsi="Century" w:cs="Times New Roman"/>
          <w:b/>
          <w:bCs/>
          <w:color w:val="004080"/>
          <w:sz w:val="41"/>
          <w:u w:val="single"/>
          <w:lang w:eastAsia="de-DE"/>
        </w:rPr>
        <w:t>Charta</w:t>
      </w:r>
    </w:p>
    <w:p w:rsidR="00B26934" w:rsidRPr="00B26934" w:rsidRDefault="00B26934" w:rsidP="00B26934">
      <w:pPr>
        <w:spacing w:after="0" w:line="240" w:lineRule="auto"/>
        <w:rPr>
          <w:rFonts w:ascii="Century" w:eastAsia="Times New Roman" w:hAnsi="Century" w:cs="Times New Roman"/>
          <w:i/>
          <w:iCs/>
          <w:color w:val="004080"/>
          <w:sz w:val="24"/>
          <w:szCs w:val="24"/>
          <w:lang w:eastAsia="de-DE"/>
        </w:rPr>
      </w:pPr>
    </w:p>
    <w:p w:rsidR="00B26934" w:rsidRPr="00B26934" w:rsidRDefault="00B26934" w:rsidP="00B26934">
      <w:pPr>
        <w:spacing w:after="0" w:line="240" w:lineRule="auto"/>
        <w:jc w:val="center"/>
        <w:rPr>
          <w:rFonts w:ascii="Century" w:eastAsia="Times New Roman" w:hAnsi="Century" w:cs="Times New Roman"/>
          <w:i/>
          <w:iCs/>
          <w:color w:val="004080"/>
          <w:sz w:val="24"/>
          <w:szCs w:val="24"/>
          <w:lang w:eastAsia="de-DE"/>
        </w:rPr>
      </w:pPr>
      <w:r w:rsidRPr="00B26934">
        <w:rPr>
          <w:rFonts w:ascii="Century" w:eastAsia="Times New Roman" w:hAnsi="Century" w:cs="Times New Roman"/>
          <w:b/>
          <w:bCs/>
          <w:i/>
          <w:iCs/>
          <w:color w:val="004080"/>
          <w:sz w:val="19"/>
          <w:szCs w:val="19"/>
          <w:lang w:eastAsia="de-DE"/>
        </w:rPr>
        <w:t>Nyhum Ita'Glur</w:t>
      </w:r>
    </w:p>
    <w:p w:rsidR="00B26934" w:rsidRDefault="00B26934" w:rsidP="00B26934">
      <w:pPr>
        <w:rPr>
          <w:rFonts w:ascii="Century" w:eastAsia="Times New Roman" w:hAnsi="Century" w:cs="Times New Roman"/>
          <w:color w:val="004080"/>
          <w:sz w:val="24"/>
          <w:szCs w:val="24"/>
          <w:lang w:eastAsia="de-DE"/>
        </w:rPr>
      </w:pPr>
      <w:r w:rsidRPr="00B26934">
        <w:rPr>
          <w:rFonts w:ascii="Century" w:eastAsia="Times New Roman" w:hAnsi="Century" w:cs="Times New Roman"/>
          <w:color w:val="004080"/>
          <w:sz w:val="24"/>
          <w:szCs w:val="24"/>
          <w:lang w:eastAsia="de-DE"/>
        </w:rPr>
        <w:br/>
      </w:r>
      <w:r w:rsidRPr="00B26934">
        <w:rPr>
          <w:rFonts w:ascii="Century" w:eastAsia="Times New Roman" w:hAnsi="Century" w:cs="Times New Roman"/>
          <w:color w:val="004080"/>
          <w:sz w:val="24"/>
          <w:szCs w:val="24"/>
          <w:lang w:eastAsia="de-DE"/>
        </w:rPr>
        <w:br/>
      </w:r>
      <w:r w:rsidRPr="00B26934">
        <w:rPr>
          <w:rFonts w:ascii="Century" w:eastAsia="Times New Roman" w:hAnsi="Century" w:cs="Times New Roman"/>
          <w:b/>
          <w:bCs/>
          <w:color w:val="004080"/>
          <w:sz w:val="29"/>
          <w:szCs w:val="29"/>
          <w:u w:val="single"/>
          <w:lang w:eastAsia="de-DE"/>
        </w:rPr>
        <w:t>Präambel</w:t>
      </w:r>
      <w:r>
        <w:rPr>
          <w:rFonts w:ascii="Century" w:eastAsia="Times New Roman" w:hAnsi="Century" w:cs="Times New Roman"/>
          <w:b/>
          <w:bCs/>
          <w:color w:val="004080"/>
          <w:sz w:val="29"/>
          <w:szCs w:val="29"/>
          <w:u w:val="single"/>
          <w:lang w:eastAsia="de-DE"/>
        </w:rPr>
        <w:t xml:space="preserve"> I</w:t>
      </w:r>
      <w:r w:rsidRPr="00B26934">
        <w:rPr>
          <w:rFonts w:ascii="Century" w:eastAsia="Times New Roman" w:hAnsi="Century" w:cs="Times New Roman"/>
          <w:color w:val="004080"/>
          <w:sz w:val="24"/>
          <w:szCs w:val="24"/>
          <w:lang w:eastAsia="de-DE"/>
        </w:rPr>
        <w:br/>
        <w:t xml:space="preserve">Im Jahre </w:t>
      </w:r>
      <w:r w:rsidRPr="00B26934">
        <w:rPr>
          <w:rFonts w:ascii="Century" w:eastAsia="Times New Roman" w:hAnsi="Century" w:cs="Times New Roman"/>
          <w:color w:val="004080"/>
          <w:sz w:val="24"/>
          <w:szCs w:val="24"/>
          <w:u w:val="single"/>
          <w:lang w:eastAsia="de-DE"/>
        </w:rPr>
        <w:t>19. n. Hilgorad</w:t>
      </w:r>
      <w:r w:rsidRPr="00B26934">
        <w:rPr>
          <w:rFonts w:ascii="Century" w:eastAsia="Times New Roman" w:hAnsi="Century" w:cs="Times New Roman"/>
          <w:color w:val="004080"/>
          <w:sz w:val="24"/>
          <w:szCs w:val="24"/>
          <w:lang w:eastAsia="de-DE"/>
        </w:rPr>
        <w:t xml:space="preserve"> ist die Insel Siebenwind ein entscheidendes Zentrum im Krieg der Götter und der Ort der letzten und bedeutensten Schlacht in der Geschichte Tares. Aus diesem Grunde ist es unerlässlich dass die Kräfte der Ordnung sich auf die Schlacht vorbereiten und nicht länger zersplittert ziellosen Wegen folgen. Daher soll diese Charta den Ita’Glur, den Pfad der Mitte, einen und stärken für die kommende Schlacht auf dass die Stärke der Graumagier nicht in der Uneinigkeit seiner Mitglieder vergeht.</w:t>
      </w:r>
    </w:p>
    <w:p w:rsidR="00B26934" w:rsidRPr="00B26934" w:rsidRDefault="00B26934" w:rsidP="00B26934">
      <w:pPr>
        <w:rPr>
          <w:rFonts w:ascii="Century" w:eastAsia="Times New Roman" w:hAnsi="Century" w:cs="Times New Roman"/>
          <w:b/>
          <w:bCs/>
          <w:color w:val="004080"/>
          <w:sz w:val="29"/>
          <w:szCs w:val="29"/>
          <w:u w:val="single"/>
          <w:lang w:eastAsia="de-DE"/>
        </w:rPr>
      </w:pPr>
      <w:r w:rsidRPr="00B26934">
        <w:rPr>
          <w:rFonts w:ascii="Century" w:eastAsia="Times New Roman" w:hAnsi="Century" w:cs="Times New Roman"/>
          <w:b/>
          <w:bCs/>
          <w:color w:val="004080"/>
          <w:sz w:val="29"/>
          <w:szCs w:val="29"/>
          <w:u w:val="single"/>
          <w:lang w:eastAsia="de-DE"/>
        </w:rPr>
        <w:t>Präambel II</w:t>
      </w:r>
    </w:p>
    <w:p w:rsidR="00B26934" w:rsidRDefault="00B26934" w:rsidP="00B26934">
      <w:pPr>
        <w:rPr>
          <w:rFonts w:ascii="Century" w:eastAsia="Times New Roman" w:hAnsi="Century" w:cs="Times New Roman"/>
          <w:b/>
          <w:bCs/>
          <w:color w:val="004080"/>
          <w:sz w:val="29"/>
          <w:szCs w:val="29"/>
          <w:u w:val="single"/>
          <w:lang w:eastAsia="de-DE"/>
        </w:rPr>
      </w:pPr>
      <w:r>
        <w:rPr>
          <w:rFonts w:ascii="Century" w:eastAsia="Times New Roman" w:hAnsi="Century" w:cs="Times New Roman"/>
          <w:color w:val="004080"/>
          <w:sz w:val="24"/>
          <w:szCs w:val="24"/>
          <w:lang w:eastAsia="de-DE"/>
        </w:rPr>
        <w:t xml:space="preserve">Im Jahr </w:t>
      </w:r>
      <w:r w:rsidRPr="00B26934">
        <w:rPr>
          <w:rFonts w:ascii="Century" w:eastAsia="Times New Roman" w:hAnsi="Century" w:cs="Times New Roman"/>
          <w:color w:val="004080"/>
          <w:sz w:val="24"/>
          <w:szCs w:val="24"/>
          <w:u w:val="single"/>
          <w:lang w:eastAsia="de-DE"/>
        </w:rPr>
        <w:t>28. n Hilgorad</w:t>
      </w:r>
      <w:r>
        <w:rPr>
          <w:rFonts w:ascii="Century" w:eastAsia="Times New Roman" w:hAnsi="Century" w:cs="Times New Roman"/>
          <w:color w:val="004080"/>
          <w:sz w:val="24"/>
          <w:szCs w:val="24"/>
          <w:lang w:eastAsia="de-DE"/>
        </w:rPr>
        <w:t xml:space="preserve"> hat sich die erste Charta als anfällig gegenüber dem mangelnden Einsatzwillen des grauen Rates gezeigt, weshalb sie durch eine neue Charta ersetzt wurde, welche die Möglichkeit zur Einberufung des grauen Konvents in die Hände einer permanenteren Institution, nämlich der königlichen Magierakademie, legte, ohne dabei die Rechte der Pfadmitglieder zu beschneiden.</w:t>
      </w:r>
      <w:r w:rsidRPr="00B26934">
        <w:rPr>
          <w:rFonts w:ascii="Century" w:eastAsia="Times New Roman" w:hAnsi="Century" w:cs="Times New Roman"/>
          <w:color w:val="004080"/>
          <w:sz w:val="24"/>
          <w:szCs w:val="24"/>
          <w:lang w:eastAsia="de-DE"/>
        </w:rPr>
        <w:br/>
      </w:r>
      <w:r w:rsidRPr="00B26934">
        <w:rPr>
          <w:rFonts w:ascii="Century" w:eastAsia="Times New Roman" w:hAnsi="Century" w:cs="Times New Roman"/>
          <w:color w:val="004080"/>
          <w:sz w:val="24"/>
          <w:szCs w:val="24"/>
          <w:lang w:eastAsia="de-DE"/>
        </w:rPr>
        <w:br/>
      </w:r>
      <w:r w:rsidRPr="00B26934">
        <w:rPr>
          <w:rFonts w:ascii="Century" w:eastAsia="Times New Roman" w:hAnsi="Century" w:cs="Times New Roman"/>
          <w:b/>
          <w:bCs/>
          <w:color w:val="004080"/>
          <w:sz w:val="29"/>
          <w:szCs w:val="29"/>
          <w:u w:val="single"/>
          <w:lang w:eastAsia="de-DE"/>
        </w:rPr>
        <w:t>I. Das graue Konvent</w:t>
      </w:r>
      <w:r w:rsidRPr="00B26934">
        <w:rPr>
          <w:rFonts w:ascii="Century" w:eastAsia="Times New Roman" w:hAnsi="Century" w:cs="Times New Roman"/>
          <w:color w:val="004080"/>
          <w:sz w:val="24"/>
          <w:szCs w:val="24"/>
          <w:lang w:eastAsia="de-DE"/>
        </w:rPr>
        <w:br/>
        <w:t>Das graue Konvent ist die Vollversammlung aller Graumagier der Insel Siebenwinds und verkörpert somit die Einheit und den Willen des Ita’Glur. Es wird durch den Erzmagier</w:t>
      </w:r>
      <w:r>
        <w:rPr>
          <w:rFonts w:ascii="Century" w:eastAsia="Times New Roman" w:hAnsi="Century" w:cs="Times New Roman"/>
          <w:color w:val="004080"/>
          <w:sz w:val="24"/>
          <w:szCs w:val="24"/>
          <w:lang w:eastAsia="de-DE"/>
        </w:rPr>
        <w:t xml:space="preserve"> einberufen</w:t>
      </w:r>
      <w:r w:rsidRPr="00B26934">
        <w:rPr>
          <w:rFonts w:ascii="Century" w:eastAsia="Times New Roman" w:hAnsi="Century" w:cs="Times New Roman"/>
          <w:color w:val="004080"/>
          <w:sz w:val="24"/>
          <w:szCs w:val="24"/>
          <w:lang w:eastAsia="de-DE"/>
        </w:rPr>
        <w:t>. Jede Versammlung des Konventes muss mindestens 7 Tage vorher öffentlich bekannt gegeben werden auf das jeder Graumagier die Möglichkeit hat davon Kenntnis zu nehmen. Die Teilnahme steht einem jedem Magus der sich dem grauen Pfade zugehört offen, wobei Personen deren Pfadzugehörigkeit in Frage gestellt wird mit einfacher Mehrheit des Konventes verwiesen werden können.</w:t>
      </w:r>
      <w:r w:rsidRPr="00B26934">
        <w:rPr>
          <w:rFonts w:ascii="Century" w:eastAsia="Times New Roman" w:hAnsi="Century" w:cs="Times New Roman"/>
          <w:color w:val="004080"/>
          <w:sz w:val="24"/>
          <w:szCs w:val="24"/>
          <w:lang w:eastAsia="de-DE"/>
        </w:rPr>
        <w:br/>
      </w:r>
      <w:r w:rsidRPr="00B26934">
        <w:rPr>
          <w:rFonts w:ascii="Century" w:eastAsia="Times New Roman" w:hAnsi="Century" w:cs="Times New Roman"/>
          <w:color w:val="004080"/>
          <w:sz w:val="24"/>
          <w:szCs w:val="24"/>
          <w:lang w:eastAsia="de-DE"/>
        </w:rPr>
        <w:br/>
        <w:t xml:space="preserve">Das Graue Konvent ernennt und entlässt den grauen Erzmagier, und hat das Recht </w:t>
      </w:r>
      <w:r>
        <w:rPr>
          <w:rFonts w:ascii="Century" w:eastAsia="Times New Roman" w:hAnsi="Century" w:cs="Times New Roman"/>
          <w:color w:val="004080"/>
          <w:sz w:val="24"/>
          <w:szCs w:val="24"/>
          <w:lang w:eastAsia="de-DE"/>
        </w:rPr>
        <w:t xml:space="preserve">ihm </w:t>
      </w:r>
      <w:r w:rsidRPr="00B26934">
        <w:rPr>
          <w:rFonts w:ascii="Century" w:eastAsia="Times New Roman" w:hAnsi="Century" w:cs="Times New Roman"/>
          <w:color w:val="004080"/>
          <w:sz w:val="24"/>
          <w:szCs w:val="24"/>
          <w:lang w:eastAsia="de-DE"/>
        </w:rPr>
        <w:t>zusätzliche Aufgabe</w:t>
      </w:r>
      <w:r>
        <w:rPr>
          <w:rFonts w:ascii="Century" w:eastAsia="Times New Roman" w:hAnsi="Century" w:cs="Times New Roman"/>
          <w:color w:val="004080"/>
          <w:sz w:val="24"/>
          <w:szCs w:val="24"/>
          <w:lang w:eastAsia="de-DE"/>
        </w:rPr>
        <w:t>n</w:t>
      </w:r>
      <w:r w:rsidRPr="00B26934">
        <w:rPr>
          <w:rFonts w:ascii="Century" w:eastAsia="Times New Roman" w:hAnsi="Century" w:cs="Times New Roman"/>
          <w:color w:val="004080"/>
          <w:sz w:val="24"/>
          <w:szCs w:val="24"/>
          <w:lang w:eastAsia="de-DE"/>
        </w:rPr>
        <w:t xml:space="preserve"> und Rechte zu geben wenn das Konvent dies für notwendig erachtet. Diese Abstimmungen bedürfen einer einfachen Mehrheit. Ebenso kann das graue Konvent mit 2 Stimmen dem Erzmagier einen Kandidat</w:t>
      </w:r>
      <w:r>
        <w:rPr>
          <w:rFonts w:ascii="Century" w:eastAsia="Times New Roman" w:hAnsi="Century" w:cs="Times New Roman"/>
          <w:color w:val="004080"/>
          <w:sz w:val="24"/>
          <w:szCs w:val="24"/>
          <w:lang w:eastAsia="de-DE"/>
        </w:rPr>
        <w:t>en zum Hochmagier vorschlagen.</w:t>
      </w:r>
      <w:r w:rsidRPr="00B26934">
        <w:rPr>
          <w:rFonts w:ascii="Century" w:eastAsia="Times New Roman" w:hAnsi="Century" w:cs="Times New Roman"/>
          <w:color w:val="004080"/>
          <w:sz w:val="24"/>
          <w:szCs w:val="24"/>
          <w:lang w:eastAsia="de-DE"/>
        </w:rPr>
        <w:br/>
      </w:r>
      <w:r w:rsidRPr="00B26934">
        <w:rPr>
          <w:rFonts w:ascii="Century" w:eastAsia="Times New Roman" w:hAnsi="Century" w:cs="Times New Roman"/>
          <w:color w:val="004080"/>
          <w:sz w:val="24"/>
          <w:szCs w:val="24"/>
          <w:lang w:eastAsia="de-DE"/>
        </w:rPr>
        <w:br/>
      </w:r>
      <w:r w:rsidRPr="00B26934">
        <w:rPr>
          <w:rFonts w:ascii="Century" w:eastAsia="Times New Roman" w:hAnsi="Century" w:cs="Times New Roman"/>
          <w:b/>
          <w:bCs/>
          <w:color w:val="004080"/>
          <w:sz w:val="29"/>
          <w:szCs w:val="29"/>
          <w:u w:val="single"/>
          <w:lang w:eastAsia="de-DE"/>
        </w:rPr>
        <w:t>II. Der Graue Erzmagier</w:t>
      </w:r>
      <w:r w:rsidRPr="00B26934">
        <w:rPr>
          <w:rFonts w:ascii="Century" w:eastAsia="Times New Roman" w:hAnsi="Century" w:cs="Times New Roman"/>
          <w:color w:val="004080"/>
          <w:sz w:val="24"/>
          <w:szCs w:val="24"/>
          <w:lang w:eastAsia="de-DE"/>
        </w:rPr>
        <w:br/>
        <w:t xml:space="preserve">Der Grauer Erzmagier ist der Erste unter Gleichen, Sprecher und Anführer aller Graumagier der Insel Siebenwind. Jeder Graumagier, unabhängig vom akademischen Rang kann zum Erzmagier gewählt werden und ein jeder </w:t>
      </w:r>
      <w:r w:rsidRPr="00B26934">
        <w:rPr>
          <w:rFonts w:ascii="Century" w:eastAsia="Times New Roman" w:hAnsi="Century" w:cs="Times New Roman"/>
          <w:color w:val="004080"/>
          <w:sz w:val="24"/>
          <w:szCs w:val="24"/>
          <w:lang w:eastAsia="de-DE"/>
        </w:rPr>
        <w:lastRenderedPageBreak/>
        <w:t>Graumagier kann sich als Kandidat dafür auf dem Konvent melden</w:t>
      </w:r>
      <w:r>
        <w:rPr>
          <w:rFonts w:ascii="Century" w:eastAsia="Times New Roman" w:hAnsi="Century" w:cs="Times New Roman"/>
          <w:color w:val="004080"/>
          <w:sz w:val="24"/>
          <w:szCs w:val="24"/>
          <w:lang w:eastAsia="de-DE"/>
        </w:rPr>
        <w:t xml:space="preserve"> so lange er Mitglied der königlichen Magierakademie in gutem Stande ist</w:t>
      </w:r>
      <w:r w:rsidRPr="00B26934">
        <w:rPr>
          <w:rFonts w:ascii="Century" w:eastAsia="Times New Roman" w:hAnsi="Century" w:cs="Times New Roman"/>
          <w:color w:val="004080"/>
          <w:sz w:val="24"/>
          <w:szCs w:val="24"/>
          <w:lang w:eastAsia="de-DE"/>
        </w:rPr>
        <w:t>. Er wird mit einfacher Mehrheit vom grauen Konvent innerhalb einer Sitzung gewählt und spricht für den Grauen Pfad gegenüber der Obrigkeit, anderen Institutionen und Pfaden. Zu seinen Aufgaben gehören neben der Vertretung auch die legale Unterstützung und Verteidigung eines jeden Graumagiers gegenüber der Obrigkeit so lange die Schuld des Graumagiers in Frage nicht bewiesen wurde. Der Erzmagier hat zudem das Recht andere Graumagier in den Rang des Hochmagiers zu erheben für besondere Verdienste und Leistungen.</w:t>
      </w:r>
      <w:r w:rsidRPr="00B26934">
        <w:rPr>
          <w:rFonts w:ascii="Century" w:eastAsia="Times New Roman" w:hAnsi="Century" w:cs="Times New Roman"/>
          <w:color w:val="004080"/>
          <w:sz w:val="24"/>
          <w:szCs w:val="24"/>
          <w:lang w:eastAsia="de-DE"/>
        </w:rPr>
        <w:br/>
      </w:r>
      <w:r w:rsidRPr="00B26934">
        <w:rPr>
          <w:rFonts w:ascii="Century" w:eastAsia="Times New Roman" w:hAnsi="Century" w:cs="Times New Roman"/>
          <w:color w:val="004080"/>
          <w:sz w:val="24"/>
          <w:szCs w:val="24"/>
          <w:lang w:eastAsia="de-DE"/>
        </w:rPr>
        <w:br/>
        <w:t>Zur Erfüllung dieser Pflichten ist der Erzmagier berechtigt das graue Konvent einzuberufen.</w:t>
      </w:r>
      <w:r w:rsidRPr="00B26934">
        <w:rPr>
          <w:rFonts w:ascii="Century" w:eastAsia="Times New Roman" w:hAnsi="Century" w:cs="Times New Roman"/>
          <w:color w:val="004080"/>
          <w:sz w:val="24"/>
          <w:szCs w:val="24"/>
          <w:lang w:eastAsia="de-DE"/>
        </w:rPr>
        <w:br/>
      </w:r>
      <w:r w:rsidRPr="00B26934">
        <w:rPr>
          <w:rFonts w:ascii="Century" w:eastAsia="Times New Roman" w:hAnsi="Century" w:cs="Times New Roman"/>
          <w:color w:val="004080"/>
          <w:sz w:val="24"/>
          <w:szCs w:val="24"/>
          <w:lang w:eastAsia="de-DE"/>
        </w:rPr>
        <w:br/>
      </w:r>
      <w:r>
        <w:rPr>
          <w:rFonts w:ascii="Century" w:eastAsia="Times New Roman" w:hAnsi="Century" w:cs="Times New Roman"/>
          <w:b/>
          <w:bCs/>
          <w:color w:val="004080"/>
          <w:sz w:val="29"/>
          <w:szCs w:val="29"/>
          <w:u w:val="single"/>
          <w:lang w:eastAsia="de-DE"/>
        </w:rPr>
        <w:t>III. Sonderrechte der Magierakademie</w:t>
      </w:r>
    </w:p>
    <w:p w:rsidR="00B26934" w:rsidRDefault="00B26934" w:rsidP="00B26934">
      <w:pPr>
        <w:rPr>
          <w:rFonts w:ascii="Century" w:eastAsia="Times New Roman" w:hAnsi="Century" w:cs="Times New Roman"/>
          <w:color w:val="004080"/>
          <w:sz w:val="24"/>
          <w:szCs w:val="24"/>
          <w:lang w:eastAsia="de-DE"/>
        </w:rPr>
      </w:pPr>
      <w:r>
        <w:rPr>
          <w:rFonts w:ascii="Century" w:eastAsia="Times New Roman" w:hAnsi="Century" w:cs="Times New Roman"/>
          <w:color w:val="004080"/>
          <w:sz w:val="24"/>
          <w:szCs w:val="24"/>
          <w:lang w:eastAsia="de-DE"/>
        </w:rPr>
        <w:t>Um zu verhindern, dass der Posten</w:t>
      </w:r>
      <w:r w:rsidR="00361AFD">
        <w:rPr>
          <w:rFonts w:ascii="Century" w:eastAsia="Times New Roman" w:hAnsi="Century" w:cs="Times New Roman"/>
          <w:color w:val="004080"/>
          <w:sz w:val="24"/>
          <w:szCs w:val="24"/>
          <w:lang w:eastAsia="de-DE"/>
        </w:rPr>
        <w:t xml:space="preserve"> und die Funktion</w:t>
      </w:r>
      <w:r>
        <w:rPr>
          <w:rFonts w:ascii="Century" w:eastAsia="Times New Roman" w:hAnsi="Century" w:cs="Times New Roman"/>
          <w:color w:val="004080"/>
          <w:sz w:val="24"/>
          <w:szCs w:val="24"/>
          <w:lang w:eastAsia="de-DE"/>
        </w:rPr>
        <w:t xml:space="preserve"> des Erzmagiers nicht erfüllt wird, kann die königliche Magierakademie durch Beschluss des Magistrats oder durch Entscheidung der Turmleitung ein graues Konvent einberufen, wenn der amtierende graue Erzmagier seinen Pflichten nicht nachkommt. Ein Vertreter des Magistrats oder der Turmleitung ist verpflichtet, gegenüber dem Konvent eine Begründung für die Einberufung darzulegen. </w:t>
      </w:r>
    </w:p>
    <w:p w:rsidR="00B26934" w:rsidRDefault="00B26934" w:rsidP="00B26934">
      <w:pPr>
        <w:rPr>
          <w:rFonts w:ascii="Century" w:eastAsia="Times New Roman" w:hAnsi="Century" w:cs="Times New Roman"/>
          <w:color w:val="004080"/>
          <w:sz w:val="24"/>
          <w:szCs w:val="24"/>
          <w:lang w:eastAsia="de-DE"/>
        </w:rPr>
      </w:pPr>
      <w:r>
        <w:rPr>
          <w:rFonts w:ascii="Century" w:eastAsia="Times New Roman" w:hAnsi="Century" w:cs="Times New Roman"/>
          <w:color w:val="004080"/>
          <w:sz w:val="24"/>
          <w:szCs w:val="24"/>
          <w:lang w:eastAsia="de-DE"/>
        </w:rPr>
        <w:t>Anschließend kann das Konvent den amtierenden Erzmagier entweder bestätigen oder ersetzen.</w:t>
      </w:r>
      <w:r w:rsidR="00361AFD">
        <w:rPr>
          <w:rFonts w:ascii="Century" w:eastAsia="Times New Roman" w:hAnsi="Century" w:cs="Times New Roman"/>
          <w:color w:val="004080"/>
          <w:sz w:val="24"/>
          <w:szCs w:val="24"/>
          <w:lang w:eastAsia="de-DE"/>
        </w:rPr>
        <w:t xml:space="preserve"> Die Akademie hat hierbei keine Stimme.</w:t>
      </w:r>
    </w:p>
    <w:p w:rsidR="000A2B15" w:rsidRDefault="00B26934" w:rsidP="00B26934">
      <w:r w:rsidRPr="00B26934">
        <w:rPr>
          <w:rFonts w:ascii="Century" w:eastAsia="Times New Roman" w:hAnsi="Century" w:cs="Times New Roman"/>
          <w:color w:val="004080"/>
          <w:sz w:val="24"/>
          <w:szCs w:val="24"/>
          <w:lang w:eastAsia="de-DE"/>
        </w:rPr>
        <w:br/>
      </w:r>
      <w:r w:rsidRPr="00B26934">
        <w:rPr>
          <w:rFonts w:ascii="Century" w:eastAsia="Times New Roman" w:hAnsi="Century" w:cs="Times New Roman"/>
          <w:b/>
          <w:bCs/>
          <w:color w:val="004080"/>
          <w:sz w:val="29"/>
          <w:szCs w:val="29"/>
          <w:u w:val="single"/>
          <w:lang w:eastAsia="de-DE"/>
        </w:rPr>
        <w:t xml:space="preserve">IV. Änderungen an der </w:t>
      </w:r>
      <w:r w:rsidRPr="00B26934">
        <w:rPr>
          <w:rFonts w:ascii="Century" w:eastAsia="Times New Roman" w:hAnsi="Century" w:cs="Times New Roman"/>
          <w:b/>
          <w:bCs/>
          <w:color w:val="004080"/>
          <w:sz w:val="29"/>
          <w:u w:val="single"/>
          <w:lang w:eastAsia="de-DE"/>
        </w:rPr>
        <w:t>grauen</w:t>
      </w:r>
      <w:r w:rsidRPr="00B26934">
        <w:rPr>
          <w:rFonts w:ascii="Century" w:eastAsia="Times New Roman" w:hAnsi="Century" w:cs="Times New Roman"/>
          <w:b/>
          <w:bCs/>
          <w:color w:val="004080"/>
          <w:sz w:val="29"/>
          <w:szCs w:val="29"/>
          <w:u w:val="single"/>
          <w:lang w:eastAsia="de-DE"/>
        </w:rPr>
        <w:t xml:space="preserve"> </w:t>
      </w:r>
      <w:r w:rsidRPr="00B26934">
        <w:rPr>
          <w:rFonts w:ascii="Century" w:eastAsia="Times New Roman" w:hAnsi="Century" w:cs="Times New Roman"/>
          <w:b/>
          <w:bCs/>
          <w:color w:val="004080"/>
          <w:sz w:val="29"/>
          <w:u w:val="single"/>
          <w:lang w:eastAsia="de-DE"/>
        </w:rPr>
        <w:t>Charta</w:t>
      </w:r>
      <w:r w:rsidRPr="00B26934">
        <w:rPr>
          <w:rFonts w:ascii="Century" w:eastAsia="Times New Roman" w:hAnsi="Century" w:cs="Times New Roman"/>
          <w:color w:val="004080"/>
          <w:sz w:val="24"/>
          <w:szCs w:val="24"/>
          <w:lang w:eastAsia="de-DE"/>
        </w:rPr>
        <w:br/>
        <w:t>Änderungen an der grauen Charta können nur vom grauen Konvent mit 2/3 Mehrheit durchgeführt werden, die Auflösung der Charta bedarf der Einstimmigkeit aller anwesenden Mitglieder.</w:t>
      </w:r>
    </w:p>
    <w:sectPr w:rsidR="000A2B15" w:rsidSect="000A2B15">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B26934"/>
    <w:rsid w:val="000A2B15"/>
    <w:rsid w:val="00361AFD"/>
    <w:rsid w:val="00B26934"/>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2B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osthilit">
    <w:name w:val="posthilit"/>
    <w:basedOn w:val="DefaultParagraphFont"/>
    <w:rsid w:val="00B26934"/>
  </w:style>
</w:styles>
</file>

<file path=word/webSettings.xml><?xml version="1.0" encoding="utf-8"?>
<w:webSettings xmlns:r="http://schemas.openxmlformats.org/officeDocument/2006/relationships" xmlns:w="http://schemas.openxmlformats.org/wordprocessingml/2006/main">
  <w:divs>
    <w:div w:id="1444766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dc:creator>
  <cp:lastModifiedBy>Sebastian</cp:lastModifiedBy>
  <cp:revision>1</cp:revision>
  <dcterms:created xsi:type="dcterms:W3CDTF">2017-04-12T21:14:00Z</dcterms:created>
  <dcterms:modified xsi:type="dcterms:W3CDTF">2017-04-12T21:25:00Z</dcterms:modified>
</cp:coreProperties>
</file>