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315" w:rsidRDefault="00EF5315" w:rsidP="00EF5315">
      <w:pPr>
        <w:pStyle w:val="Heading2"/>
        <w:spacing w:before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</w:t>
      </w:r>
      <w:r>
        <w:rPr>
          <w:rFonts w:ascii="Times New Roman" w:hAnsi="Times New Roman" w:cs="Times New Roman"/>
          <w:sz w:val="24"/>
          <w:szCs w:val="24"/>
        </w:rPr>
        <w:tab/>
        <w:t>Summary of Draft Kenya National EPI Framework</w:t>
      </w:r>
    </w:p>
    <w:p w:rsidR="00EF5315" w:rsidRDefault="00EF5315" w:rsidP="00EF5315">
      <w:pPr>
        <w:spacing w:before="0" w:after="0" w:line="240" w:lineRule="auto"/>
        <w:ind w:left="0"/>
        <w:rPr>
          <w:rFonts w:ascii="Times New Roman" w:hAnsi="Times New Roman" w:cs="Times New Roman"/>
        </w:rPr>
      </w:pPr>
    </w:p>
    <w:p w:rsidR="00EF5315" w:rsidRDefault="00EF5315" w:rsidP="00EF5315">
      <w:pPr>
        <w:spacing w:before="0" w:after="0"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1: Draft Kenya National EPI Framework</w:t>
      </w:r>
    </w:p>
    <w:p w:rsidR="00EF5315" w:rsidRDefault="00EF5315" w:rsidP="00EF5315">
      <w:pPr>
        <w:spacing w:before="0" w:after="0" w:line="240" w:lineRule="auto"/>
        <w:ind w:left="0"/>
        <w:rPr>
          <w:rFonts w:ascii="Times New Roman" w:hAnsi="Times New Roman" w:cs="Times New Roman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75"/>
        <w:gridCol w:w="2390"/>
        <w:gridCol w:w="2216"/>
        <w:gridCol w:w="2595"/>
      </w:tblGrid>
      <w:tr w:rsidR="00D65DB3" w:rsidRPr="00EF5315" w:rsidTr="00D65DB3">
        <w:trPr>
          <w:tblHeader/>
        </w:trPr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EF5315">
              <w:rPr>
                <w:rFonts w:ascii="Times New Roman" w:hAnsi="Times New Roman" w:cs="Times New Roman"/>
                <w:b/>
                <w:sz w:val="22"/>
              </w:rPr>
              <w:t>Index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EF5315">
              <w:rPr>
                <w:rFonts w:ascii="Times New Roman" w:hAnsi="Times New Roman" w:cs="Times New Roman"/>
                <w:b/>
                <w:sz w:val="22"/>
              </w:rPr>
              <w:t>Objectives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F5315">
              <w:rPr>
                <w:rFonts w:ascii="Times New Roman" w:hAnsi="Times New Roman" w:cs="Times New Roman"/>
                <w:b/>
                <w:sz w:val="22"/>
              </w:rPr>
              <w:t>Policy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EF5315">
              <w:rPr>
                <w:rFonts w:ascii="Times New Roman" w:hAnsi="Times New Roman" w:cs="Times New Roman"/>
                <w:b/>
                <w:sz w:val="22"/>
              </w:rPr>
              <w:t>Indicators</w:t>
            </w:r>
          </w:p>
        </w:tc>
      </w:tr>
      <w:tr w:rsidR="00D65DB3" w:rsidRPr="00EF5315" w:rsidTr="00D65DB3">
        <w:trPr>
          <w:trHeight w:val="440"/>
        </w:trPr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Kenya National</w:t>
            </w: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EF5315">
              <w:rPr>
                <w:rFonts w:ascii="Times New Roman" w:hAnsi="Times New Roman" w:cs="Times New Roman"/>
                <w:b/>
                <w:sz w:val="22"/>
              </w:rPr>
              <w:t>EPI</w:t>
            </w:r>
          </w:p>
        </w:tc>
        <w:tc>
          <w:tcPr>
            <w:tcW w:w="12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b/>
                <w:sz w:val="22"/>
              </w:rPr>
              <w:t>Environmental Health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Environmental Burden of Disease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Environmental Risk Exposure</w:t>
            </w:r>
          </w:p>
        </w:tc>
      </w:tr>
      <w:tr w:rsidR="00D65DB3" w:rsidRPr="00EF5315" w:rsidTr="00D65DB3"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Air Quality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6458DE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 xml:space="preserve">Indoor Air Pollution </w:t>
            </w:r>
          </w:p>
        </w:tc>
      </w:tr>
      <w:tr w:rsidR="00D65DB3" w:rsidRPr="00EF5315" w:rsidTr="00D65DB3"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6458DE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 xml:space="preserve">Outdoor Air Pollution </w:t>
            </w:r>
            <w:bookmarkStart w:id="0" w:name="_GoBack"/>
            <w:bookmarkEnd w:id="0"/>
          </w:p>
        </w:tc>
      </w:tr>
      <w:tr w:rsidR="00D65DB3" w:rsidRPr="00EF5315" w:rsidTr="00D65DB3"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Water and Sanitation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Access</w:t>
            </w:r>
            <w:r w:rsidRPr="00EF5315">
              <w:rPr>
                <w:rStyle w:val="FootnoteReference"/>
                <w:rFonts w:ascii="Times New Roman" w:hAnsi="Times New Roman" w:cs="Times New Roman"/>
                <w:sz w:val="22"/>
              </w:rPr>
              <w:footnoteReference w:id="1"/>
            </w:r>
            <w:r w:rsidRPr="00EF5315">
              <w:rPr>
                <w:rFonts w:ascii="Times New Roman" w:hAnsi="Times New Roman" w:cs="Times New Roman"/>
                <w:sz w:val="22"/>
              </w:rPr>
              <w:t xml:space="preserve"> to clean and safe drinking water</w:t>
            </w:r>
          </w:p>
        </w:tc>
      </w:tr>
      <w:tr w:rsidR="00D65DB3" w:rsidRPr="00EF5315" w:rsidTr="00D65DB3"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Access to Sanitation</w:t>
            </w:r>
          </w:p>
        </w:tc>
      </w:tr>
      <w:tr w:rsidR="00D65DB3" w:rsidRPr="00EF5315" w:rsidTr="00D65DB3">
        <w:trPr>
          <w:trHeight w:val="602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Environmental Nuisance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Access to solid waste services</w:t>
            </w:r>
          </w:p>
        </w:tc>
      </w:tr>
      <w:tr w:rsidR="00D65DB3" w:rsidRPr="00EF5315" w:rsidTr="00D65DB3"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Noise Pollution</w:t>
            </w:r>
          </w:p>
        </w:tc>
      </w:tr>
      <w:tr w:rsidR="00D65DB3" w:rsidRPr="00EF5315" w:rsidTr="00D65DB3">
        <w:trPr>
          <w:trHeight w:val="592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F5315">
              <w:rPr>
                <w:rFonts w:ascii="Times New Roman" w:hAnsi="Times New Roman" w:cs="Times New Roman"/>
                <w:b/>
                <w:sz w:val="22"/>
              </w:rPr>
              <w:t>Ecosystem Vitality</w:t>
            </w: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Sustainable Water Resources Management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Water Stress Index</w:t>
            </w:r>
          </w:p>
        </w:tc>
      </w:tr>
      <w:tr w:rsidR="00D65DB3" w:rsidRPr="00EF5315" w:rsidTr="00D65DB3">
        <w:trPr>
          <w:trHeight w:val="293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 xml:space="preserve">River Water Quality Index </w:t>
            </w:r>
          </w:p>
        </w:tc>
      </w:tr>
      <w:tr w:rsidR="00D65DB3" w:rsidRPr="00EF5315" w:rsidTr="00D65DB3">
        <w:trPr>
          <w:trHeight w:val="575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Marine Water Quality Index</w:t>
            </w:r>
          </w:p>
        </w:tc>
      </w:tr>
      <w:tr w:rsidR="00D65DB3" w:rsidRPr="00EF5315" w:rsidTr="00D65DB3">
        <w:trPr>
          <w:trHeight w:val="503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Agriculture, Livestock and Fisheries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Nitrogen Use Efficiency</w:t>
            </w:r>
          </w:p>
        </w:tc>
      </w:tr>
      <w:tr w:rsidR="00D65DB3" w:rsidRPr="00EF5315" w:rsidTr="00D65DB3">
        <w:trPr>
          <w:trHeight w:val="647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Nitrogen Balance</w:t>
            </w:r>
          </w:p>
        </w:tc>
      </w:tr>
      <w:tr w:rsidR="00D65DB3" w:rsidRPr="00EF5315" w:rsidTr="00D65DB3">
        <w:trPr>
          <w:trHeight w:val="512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Fish stocks</w:t>
            </w:r>
          </w:p>
        </w:tc>
      </w:tr>
      <w:tr w:rsidR="00D65DB3" w:rsidRPr="00EF5315" w:rsidTr="00D65DB3"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Forests and woodlands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Tree Cover Loss</w:t>
            </w:r>
          </w:p>
        </w:tc>
      </w:tr>
      <w:tr w:rsidR="00D65DB3" w:rsidRPr="00EF5315" w:rsidTr="00D65DB3"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Forest Cover</w:t>
            </w:r>
          </w:p>
        </w:tc>
      </w:tr>
      <w:tr w:rsidR="00D65DB3" w:rsidRPr="00EF5315" w:rsidTr="00D65DB3">
        <w:trPr>
          <w:trHeight w:val="332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Forest Protection</w:t>
            </w:r>
          </w:p>
        </w:tc>
      </w:tr>
      <w:tr w:rsidR="00D65DB3" w:rsidRPr="00EF5315" w:rsidTr="00D65DB3"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Air Pollution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 xml:space="preserve">Sulphide oxides concentration </w:t>
            </w:r>
          </w:p>
        </w:tc>
      </w:tr>
      <w:tr w:rsidR="00D65DB3" w:rsidRPr="00EF5315" w:rsidTr="00D65DB3"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 xml:space="preserve">Nitrogen oxides concentration </w:t>
            </w:r>
          </w:p>
        </w:tc>
      </w:tr>
      <w:tr w:rsidR="00D65DB3" w:rsidRPr="00EF5315" w:rsidTr="00D65DB3">
        <w:trPr>
          <w:trHeight w:val="350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Biodiversity and Habitat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267D5F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 xml:space="preserve">Species Protection </w:t>
            </w:r>
          </w:p>
        </w:tc>
      </w:tr>
      <w:tr w:rsidR="00D65DB3" w:rsidRPr="00EF5315" w:rsidTr="00D65DB3">
        <w:trPr>
          <w:trHeight w:val="323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267D5F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 xml:space="preserve">Habitats Protection </w:t>
            </w:r>
          </w:p>
        </w:tc>
      </w:tr>
      <w:tr w:rsidR="00D65DB3" w:rsidRPr="00EF5315" w:rsidTr="00D65DB3"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Invasive species</w:t>
            </w:r>
          </w:p>
        </w:tc>
      </w:tr>
      <w:tr w:rsidR="00D65DB3" w:rsidRPr="00EF5315" w:rsidTr="00D65DB3"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Climate Change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 xml:space="preserve">Green House Gases (GHG) emission per </w:t>
            </w:r>
            <w:r w:rsidRPr="00EF5315">
              <w:rPr>
                <w:rFonts w:ascii="Times New Roman" w:hAnsi="Times New Roman" w:cs="Times New Roman"/>
                <w:sz w:val="22"/>
              </w:rPr>
              <w:lastRenderedPageBreak/>
              <w:t>capita</w:t>
            </w:r>
          </w:p>
        </w:tc>
      </w:tr>
      <w:tr w:rsidR="00D65DB3" w:rsidRPr="00EF5315" w:rsidTr="00D65DB3">
        <w:trPr>
          <w:trHeight w:val="467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Energy Efficiency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Renewable Energy</w:t>
            </w:r>
          </w:p>
        </w:tc>
      </w:tr>
      <w:tr w:rsidR="00D65DB3" w:rsidRPr="00EF5315" w:rsidTr="00D65DB3"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CO</w:t>
            </w:r>
            <w:r w:rsidRPr="00EF5315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EF5315">
              <w:rPr>
                <w:rFonts w:ascii="Times New Roman" w:hAnsi="Times New Roman" w:cs="Times New Roman"/>
                <w:sz w:val="22"/>
              </w:rPr>
              <w:t xml:space="preserve"> emission per KWH</w:t>
            </w:r>
          </w:p>
        </w:tc>
      </w:tr>
      <w:tr w:rsidR="00D65DB3" w:rsidRPr="00EF5315" w:rsidTr="00D65DB3">
        <w:trPr>
          <w:trHeight w:val="1187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Sustainable Land Resource Use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 xml:space="preserve">Extent with alkalinity/ acidity risks </w:t>
            </w:r>
          </w:p>
        </w:tc>
      </w:tr>
      <w:tr w:rsidR="00D65DB3" w:rsidRPr="00EF5315" w:rsidTr="00D65DB3"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Land degradation / Erosion</w:t>
            </w:r>
          </w:p>
        </w:tc>
      </w:tr>
      <w:tr w:rsidR="00D65DB3" w:rsidRPr="00EF5315" w:rsidTr="00D65DB3">
        <w:trPr>
          <w:trHeight w:val="602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F5315">
              <w:rPr>
                <w:rFonts w:ascii="Times New Roman" w:hAnsi="Times New Roman" w:cs="Times New Roman"/>
                <w:b/>
                <w:sz w:val="22"/>
              </w:rPr>
              <w:t>Socio Economic Sustainability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Environmental Behaviour and Awareness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 xml:space="preserve">Environmental Education </w:t>
            </w:r>
          </w:p>
        </w:tc>
      </w:tr>
      <w:tr w:rsidR="00D65DB3" w:rsidRPr="00EF5315" w:rsidTr="00D65DB3">
        <w:trPr>
          <w:trHeight w:val="170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Poverty and Environment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Population below poverty line dependent on natural resource for livelihood</w:t>
            </w:r>
          </w:p>
        </w:tc>
      </w:tr>
      <w:tr w:rsidR="00D65DB3" w:rsidRPr="00EF5315" w:rsidTr="00D65DB3">
        <w:trPr>
          <w:trHeight w:val="170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Gender and Environment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Environment Gender Index</w:t>
            </w:r>
          </w:p>
        </w:tc>
      </w:tr>
      <w:tr w:rsidR="00D65DB3" w:rsidRPr="00EF5315" w:rsidTr="00D65DB3">
        <w:trPr>
          <w:trHeight w:val="170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 xml:space="preserve">Public Private Partnership 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267D5F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 xml:space="preserve">Support of environmental projects </w:t>
            </w:r>
          </w:p>
        </w:tc>
      </w:tr>
      <w:tr w:rsidR="00D65DB3" w:rsidRPr="00EF5315" w:rsidTr="00D65DB3">
        <w:trPr>
          <w:trHeight w:val="170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Governance, Compliance and Enforcement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Environmental related policies formulated and legislations enacted</w:t>
            </w:r>
          </w:p>
        </w:tc>
      </w:tr>
      <w:tr w:rsidR="00D65DB3" w:rsidRPr="00EF5315" w:rsidTr="00D65DB3">
        <w:trPr>
          <w:trHeight w:val="2690"/>
        </w:trPr>
        <w:tc>
          <w:tcPr>
            <w:tcW w:w="1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B3" w:rsidRPr="00EF5315" w:rsidRDefault="00D65DB3" w:rsidP="00EF5315">
            <w:pPr>
              <w:spacing w:before="0" w:after="0" w:line="276" w:lineRule="auto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D65DB3" w:rsidRPr="00EF5315" w:rsidRDefault="00D65DB3" w:rsidP="00EF5315">
            <w:pPr>
              <w:spacing w:before="0"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EF5315">
              <w:rPr>
                <w:rFonts w:ascii="Times New Roman" w:hAnsi="Times New Roman" w:cs="Times New Roman"/>
                <w:sz w:val="22"/>
              </w:rPr>
              <w:t>Complains and prosecution on environmental pollution</w:t>
            </w:r>
          </w:p>
        </w:tc>
      </w:tr>
    </w:tbl>
    <w:p w:rsidR="001750B8" w:rsidRDefault="00B254DE" w:rsidP="00EF5315">
      <w:pPr>
        <w:ind w:left="0"/>
      </w:pPr>
    </w:p>
    <w:sectPr w:rsidR="001750B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4DE" w:rsidRDefault="00B254DE" w:rsidP="00EF5315">
      <w:pPr>
        <w:spacing w:before="0" w:after="0" w:line="240" w:lineRule="auto"/>
      </w:pPr>
      <w:r>
        <w:separator/>
      </w:r>
    </w:p>
  </w:endnote>
  <w:endnote w:type="continuationSeparator" w:id="0">
    <w:p w:rsidR="00B254DE" w:rsidRDefault="00B254DE" w:rsidP="00EF53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9202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5315" w:rsidRDefault="00EF53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8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F5315" w:rsidRDefault="00EF53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4DE" w:rsidRDefault="00B254DE" w:rsidP="00EF5315">
      <w:pPr>
        <w:spacing w:before="0" w:after="0" w:line="240" w:lineRule="auto"/>
      </w:pPr>
      <w:r>
        <w:separator/>
      </w:r>
    </w:p>
  </w:footnote>
  <w:footnote w:type="continuationSeparator" w:id="0">
    <w:p w:rsidR="00B254DE" w:rsidRDefault="00B254DE" w:rsidP="00EF5315">
      <w:pPr>
        <w:spacing w:before="0" w:after="0" w:line="240" w:lineRule="auto"/>
      </w:pPr>
      <w:r>
        <w:continuationSeparator/>
      </w:r>
    </w:p>
  </w:footnote>
  <w:footnote w:id="1">
    <w:p w:rsidR="00D65DB3" w:rsidRDefault="00D65DB3" w:rsidP="00EF531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Access is defined as at least 20 litres per person per day from an “improved” source within 1 kilometre of the user’s dwelling. </w:t>
      </w:r>
      <w:proofErr w:type="gramStart"/>
      <w:r>
        <w:t>(WHO 2000).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15"/>
    <w:rsid w:val="00254C05"/>
    <w:rsid w:val="00267D5F"/>
    <w:rsid w:val="002760E6"/>
    <w:rsid w:val="003E329B"/>
    <w:rsid w:val="0053787E"/>
    <w:rsid w:val="006458DE"/>
    <w:rsid w:val="006F4AE4"/>
    <w:rsid w:val="007C143B"/>
    <w:rsid w:val="0093309B"/>
    <w:rsid w:val="0093717F"/>
    <w:rsid w:val="00986C06"/>
    <w:rsid w:val="009F30F3"/>
    <w:rsid w:val="00A3061E"/>
    <w:rsid w:val="00AA0F2E"/>
    <w:rsid w:val="00AF6E96"/>
    <w:rsid w:val="00B254DE"/>
    <w:rsid w:val="00B6408B"/>
    <w:rsid w:val="00C01375"/>
    <w:rsid w:val="00D65DB3"/>
    <w:rsid w:val="00DE16A8"/>
    <w:rsid w:val="00EF5315"/>
    <w:rsid w:val="00FA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5"/>
    <w:pPr>
      <w:spacing w:before="120" w:after="120" w:line="360" w:lineRule="auto"/>
      <w:ind w:left="144" w:right="144"/>
      <w:jc w:val="both"/>
    </w:pPr>
    <w:rPr>
      <w:rFonts w:ascii="Arial Narrow" w:hAnsi="Arial Narrow"/>
      <w:sz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3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5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31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315"/>
    <w:rPr>
      <w:rFonts w:ascii="Arial Narrow" w:hAnsi="Arial Narrow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EF5315"/>
    <w:rPr>
      <w:vertAlign w:val="superscript"/>
    </w:rPr>
  </w:style>
  <w:style w:type="table" w:styleId="TableGrid">
    <w:name w:val="Table Grid"/>
    <w:basedOn w:val="TableNormal"/>
    <w:uiPriority w:val="39"/>
    <w:rsid w:val="00EF5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531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5"/>
    <w:rPr>
      <w:rFonts w:ascii="Arial Narrow" w:hAnsi="Arial Narrow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531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5"/>
    <w:rPr>
      <w:rFonts w:ascii="Arial Narrow" w:hAnsi="Arial Narrow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5"/>
    <w:pPr>
      <w:spacing w:before="120" w:after="120" w:line="360" w:lineRule="auto"/>
      <w:ind w:left="144" w:right="144"/>
      <w:jc w:val="both"/>
    </w:pPr>
    <w:rPr>
      <w:rFonts w:ascii="Arial Narrow" w:hAnsi="Arial Narrow"/>
      <w:sz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3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5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31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315"/>
    <w:rPr>
      <w:rFonts w:ascii="Arial Narrow" w:hAnsi="Arial Narrow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EF5315"/>
    <w:rPr>
      <w:vertAlign w:val="superscript"/>
    </w:rPr>
  </w:style>
  <w:style w:type="table" w:styleId="TableGrid">
    <w:name w:val="Table Grid"/>
    <w:basedOn w:val="TableNormal"/>
    <w:uiPriority w:val="39"/>
    <w:rsid w:val="00EF5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531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5"/>
    <w:rPr>
      <w:rFonts w:ascii="Arial Narrow" w:hAnsi="Arial Narrow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531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5"/>
    <w:rPr>
      <w:rFonts w:ascii="Arial Narrow" w:hAnsi="Arial Narrow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2017-08-29T14:06:00Z</cp:lastPrinted>
  <dcterms:created xsi:type="dcterms:W3CDTF">2017-08-22T11:01:00Z</dcterms:created>
  <dcterms:modified xsi:type="dcterms:W3CDTF">2017-09-07T08:44:00Z</dcterms:modified>
</cp:coreProperties>
</file>