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E169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21D1251D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0B39CEFC" w14:textId="7035567F" w:rsidR="00F5065C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>Report for Module-</w:t>
      </w:r>
      <w:r w:rsidR="00062BCA">
        <w:rPr>
          <w:rFonts w:ascii="Times New Roman" w:hAnsi="Times New Roman" w:cs="Times New Roman"/>
          <w:color w:val="2B2B2B"/>
          <w:sz w:val="24"/>
          <w:szCs w:val="24"/>
        </w:rPr>
        <w:t>2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Challenge</w:t>
      </w:r>
    </w:p>
    <w:p w14:paraId="6A080B89" w14:textId="77777777" w:rsidR="00E02B5F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A7B1C73" w14:textId="352CD8CE" w:rsidR="00A56906" w:rsidRDefault="00F5065C" w:rsidP="00BE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Overview of Project</w:t>
      </w:r>
      <w:r w:rsidR="00A56906"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.</w:t>
      </w:r>
    </w:p>
    <w:p w14:paraId="53A79D0B" w14:textId="3826F40C" w:rsidR="007A57B0" w:rsidRPr="00036D69" w:rsidRDefault="00826E39" w:rsidP="005858B2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Steeve, a fresh graduate in finance, wanted to help his parents who are interested to make an </w:t>
      </w:r>
      <w:r w:rsidR="00531628">
        <w:rPr>
          <w:rFonts w:ascii="Times New Roman" w:hAnsi="Times New Roman" w:cs="Times New Roman"/>
          <w:color w:val="2B2B2B"/>
          <w:sz w:val="24"/>
          <w:szCs w:val="24"/>
        </w:rPr>
        <w:t xml:space="preserve">investment on green energy producing companies. </w:t>
      </w:r>
      <w:r w:rsidR="009A43A3">
        <w:rPr>
          <w:rFonts w:ascii="Times New Roman" w:hAnsi="Times New Roman" w:cs="Times New Roman"/>
          <w:color w:val="2B2B2B"/>
          <w:sz w:val="24"/>
          <w:szCs w:val="24"/>
        </w:rPr>
        <w:t xml:space="preserve">Initially they wanted to make all their investment </w:t>
      </w:r>
      <w:r w:rsidR="00CD6CDF">
        <w:rPr>
          <w:rFonts w:ascii="Times New Roman" w:hAnsi="Times New Roman" w:cs="Times New Roman"/>
          <w:color w:val="2B2B2B"/>
          <w:sz w:val="24"/>
          <w:szCs w:val="24"/>
        </w:rPr>
        <w:t xml:space="preserve">on one green energy company </w:t>
      </w:r>
      <w:r w:rsidR="00CD6CDF">
        <w:rPr>
          <w:rFonts w:ascii="Times New Roman" w:hAnsi="Times New Roman" w:cs="Times New Roman"/>
          <w:color w:val="2B2B2B"/>
          <w:sz w:val="24"/>
          <w:szCs w:val="24"/>
        </w:rPr>
        <w:t xml:space="preserve">DAQO New Energy </w:t>
      </w:r>
      <w:r w:rsidR="00A271BE">
        <w:rPr>
          <w:rFonts w:ascii="Times New Roman" w:hAnsi="Times New Roman" w:cs="Times New Roman"/>
          <w:color w:val="2B2B2B"/>
          <w:sz w:val="24"/>
          <w:szCs w:val="24"/>
        </w:rPr>
        <w:t>Corporation (</w:t>
      </w:r>
      <w:r w:rsidR="00CD6CDF">
        <w:rPr>
          <w:rFonts w:ascii="Times New Roman" w:hAnsi="Times New Roman" w:cs="Times New Roman"/>
          <w:color w:val="2B2B2B"/>
          <w:sz w:val="24"/>
          <w:szCs w:val="24"/>
        </w:rPr>
        <w:t xml:space="preserve">DQ), </w:t>
      </w:r>
      <w:r w:rsidR="00A271BE">
        <w:rPr>
          <w:rFonts w:ascii="Times New Roman" w:hAnsi="Times New Roman" w:cs="Times New Roman"/>
          <w:color w:val="2B2B2B"/>
          <w:sz w:val="24"/>
          <w:szCs w:val="24"/>
        </w:rPr>
        <w:t>but</w:t>
      </w:r>
      <w:r w:rsidR="00CD6CDF">
        <w:rPr>
          <w:rFonts w:ascii="Times New Roman" w:hAnsi="Times New Roman" w:cs="Times New Roman"/>
          <w:color w:val="2B2B2B"/>
          <w:sz w:val="24"/>
          <w:szCs w:val="24"/>
        </w:rPr>
        <w:t xml:space="preserve"> he is concerned diversifying their funds and hence he wanted to analyses a handful of green energy stocks in addition to DQ stocks</w:t>
      </w:r>
      <w:r w:rsidR="00087C1C">
        <w:rPr>
          <w:rFonts w:ascii="Times New Roman" w:hAnsi="Times New Roman" w:cs="Times New Roman"/>
          <w:color w:val="2B2B2B"/>
          <w:sz w:val="24"/>
          <w:szCs w:val="24"/>
        </w:rPr>
        <w:t xml:space="preserve">. He made an excel data of the different green energy stocks with their </w:t>
      </w:r>
      <w:r w:rsidR="00A271BE">
        <w:rPr>
          <w:rFonts w:ascii="Times New Roman" w:hAnsi="Times New Roman" w:cs="Times New Roman"/>
          <w:color w:val="2B2B2B"/>
          <w:sz w:val="24"/>
          <w:szCs w:val="24"/>
        </w:rPr>
        <w:t xml:space="preserve">prices and trade volumes. </w:t>
      </w:r>
      <w:r w:rsidR="005523E9">
        <w:rPr>
          <w:rFonts w:ascii="Times New Roman" w:hAnsi="Times New Roman" w:cs="Times New Roman"/>
          <w:color w:val="2B2B2B"/>
          <w:sz w:val="24"/>
          <w:szCs w:val="24"/>
        </w:rPr>
        <w:t xml:space="preserve">Steve wanted the stock return and trade volumes to be analyzed </w:t>
      </w:r>
      <w:r w:rsidR="004E77C5">
        <w:rPr>
          <w:rFonts w:ascii="Times New Roman" w:hAnsi="Times New Roman" w:cs="Times New Roman"/>
          <w:color w:val="2B2B2B"/>
          <w:sz w:val="24"/>
          <w:szCs w:val="24"/>
        </w:rPr>
        <w:t xml:space="preserve">using VISUAL BUSINESS APPLICATION(VBA). As an expert in VBA, he asked me to help him </w:t>
      </w:r>
      <w:r w:rsidR="00AE30A8">
        <w:rPr>
          <w:rFonts w:ascii="Times New Roman" w:hAnsi="Times New Roman" w:cs="Times New Roman"/>
          <w:color w:val="2B2B2B"/>
          <w:sz w:val="24"/>
          <w:szCs w:val="24"/>
        </w:rPr>
        <w:t xml:space="preserve">out to do the analysis. His initial request </w:t>
      </w:r>
      <w:r w:rsidR="00783BA6">
        <w:rPr>
          <w:rFonts w:ascii="Times New Roman" w:hAnsi="Times New Roman" w:cs="Times New Roman"/>
          <w:color w:val="2B2B2B"/>
          <w:sz w:val="24"/>
          <w:szCs w:val="24"/>
        </w:rPr>
        <w:t>was to</w:t>
      </w:r>
      <w:r w:rsidR="00AE30A8">
        <w:rPr>
          <w:rFonts w:ascii="Times New Roman" w:hAnsi="Times New Roman" w:cs="Times New Roman"/>
          <w:color w:val="2B2B2B"/>
          <w:sz w:val="24"/>
          <w:szCs w:val="24"/>
        </w:rPr>
        <w:t xml:space="preserve"> do the analysis for the year 2018. I gave him the VBA codes and </w:t>
      </w:r>
      <w:r w:rsidR="00783BA6">
        <w:rPr>
          <w:rFonts w:ascii="Times New Roman" w:hAnsi="Times New Roman" w:cs="Times New Roman"/>
          <w:color w:val="2B2B2B"/>
          <w:sz w:val="24"/>
          <w:szCs w:val="24"/>
        </w:rPr>
        <w:t>analytical results for the 2018. After looking the 2018 result, he wanted to include</w:t>
      </w:r>
      <w:r w:rsidR="00777781">
        <w:rPr>
          <w:rFonts w:ascii="Times New Roman" w:hAnsi="Times New Roman" w:cs="Times New Roman"/>
          <w:color w:val="2B2B2B"/>
          <w:sz w:val="24"/>
          <w:szCs w:val="24"/>
        </w:rPr>
        <w:t xml:space="preserve"> additional years </w:t>
      </w:r>
      <w:r w:rsidR="004409C5">
        <w:rPr>
          <w:rFonts w:ascii="Times New Roman" w:hAnsi="Times New Roman" w:cs="Times New Roman"/>
          <w:color w:val="2B2B2B"/>
          <w:sz w:val="24"/>
          <w:szCs w:val="24"/>
        </w:rPr>
        <w:t xml:space="preserve">and </w:t>
      </w:r>
      <w:r w:rsidR="00775C9D">
        <w:rPr>
          <w:rFonts w:ascii="Times New Roman" w:hAnsi="Times New Roman" w:cs="Times New Roman"/>
          <w:color w:val="2B2B2B"/>
          <w:sz w:val="24"/>
          <w:szCs w:val="24"/>
        </w:rPr>
        <w:t xml:space="preserve">also </w:t>
      </w:r>
      <w:r w:rsidR="004409C5">
        <w:rPr>
          <w:rFonts w:ascii="Times New Roman" w:hAnsi="Times New Roman" w:cs="Times New Roman"/>
          <w:color w:val="2B2B2B"/>
          <w:sz w:val="24"/>
          <w:szCs w:val="24"/>
        </w:rPr>
        <w:t>refactor the</w:t>
      </w:r>
      <w:r w:rsidR="00777781">
        <w:rPr>
          <w:rFonts w:ascii="Times New Roman" w:hAnsi="Times New Roman" w:cs="Times New Roman"/>
          <w:color w:val="2B2B2B"/>
          <w:sz w:val="24"/>
          <w:szCs w:val="24"/>
        </w:rPr>
        <w:t xml:space="preserve"> VBA scripts </w:t>
      </w:r>
      <w:r w:rsidR="004409C5">
        <w:rPr>
          <w:rFonts w:ascii="Times New Roman" w:hAnsi="Times New Roman" w:cs="Times New Roman"/>
          <w:color w:val="2B2B2B"/>
          <w:sz w:val="24"/>
          <w:szCs w:val="24"/>
        </w:rPr>
        <w:t>made for the 2018.</w:t>
      </w:r>
    </w:p>
    <w:p w14:paraId="68575FBA" w14:textId="32A3917E" w:rsidR="0027381F" w:rsidRPr="00F8645B" w:rsidRDefault="00F8645B" w:rsidP="005858B2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p</w:t>
      </w:r>
      <w:r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>urpose of</w:t>
      </w:r>
      <w:r w:rsidR="0027381F"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the report</w:t>
      </w:r>
      <w:r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is</w:t>
      </w:r>
    </w:p>
    <w:p w14:paraId="517ACD3D" w14:textId="6B2469F3" w:rsidR="00A3243E" w:rsidRDefault="00A3243E" w:rsidP="005858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Explore</w:t>
      </w:r>
      <w:r w:rsidR="000960F1">
        <w:rPr>
          <w:rFonts w:ascii="Times New Roman" w:hAnsi="Times New Roman" w:cs="Times New Roman"/>
          <w:color w:val="2B2B2B"/>
          <w:sz w:val="24"/>
          <w:szCs w:val="24"/>
        </w:rPr>
        <w:t xml:space="preserve"> green energy stock performance by analyzing</w:t>
      </w:r>
      <w:r w:rsidR="00396438">
        <w:rPr>
          <w:rFonts w:ascii="Times New Roman" w:hAnsi="Times New Roman" w:cs="Times New Roman"/>
          <w:color w:val="2B2B2B"/>
          <w:sz w:val="24"/>
          <w:szCs w:val="24"/>
        </w:rPr>
        <w:t xml:space="preserve"> the well street financial data using Visual </w:t>
      </w:r>
      <w:r w:rsidR="00D84E31">
        <w:rPr>
          <w:rFonts w:ascii="Times New Roman" w:hAnsi="Times New Roman" w:cs="Times New Roman"/>
          <w:color w:val="2B2B2B"/>
          <w:sz w:val="24"/>
          <w:szCs w:val="24"/>
        </w:rPr>
        <w:t>Business</w:t>
      </w:r>
      <w:r w:rsidR="00396438">
        <w:rPr>
          <w:rFonts w:ascii="Times New Roman" w:hAnsi="Times New Roman" w:cs="Times New Roman"/>
          <w:color w:val="2B2B2B"/>
          <w:sz w:val="24"/>
          <w:szCs w:val="24"/>
        </w:rPr>
        <w:t xml:space="preserve"> Application </w:t>
      </w:r>
      <w:r w:rsidR="00D84E31">
        <w:rPr>
          <w:rFonts w:ascii="Times New Roman" w:hAnsi="Times New Roman" w:cs="Times New Roman"/>
          <w:color w:val="2B2B2B"/>
          <w:sz w:val="24"/>
          <w:szCs w:val="24"/>
        </w:rPr>
        <w:t>(V</w:t>
      </w:r>
      <w:r w:rsidR="00396438">
        <w:rPr>
          <w:rFonts w:ascii="Times New Roman" w:hAnsi="Times New Roman" w:cs="Times New Roman"/>
          <w:color w:val="2B2B2B"/>
          <w:sz w:val="24"/>
          <w:szCs w:val="24"/>
        </w:rPr>
        <w:t>BA</w:t>
      </w:r>
      <w:proofErr w:type="gramStart"/>
      <w:r w:rsidR="00D84E31">
        <w:rPr>
          <w:rFonts w:ascii="Times New Roman" w:hAnsi="Times New Roman" w:cs="Times New Roman"/>
          <w:color w:val="2B2B2B"/>
          <w:sz w:val="24"/>
          <w:szCs w:val="24"/>
        </w:rPr>
        <w:t>)</w:t>
      </w:r>
      <w:r w:rsidR="000960F1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BA1C10">
        <w:rPr>
          <w:rFonts w:ascii="Times New Roman" w:hAnsi="Times New Roman" w:cs="Times New Roman"/>
          <w:color w:val="2B2B2B"/>
          <w:sz w:val="24"/>
          <w:szCs w:val="24"/>
        </w:rPr>
        <w:t>.</w:t>
      </w:r>
      <w:proofErr w:type="gramEnd"/>
      <w:r w:rsidR="00BA1C1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E5687B">
        <w:rPr>
          <w:rFonts w:ascii="Times New Roman" w:hAnsi="Times New Roman" w:cs="Times New Roman"/>
          <w:color w:val="2B2B2B"/>
          <w:sz w:val="24"/>
          <w:szCs w:val="24"/>
        </w:rPr>
        <w:t>Specifically</w:t>
      </w:r>
      <w:r w:rsidR="00BA1C10">
        <w:rPr>
          <w:rFonts w:ascii="Times New Roman" w:hAnsi="Times New Roman" w:cs="Times New Roman"/>
          <w:color w:val="2B2B2B"/>
          <w:sz w:val="24"/>
          <w:szCs w:val="24"/>
        </w:rPr>
        <w:t>,</w:t>
      </w:r>
    </w:p>
    <w:p w14:paraId="389DFCF4" w14:textId="6B54604C" w:rsidR="00BA1C10" w:rsidRDefault="00BA1C10" w:rsidP="00BA1C1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Analyze the return </w:t>
      </w:r>
      <w:r w:rsidR="0052534A">
        <w:rPr>
          <w:rFonts w:ascii="Times New Roman" w:hAnsi="Times New Roman" w:cs="Times New Roman"/>
          <w:color w:val="2B2B2B"/>
          <w:sz w:val="24"/>
          <w:szCs w:val="24"/>
        </w:rPr>
        <w:t xml:space="preserve">of </w:t>
      </w:r>
      <w:r w:rsidR="00373B2C">
        <w:rPr>
          <w:rFonts w:ascii="Times New Roman" w:hAnsi="Times New Roman" w:cs="Times New Roman"/>
          <w:color w:val="2B2B2B"/>
          <w:sz w:val="24"/>
          <w:szCs w:val="24"/>
        </w:rPr>
        <w:t xml:space="preserve">investment </w:t>
      </w:r>
      <w:r w:rsidR="0052534A">
        <w:rPr>
          <w:rFonts w:ascii="Times New Roman" w:hAnsi="Times New Roman" w:cs="Times New Roman"/>
          <w:color w:val="2B2B2B"/>
          <w:sz w:val="24"/>
          <w:szCs w:val="24"/>
        </w:rPr>
        <w:t xml:space="preserve">on </w:t>
      </w:r>
      <w:r w:rsidR="00373B2C">
        <w:rPr>
          <w:rFonts w:ascii="Times New Roman" w:hAnsi="Times New Roman" w:cs="Times New Roman"/>
          <w:color w:val="2B2B2B"/>
          <w:sz w:val="24"/>
          <w:szCs w:val="24"/>
        </w:rPr>
        <w:t>green energy stock</w:t>
      </w:r>
      <w:r w:rsidR="0052534A">
        <w:rPr>
          <w:rFonts w:ascii="Times New Roman" w:hAnsi="Times New Roman" w:cs="Times New Roman"/>
          <w:color w:val="2B2B2B"/>
          <w:sz w:val="24"/>
          <w:szCs w:val="24"/>
        </w:rPr>
        <w:t>s</w:t>
      </w:r>
      <w:r w:rsidR="00373B2C">
        <w:rPr>
          <w:rFonts w:ascii="Times New Roman" w:hAnsi="Times New Roman" w:cs="Times New Roman"/>
          <w:color w:val="2B2B2B"/>
          <w:sz w:val="24"/>
          <w:szCs w:val="24"/>
        </w:rPr>
        <w:t xml:space="preserve"> over time</w:t>
      </w:r>
    </w:p>
    <w:p w14:paraId="7963223B" w14:textId="1B41213A" w:rsidR="00373B2C" w:rsidRPr="00373B2C" w:rsidRDefault="00373B2C" w:rsidP="00373B2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Analyze the </w:t>
      </w:r>
      <w:r>
        <w:rPr>
          <w:rFonts w:ascii="Times New Roman" w:hAnsi="Times New Roman" w:cs="Times New Roman"/>
          <w:color w:val="2B2B2B"/>
          <w:sz w:val="24"/>
          <w:szCs w:val="24"/>
        </w:rPr>
        <w:t>total daily</w:t>
      </w:r>
      <w:r w:rsidR="00E5687B">
        <w:rPr>
          <w:rFonts w:ascii="Times New Roman" w:hAnsi="Times New Roman" w:cs="Times New Roman"/>
          <w:color w:val="2B2B2B"/>
          <w:sz w:val="24"/>
          <w:szCs w:val="24"/>
        </w:rPr>
        <w:t xml:space="preserve"> trading volume </w:t>
      </w:r>
      <w:r w:rsidR="0052534A">
        <w:rPr>
          <w:rFonts w:ascii="Times New Roman" w:hAnsi="Times New Roman" w:cs="Times New Roman"/>
          <w:color w:val="2B2B2B"/>
          <w:sz w:val="24"/>
          <w:szCs w:val="24"/>
        </w:rPr>
        <w:t>of green</w:t>
      </w:r>
      <w:r w:rsidR="00E5687B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B2B2B"/>
          <w:sz w:val="24"/>
          <w:szCs w:val="24"/>
        </w:rPr>
        <w:t>energy stock</w:t>
      </w:r>
      <w:r w:rsidR="00E5687B">
        <w:rPr>
          <w:rFonts w:ascii="Times New Roman" w:hAnsi="Times New Roman" w:cs="Times New Roman"/>
          <w:color w:val="2B2B2B"/>
          <w:sz w:val="24"/>
          <w:szCs w:val="24"/>
        </w:rPr>
        <w:t>s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over time</w:t>
      </w:r>
    </w:p>
    <w:p w14:paraId="57C4E22C" w14:textId="49AB05F6" w:rsidR="0057318E" w:rsidRPr="00D558BA" w:rsidRDefault="00076A33" w:rsidP="005858B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Refactor VBA scr</w:t>
      </w:r>
      <w:r w:rsidR="00674622">
        <w:rPr>
          <w:rFonts w:ascii="Times New Roman" w:hAnsi="Times New Roman" w:cs="Times New Roman"/>
          <w:color w:val="2B2B2B"/>
          <w:sz w:val="24"/>
          <w:szCs w:val="24"/>
        </w:rPr>
        <w:t xml:space="preserve">ipts made for the year 2018 and discuss the advantages and disadvantages of refactoring </w:t>
      </w:r>
      <w:r w:rsidR="00460C8B">
        <w:rPr>
          <w:rFonts w:ascii="Times New Roman" w:hAnsi="Times New Roman" w:cs="Times New Roman"/>
          <w:color w:val="2B2B2B"/>
          <w:sz w:val="24"/>
          <w:szCs w:val="24"/>
        </w:rPr>
        <w:t>in general and in particular related to the current code</w:t>
      </w:r>
      <w:r w:rsidR="00674622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61CC2501" w14:textId="4CCEEE50" w:rsidR="00EC2CA0" w:rsidRPr="00D558BA" w:rsidRDefault="00DD611F" w:rsidP="005858B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Data and Method of analysis</w:t>
      </w:r>
    </w:p>
    <w:p w14:paraId="3B92C493" w14:textId="59340D76" w:rsidR="00CD5CF9" w:rsidRPr="00D558BA" w:rsidRDefault="00543A80" w:rsidP="00336F64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I used</w:t>
      </w:r>
      <w:r w:rsidR="00A07B9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AE125C">
        <w:rPr>
          <w:rFonts w:ascii="Times New Roman" w:hAnsi="Times New Roman" w:cs="Times New Roman"/>
          <w:color w:val="2B2B2B"/>
          <w:sz w:val="24"/>
          <w:szCs w:val="24"/>
        </w:rPr>
        <w:t>W</w:t>
      </w:r>
      <w:r w:rsidR="00D07B95">
        <w:rPr>
          <w:rFonts w:ascii="Times New Roman" w:hAnsi="Times New Roman" w:cs="Times New Roman"/>
          <w:color w:val="2B2B2B"/>
          <w:sz w:val="24"/>
          <w:szCs w:val="24"/>
        </w:rPr>
        <w:t xml:space="preserve">all Street Green Energy Stock data for the year 2017 and 2018. </w:t>
      </w:r>
      <w:r w:rsidR="00197567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D07B95">
        <w:rPr>
          <w:rFonts w:ascii="Times New Roman" w:hAnsi="Times New Roman" w:cs="Times New Roman"/>
          <w:color w:val="2B2B2B"/>
          <w:sz w:val="24"/>
          <w:szCs w:val="24"/>
        </w:rPr>
        <w:t xml:space="preserve">It contains </w:t>
      </w:r>
      <w:r w:rsidR="00715E75">
        <w:rPr>
          <w:rFonts w:ascii="Times New Roman" w:hAnsi="Times New Roman" w:cs="Times New Roman"/>
          <w:color w:val="2B2B2B"/>
          <w:sz w:val="24"/>
          <w:szCs w:val="24"/>
        </w:rPr>
        <w:t>stocks of 12 green energy companies</w:t>
      </w:r>
      <w:r w:rsidR="00197567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r w:rsidR="00715E75">
        <w:rPr>
          <w:rFonts w:ascii="Times New Roman" w:hAnsi="Times New Roman" w:cs="Times New Roman"/>
          <w:color w:val="2B2B2B"/>
          <w:sz w:val="24"/>
          <w:szCs w:val="24"/>
        </w:rPr>
        <w:t>The data contains company ticker</w:t>
      </w:r>
      <w:r w:rsidR="007F71CE">
        <w:rPr>
          <w:rFonts w:ascii="Times New Roman" w:hAnsi="Times New Roman" w:cs="Times New Roman"/>
          <w:color w:val="2B2B2B"/>
          <w:sz w:val="24"/>
          <w:szCs w:val="24"/>
        </w:rPr>
        <w:t xml:space="preserve">, starting date, ending data, closing prices and trading volumes. </w:t>
      </w:r>
      <w:r w:rsidR="00715E75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197567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The </w:t>
      </w:r>
      <w:r w:rsidR="00A07B92" w:rsidRPr="00D558BA">
        <w:rPr>
          <w:rFonts w:ascii="Times New Roman" w:hAnsi="Times New Roman" w:cs="Times New Roman"/>
          <w:color w:val="2B2B2B"/>
          <w:sz w:val="24"/>
          <w:szCs w:val="24"/>
        </w:rPr>
        <w:t>data</w:t>
      </w:r>
      <w:r w:rsidR="0044211A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was obtained from</w:t>
      </w:r>
      <w:r w:rsidR="005F775C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197567" w:rsidRPr="00D558BA">
        <w:rPr>
          <w:rFonts w:ascii="Times New Roman" w:hAnsi="Times New Roman" w:cs="Times New Roman"/>
          <w:color w:val="2B2B2B"/>
          <w:sz w:val="24"/>
          <w:szCs w:val="24"/>
        </w:rPr>
        <w:t>Bootc</w:t>
      </w:r>
      <w:r w:rsidR="00501AAF" w:rsidRPr="00D558BA">
        <w:rPr>
          <w:rFonts w:ascii="Times New Roman" w:hAnsi="Times New Roman" w:cs="Times New Roman"/>
          <w:color w:val="2B2B2B"/>
          <w:sz w:val="24"/>
          <w:szCs w:val="24"/>
        </w:rPr>
        <w:t>amp for this exercise.</w:t>
      </w:r>
      <w:r w:rsidR="00CD5CF9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CB7FD7">
        <w:rPr>
          <w:rFonts w:ascii="Times New Roman" w:hAnsi="Times New Roman" w:cs="Times New Roman"/>
          <w:color w:val="2B2B2B"/>
          <w:sz w:val="24"/>
          <w:szCs w:val="24"/>
        </w:rPr>
        <w:t xml:space="preserve">I used the </w:t>
      </w:r>
      <w:r w:rsidR="005858B2">
        <w:rPr>
          <w:rFonts w:ascii="Times New Roman" w:hAnsi="Times New Roman" w:cs="Times New Roman"/>
          <w:color w:val="2B2B2B"/>
          <w:sz w:val="24"/>
          <w:szCs w:val="24"/>
        </w:rPr>
        <w:t xml:space="preserve">Visual Business Application (VBA) </w:t>
      </w:r>
      <w:r w:rsidR="00E700F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to </w:t>
      </w:r>
      <w:r w:rsidR="00CB7FD7">
        <w:rPr>
          <w:rFonts w:ascii="Times New Roman" w:hAnsi="Times New Roman" w:cs="Times New Roman"/>
          <w:color w:val="2B2B2B"/>
          <w:sz w:val="24"/>
          <w:szCs w:val="24"/>
        </w:rPr>
        <w:t>generate</w:t>
      </w:r>
      <w:r w:rsidR="00E700F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2C1A68">
        <w:rPr>
          <w:rFonts w:ascii="Times New Roman" w:hAnsi="Times New Roman" w:cs="Times New Roman"/>
          <w:color w:val="2B2B2B"/>
          <w:sz w:val="24"/>
          <w:szCs w:val="24"/>
        </w:rPr>
        <w:t>Tabular</w:t>
      </w:r>
      <w:r w:rsidR="00430625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results</w:t>
      </w:r>
      <w:r w:rsidR="00336F64">
        <w:rPr>
          <w:rFonts w:ascii="Times New Roman" w:hAnsi="Times New Roman" w:cs="Times New Roman"/>
          <w:color w:val="2B2B2B"/>
          <w:sz w:val="24"/>
          <w:szCs w:val="24"/>
        </w:rPr>
        <w:t xml:space="preserve"> shown below</w:t>
      </w:r>
      <w:r w:rsidR="00914D21" w:rsidRPr="00D558BA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CD5CF9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4DFE47A4" w14:textId="77777777" w:rsidR="00F01D52" w:rsidRPr="00D558BA" w:rsidRDefault="00F01D52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704A36D0" w14:textId="77777777" w:rsidR="00CD5CF9" w:rsidRPr="00D558BA" w:rsidRDefault="00CD5CF9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51EAD0EC" w14:textId="77777777" w:rsidR="00F01D52" w:rsidRPr="00D558BA" w:rsidRDefault="00F01D52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772D7FF5" w14:textId="22E0744B" w:rsidR="00147DBB" w:rsidRPr="00D558BA" w:rsidRDefault="00FD7180" w:rsidP="00147D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Results</w:t>
      </w:r>
    </w:p>
    <w:p w14:paraId="798F5BB6" w14:textId="1B5447D9" w:rsidR="00914D21" w:rsidRPr="00D558BA" w:rsidRDefault="00147DBB" w:rsidP="00AB6D5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 </w:t>
      </w:r>
      <w:r w:rsidR="003540B3"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Analysis of</w:t>
      </w:r>
      <w:r w:rsidR="00F03A71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stock investment return</w:t>
      </w:r>
    </w:p>
    <w:p w14:paraId="49626072" w14:textId="5F92BC22" w:rsidR="00680099" w:rsidRDefault="00336F64" w:rsidP="003540B3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Table</w:t>
      </w:r>
      <w:r w:rsidR="00EF2C17" w:rsidRPr="00D558BA">
        <w:rPr>
          <w:rFonts w:ascii="Times New Roman" w:hAnsi="Times New Roman" w:cs="Times New Roman"/>
          <w:color w:val="2B2B2B"/>
          <w:sz w:val="24"/>
          <w:szCs w:val="24"/>
        </w:rPr>
        <w:t>-</w:t>
      </w:r>
      <w:r w:rsidR="00155564" w:rsidRPr="00D558BA">
        <w:rPr>
          <w:rFonts w:ascii="Times New Roman" w:hAnsi="Times New Roman" w:cs="Times New Roman"/>
          <w:color w:val="2B2B2B"/>
          <w:sz w:val="24"/>
          <w:szCs w:val="24"/>
        </w:rPr>
        <w:t>1</w:t>
      </w:r>
      <w:r w:rsidR="006A58BB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shows </w:t>
      </w:r>
      <w:r w:rsidR="00043552">
        <w:rPr>
          <w:rFonts w:ascii="Times New Roman" w:hAnsi="Times New Roman" w:cs="Times New Roman"/>
          <w:color w:val="2B2B2B"/>
          <w:sz w:val="24"/>
          <w:szCs w:val="24"/>
        </w:rPr>
        <w:t xml:space="preserve">green energy stock </w:t>
      </w:r>
      <w:r w:rsidR="00DF21CE">
        <w:rPr>
          <w:rFonts w:ascii="Times New Roman" w:hAnsi="Times New Roman" w:cs="Times New Roman"/>
          <w:color w:val="2B2B2B"/>
          <w:sz w:val="24"/>
          <w:szCs w:val="24"/>
        </w:rPr>
        <w:t>returns</w:t>
      </w:r>
      <w:r w:rsidR="00043552">
        <w:rPr>
          <w:rFonts w:ascii="Times New Roman" w:hAnsi="Times New Roman" w:cs="Times New Roman"/>
          <w:color w:val="2B2B2B"/>
          <w:sz w:val="24"/>
          <w:szCs w:val="24"/>
        </w:rPr>
        <w:t xml:space="preserve"> for the years 2017 and 2018</w:t>
      </w:r>
      <w:r w:rsidR="0005556E" w:rsidRPr="00D558BA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043552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AA6722">
        <w:rPr>
          <w:rFonts w:ascii="Times New Roman" w:hAnsi="Times New Roman" w:cs="Times New Roman"/>
          <w:color w:val="2B2B2B"/>
          <w:sz w:val="24"/>
          <w:szCs w:val="24"/>
        </w:rPr>
        <w:t xml:space="preserve">Two colors are used to identify </w:t>
      </w:r>
      <w:r w:rsidR="009C7077">
        <w:rPr>
          <w:rFonts w:ascii="Times New Roman" w:hAnsi="Times New Roman" w:cs="Times New Roman"/>
          <w:color w:val="2B2B2B"/>
          <w:sz w:val="24"/>
          <w:szCs w:val="24"/>
        </w:rPr>
        <w:t xml:space="preserve">positive and negative </w:t>
      </w:r>
      <w:r w:rsidR="00F73D2A">
        <w:rPr>
          <w:rFonts w:ascii="Times New Roman" w:hAnsi="Times New Roman" w:cs="Times New Roman"/>
          <w:color w:val="2B2B2B"/>
          <w:sz w:val="24"/>
          <w:szCs w:val="24"/>
        </w:rPr>
        <w:t>returns. Green color shows positive return</w:t>
      </w:r>
      <w:r w:rsidR="00771EDF">
        <w:rPr>
          <w:rFonts w:ascii="Times New Roman" w:hAnsi="Times New Roman" w:cs="Times New Roman"/>
          <w:color w:val="2B2B2B"/>
          <w:sz w:val="24"/>
          <w:szCs w:val="24"/>
        </w:rPr>
        <w:t xml:space="preserve"> and red color shows negative returns</w:t>
      </w:r>
      <w:r w:rsidR="00680099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r w:rsidR="00125BFD">
        <w:rPr>
          <w:rFonts w:ascii="Times New Roman" w:hAnsi="Times New Roman" w:cs="Times New Roman"/>
          <w:color w:val="2B2B2B"/>
          <w:sz w:val="24"/>
          <w:szCs w:val="24"/>
        </w:rPr>
        <w:t xml:space="preserve">I used the VBA codes shown at the end of this subtopic to color cells in the table. Further, </w:t>
      </w:r>
      <w:r w:rsidR="00680099">
        <w:rPr>
          <w:rFonts w:ascii="Times New Roman" w:hAnsi="Times New Roman" w:cs="Times New Roman"/>
          <w:color w:val="2B2B2B"/>
          <w:sz w:val="24"/>
          <w:szCs w:val="24"/>
        </w:rPr>
        <w:t xml:space="preserve">Initially the analysis was done only for </w:t>
      </w:r>
      <w:r w:rsidR="00933A5D">
        <w:rPr>
          <w:rFonts w:ascii="Times New Roman" w:hAnsi="Times New Roman" w:cs="Times New Roman"/>
          <w:color w:val="2B2B2B"/>
          <w:sz w:val="24"/>
          <w:szCs w:val="24"/>
        </w:rPr>
        <w:t xml:space="preserve">2018. However, </w:t>
      </w:r>
      <w:r w:rsidR="001A6FA0">
        <w:rPr>
          <w:rFonts w:ascii="Times New Roman" w:hAnsi="Times New Roman" w:cs="Times New Roman"/>
          <w:color w:val="2B2B2B"/>
          <w:sz w:val="24"/>
          <w:szCs w:val="24"/>
        </w:rPr>
        <w:t>using a</w:t>
      </w:r>
      <w:r w:rsidR="00983B51">
        <w:rPr>
          <w:rFonts w:ascii="Times New Roman" w:hAnsi="Times New Roman" w:cs="Times New Roman"/>
          <w:color w:val="2B2B2B"/>
          <w:sz w:val="24"/>
          <w:szCs w:val="24"/>
        </w:rPr>
        <w:t xml:space="preserve"> ‘</w:t>
      </w:r>
      <w:proofErr w:type="spellStart"/>
      <w:r w:rsidR="00983B51">
        <w:rPr>
          <w:rFonts w:ascii="Times New Roman" w:hAnsi="Times New Roman" w:cs="Times New Roman"/>
          <w:color w:val="2B2B2B"/>
          <w:sz w:val="24"/>
          <w:szCs w:val="24"/>
        </w:rPr>
        <w:t>yearValue</w:t>
      </w:r>
      <w:proofErr w:type="spellEnd"/>
      <w:r w:rsidR="00983B51">
        <w:rPr>
          <w:rFonts w:ascii="Times New Roman" w:hAnsi="Times New Roman" w:cs="Times New Roman"/>
          <w:color w:val="2B2B2B"/>
          <w:sz w:val="24"/>
          <w:szCs w:val="24"/>
        </w:rPr>
        <w:t>’</w:t>
      </w:r>
      <w:r w:rsidR="00680099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83B51">
        <w:rPr>
          <w:rFonts w:ascii="Times New Roman" w:hAnsi="Times New Roman" w:cs="Times New Roman"/>
          <w:color w:val="2B2B2B"/>
          <w:sz w:val="24"/>
          <w:szCs w:val="24"/>
        </w:rPr>
        <w:t xml:space="preserve">variable in the </w:t>
      </w:r>
      <w:r w:rsidR="009C043D">
        <w:rPr>
          <w:rFonts w:ascii="Times New Roman" w:hAnsi="Times New Roman" w:cs="Times New Roman"/>
          <w:color w:val="2B2B2B"/>
          <w:sz w:val="24"/>
          <w:szCs w:val="24"/>
        </w:rPr>
        <w:t>‘</w:t>
      </w:r>
      <w:proofErr w:type="spellStart"/>
      <w:r w:rsidR="001753FC">
        <w:rPr>
          <w:rFonts w:ascii="Times New Roman" w:hAnsi="Times New Roman" w:cs="Times New Roman"/>
          <w:color w:val="2B2B2B"/>
          <w:sz w:val="24"/>
          <w:szCs w:val="24"/>
        </w:rPr>
        <w:t>InputBox</w:t>
      </w:r>
      <w:proofErr w:type="spellEnd"/>
      <w:r w:rsidR="009C043D">
        <w:rPr>
          <w:rFonts w:ascii="Times New Roman" w:hAnsi="Times New Roman" w:cs="Times New Roman"/>
          <w:color w:val="2B2B2B"/>
          <w:sz w:val="24"/>
          <w:szCs w:val="24"/>
        </w:rPr>
        <w:t>’</w:t>
      </w:r>
      <w:r w:rsidR="001753FC">
        <w:rPr>
          <w:rFonts w:ascii="Times New Roman" w:hAnsi="Times New Roman" w:cs="Times New Roman"/>
          <w:color w:val="2B2B2B"/>
          <w:sz w:val="24"/>
          <w:szCs w:val="24"/>
        </w:rPr>
        <w:t xml:space="preserve"> syntax</w:t>
      </w:r>
      <w:r w:rsidR="00496865">
        <w:rPr>
          <w:rFonts w:ascii="Times New Roman" w:hAnsi="Times New Roman" w:cs="Times New Roman"/>
          <w:color w:val="2B2B2B"/>
          <w:sz w:val="24"/>
          <w:szCs w:val="24"/>
        </w:rPr>
        <w:t xml:space="preserve">, we can </w:t>
      </w:r>
      <w:r w:rsidR="0045238B">
        <w:rPr>
          <w:rFonts w:ascii="Times New Roman" w:hAnsi="Times New Roman" w:cs="Times New Roman"/>
          <w:color w:val="2B2B2B"/>
          <w:sz w:val="24"/>
          <w:szCs w:val="24"/>
        </w:rPr>
        <w:t>produce results for both years 2017 and 2018</w:t>
      </w:r>
      <w:r w:rsidR="001A6FA0">
        <w:rPr>
          <w:rFonts w:ascii="Times New Roman" w:hAnsi="Times New Roman" w:cs="Times New Roman"/>
          <w:color w:val="2B2B2B"/>
          <w:sz w:val="24"/>
          <w:szCs w:val="24"/>
        </w:rPr>
        <w:t>(see s</w:t>
      </w:r>
      <w:r w:rsidR="009C043D">
        <w:rPr>
          <w:rFonts w:ascii="Times New Roman" w:hAnsi="Times New Roman" w:cs="Times New Roman"/>
          <w:color w:val="2B2B2B"/>
          <w:sz w:val="24"/>
          <w:szCs w:val="24"/>
        </w:rPr>
        <w:t xml:space="preserve">ample codes </w:t>
      </w:r>
      <w:r w:rsidR="002B31E1">
        <w:rPr>
          <w:rFonts w:ascii="Times New Roman" w:hAnsi="Times New Roman" w:cs="Times New Roman"/>
          <w:color w:val="2B2B2B"/>
          <w:sz w:val="24"/>
          <w:szCs w:val="24"/>
        </w:rPr>
        <w:t>at the end of this subtopic)</w:t>
      </w:r>
      <w:r w:rsidR="0045238B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</w:p>
    <w:tbl>
      <w:tblPr>
        <w:tblW w:w="4337" w:type="dxa"/>
        <w:jc w:val="center"/>
        <w:tblLook w:val="04A0" w:firstRow="1" w:lastRow="0" w:firstColumn="1" w:lastColumn="0" w:noHBand="0" w:noVBand="1"/>
      </w:tblPr>
      <w:tblGrid>
        <w:gridCol w:w="1544"/>
        <w:gridCol w:w="1396"/>
        <w:gridCol w:w="1397"/>
      </w:tblGrid>
      <w:tr w:rsidR="009C14AC" w:rsidRPr="009C14AC" w14:paraId="1CD465E3" w14:textId="77777777" w:rsidTr="00B6131A">
        <w:trPr>
          <w:trHeight w:val="262"/>
          <w:jc w:val="center"/>
        </w:trPr>
        <w:tc>
          <w:tcPr>
            <w:tcW w:w="4337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87EE78" w14:textId="42B31F2A" w:rsidR="009C14AC" w:rsidRPr="00C20ED9" w:rsidRDefault="002B31E1" w:rsidP="009C1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  <w:r w:rsidR="00C20ED9" w:rsidRPr="00C20E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-1: </w:t>
            </w:r>
            <w:r w:rsidR="00C20ED9" w:rsidRPr="00C20ED9">
              <w:rPr>
                <w:rFonts w:ascii="Calibri" w:eastAsia="Times New Roman" w:hAnsi="Calibri" w:cs="Calibri"/>
                <w:b/>
                <w:bCs/>
                <w:color w:val="000000"/>
              </w:rPr>
              <w:t>Returns (</w:t>
            </w:r>
            <w:r w:rsidR="00C20ED9" w:rsidRPr="00C20ED9">
              <w:rPr>
                <w:rFonts w:ascii="Calibri" w:eastAsia="Times New Roman" w:hAnsi="Calibri" w:cs="Calibri"/>
                <w:b/>
                <w:bCs/>
                <w:color w:val="000000"/>
              </w:rPr>
              <w:t>%) of</w:t>
            </w:r>
            <w:r w:rsidR="00021AB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021ABE" w:rsidRPr="00C20ED9">
              <w:rPr>
                <w:rFonts w:ascii="Calibri" w:eastAsia="Times New Roman" w:hAnsi="Calibri" w:cs="Calibri"/>
                <w:b/>
                <w:bCs/>
                <w:color w:val="000000"/>
              </w:rPr>
              <w:t>green energy</w:t>
            </w:r>
            <w:r w:rsidR="00C20ED9" w:rsidRPr="00C20E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stock </w:t>
            </w:r>
            <w:r w:rsidR="00021ABE" w:rsidRPr="00C20ED9">
              <w:rPr>
                <w:rFonts w:ascii="Calibri" w:eastAsia="Times New Roman" w:hAnsi="Calibri" w:cs="Calibri"/>
                <w:b/>
                <w:bCs/>
                <w:color w:val="000000"/>
              </w:rPr>
              <w:t>investment for</w:t>
            </w:r>
            <w:r w:rsidR="00C20ED9" w:rsidRPr="00C20E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the years 2017 and 2018</w:t>
            </w:r>
          </w:p>
        </w:tc>
      </w:tr>
      <w:tr w:rsidR="009C14AC" w:rsidRPr="009C14AC" w14:paraId="03D0A9C2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232E8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14AC">
              <w:rPr>
                <w:rFonts w:ascii="Calibri" w:eastAsia="Times New Roman" w:hAnsi="Calibri" w:cs="Calibri"/>
                <w:b/>
                <w:bCs/>
                <w:color w:val="000000"/>
              </w:rPr>
              <w:t>Ticker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F7DA41" w14:textId="5BE98B34" w:rsidR="009C14AC" w:rsidRPr="009C14AC" w:rsidRDefault="00583C80" w:rsidP="009C1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14AC">
              <w:rPr>
                <w:rFonts w:ascii="Calibri" w:eastAsia="Times New Roman" w:hAnsi="Calibri" w:cs="Calibri"/>
                <w:b/>
                <w:bCs/>
                <w:color w:val="000000"/>
              </w:rPr>
              <w:t>Return (</w:t>
            </w:r>
            <w:r w:rsidR="009C14AC" w:rsidRPr="009C14AC">
              <w:rPr>
                <w:rFonts w:ascii="Calibri" w:eastAsia="Times New Roman" w:hAnsi="Calibri" w:cs="Calibri"/>
                <w:b/>
                <w:bCs/>
                <w:color w:val="000000"/>
              </w:rPr>
              <w:t>2017)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CBFA4" w14:textId="12A34345" w:rsidR="009C14AC" w:rsidRPr="009C14AC" w:rsidRDefault="00583C80" w:rsidP="009C14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14AC">
              <w:rPr>
                <w:rFonts w:ascii="Calibri" w:eastAsia="Times New Roman" w:hAnsi="Calibri" w:cs="Calibri"/>
                <w:b/>
                <w:bCs/>
                <w:color w:val="000000"/>
              </w:rPr>
              <w:t>Return (</w:t>
            </w:r>
            <w:r w:rsidR="009C14AC" w:rsidRPr="009C14AC">
              <w:rPr>
                <w:rFonts w:ascii="Calibri" w:eastAsia="Times New Roman" w:hAnsi="Calibri" w:cs="Calibri"/>
                <w:b/>
                <w:bCs/>
                <w:color w:val="000000"/>
              </w:rPr>
              <w:t>2018)</w:t>
            </w:r>
          </w:p>
        </w:tc>
      </w:tr>
      <w:tr w:rsidR="009C14AC" w:rsidRPr="009C14AC" w14:paraId="305A4886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2D46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AY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8EC04E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8.9%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743D23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-7.3%</w:t>
            </w:r>
          </w:p>
        </w:tc>
      </w:tr>
      <w:tr w:rsidR="009C14AC" w:rsidRPr="009C14AC" w14:paraId="1B9232F2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0A3C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CSIQ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9E5333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33.1%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EA963B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-16.3%</w:t>
            </w:r>
          </w:p>
        </w:tc>
      </w:tr>
      <w:tr w:rsidR="009C14AC" w:rsidRPr="009C14AC" w14:paraId="543B49ED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3BC4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DQ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369D7B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199.4%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4431E6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-62.6%</w:t>
            </w:r>
          </w:p>
        </w:tc>
      </w:tr>
      <w:tr w:rsidR="009C14AC" w:rsidRPr="009C14AC" w14:paraId="2FFB970B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EF3B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ENPH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D94DA7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129.5%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84C161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81.9%</w:t>
            </w:r>
          </w:p>
        </w:tc>
      </w:tr>
      <w:tr w:rsidR="009C14AC" w:rsidRPr="009C14AC" w14:paraId="1AE7EDBA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5956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FSLR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161801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101.3%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A39716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-39.7%</w:t>
            </w:r>
          </w:p>
        </w:tc>
      </w:tr>
      <w:tr w:rsidR="009C14AC" w:rsidRPr="009C14AC" w14:paraId="52FC287F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BE07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HASI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61FAFF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25.8%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E6C40D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-20.7%</w:t>
            </w:r>
          </w:p>
        </w:tc>
      </w:tr>
      <w:tr w:rsidR="009C14AC" w:rsidRPr="009C14AC" w14:paraId="6B2B1BEF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A810E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JKS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25C5A9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53.9%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1CBA7C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-60.5%</w:t>
            </w:r>
          </w:p>
        </w:tc>
      </w:tr>
      <w:tr w:rsidR="009C14AC" w:rsidRPr="009C14AC" w14:paraId="08C45AFF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8773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RUN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E828B5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5.5%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6E912E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84.0%</w:t>
            </w:r>
          </w:p>
        </w:tc>
      </w:tr>
      <w:tr w:rsidR="009C14AC" w:rsidRPr="009C14AC" w14:paraId="073BEB44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8E79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SEDG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DDADC0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184.5%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5F408B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-7.8%</w:t>
            </w:r>
          </w:p>
        </w:tc>
      </w:tr>
      <w:tr w:rsidR="009C14AC" w:rsidRPr="009C14AC" w14:paraId="1B23FEC8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5038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SPWR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BB36E2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23.1%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353AF8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-44.6%</w:t>
            </w:r>
          </w:p>
        </w:tc>
      </w:tr>
      <w:tr w:rsidR="009C14AC" w:rsidRPr="009C14AC" w14:paraId="6AD96ACC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0B75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TERP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AE6850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-7.2%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E4929D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-5.0%</w:t>
            </w:r>
          </w:p>
        </w:tc>
      </w:tr>
      <w:tr w:rsidR="009C14AC" w:rsidRPr="009C14AC" w14:paraId="097A4219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3052D" w14:textId="77777777" w:rsidR="009C14AC" w:rsidRPr="009C14AC" w:rsidRDefault="009C14AC" w:rsidP="009C14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VSLR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FF00"/>
            <w:noWrap/>
            <w:vAlign w:val="bottom"/>
            <w:hideMark/>
          </w:tcPr>
          <w:p w14:paraId="6D4A6CEE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50.0%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5B41E1A4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C14AC">
              <w:rPr>
                <w:rFonts w:ascii="Calibri" w:eastAsia="Times New Roman" w:hAnsi="Calibri" w:cs="Calibri"/>
                <w:color w:val="000000"/>
              </w:rPr>
              <w:t>-3.5%</w:t>
            </w:r>
          </w:p>
        </w:tc>
      </w:tr>
      <w:tr w:rsidR="009C14AC" w:rsidRPr="009C14AC" w14:paraId="3D8BD5A8" w14:textId="77777777" w:rsidTr="00B6131A">
        <w:trPr>
          <w:trHeight w:val="262"/>
          <w:jc w:val="center"/>
        </w:trPr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73AD" w14:textId="77777777" w:rsidR="009C14AC" w:rsidRPr="009C14AC" w:rsidRDefault="009C14AC" w:rsidP="009C14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8F56" w14:textId="77777777" w:rsidR="009C14AC" w:rsidRPr="009C14AC" w:rsidRDefault="009C14AC" w:rsidP="009C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A7C5" w14:textId="77777777" w:rsidR="009C14AC" w:rsidRPr="009C14AC" w:rsidRDefault="009C14AC" w:rsidP="009C14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F864EA" w14:textId="364CB551" w:rsidR="009C14AC" w:rsidRPr="00D558BA" w:rsidRDefault="00583C80" w:rsidP="003540B3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Results from Table-1 shows that </w:t>
      </w:r>
      <w:r w:rsidR="00282408">
        <w:rPr>
          <w:rFonts w:ascii="Times New Roman" w:hAnsi="Times New Roman" w:cs="Times New Roman"/>
          <w:color w:val="2B2B2B"/>
          <w:sz w:val="24"/>
          <w:szCs w:val="24"/>
        </w:rPr>
        <w:t>most companies had positive return for the year 201</w:t>
      </w:r>
      <w:r w:rsidR="001407FC">
        <w:rPr>
          <w:rFonts w:ascii="Times New Roman" w:hAnsi="Times New Roman" w:cs="Times New Roman"/>
          <w:color w:val="2B2B2B"/>
          <w:sz w:val="24"/>
          <w:szCs w:val="24"/>
        </w:rPr>
        <w:t xml:space="preserve">7 except for TERP. The </w:t>
      </w:r>
      <w:r w:rsidR="001407FC">
        <w:rPr>
          <w:rFonts w:ascii="Times New Roman" w:hAnsi="Times New Roman" w:cs="Times New Roman"/>
          <w:color w:val="2B2B2B"/>
          <w:sz w:val="24"/>
          <w:szCs w:val="24"/>
        </w:rPr>
        <w:t>DAQO New Energy Corporation (DQ),</w:t>
      </w:r>
      <w:r w:rsidR="001407FC">
        <w:rPr>
          <w:rFonts w:ascii="Times New Roman" w:hAnsi="Times New Roman" w:cs="Times New Roman"/>
          <w:color w:val="2B2B2B"/>
          <w:sz w:val="24"/>
          <w:szCs w:val="24"/>
        </w:rPr>
        <w:t xml:space="preserve"> which Steve parents were initially interested in to </w:t>
      </w:r>
      <w:proofErr w:type="gramStart"/>
      <w:r w:rsidR="00D72609">
        <w:rPr>
          <w:rFonts w:ascii="Times New Roman" w:hAnsi="Times New Roman" w:cs="Times New Roman"/>
          <w:color w:val="2B2B2B"/>
          <w:sz w:val="24"/>
          <w:szCs w:val="24"/>
        </w:rPr>
        <w:t xml:space="preserve">invest </w:t>
      </w:r>
      <w:r w:rsidR="001407FC">
        <w:rPr>
          <w:rFonts w:ascii="Times New Roman" w:hAnsi="Times New Roman" w:cs="Times New Roman"/>
          <w:color w:val="2B2B2B"/>
          <w:sz w:val="24"/>
          <w:szCs w:val="24"/>
        </w:rPr>
        <w:t xml:space="preserve"> all</w:t>
      </w:r>
      <w:proofErr w:type="gramEnd"/>
      <w:r w:rsidR="001407FC">
        <w:rPr>
          <w:rFonts w:ascii="Times New Roman" w:hAnsi="Times New Roman" w:cs="Times New Roman"/>
          <w:color w:val="2B2B2B"/>
          <w:sz w:val="24"/>
          <w:szCs w:val="24"/>
        </w:rPr>
        <w:t xml:space="preserve"> their money</w:t>
      </w:r>
      <w:r w:rsidR="003B385B">
        <w:rPr>
          <w:rFonts w:ascii="Times New Roman" w:hAnsi="Times New Roman" w:cs="Times New Roman"/>
          <w:color w:val="2B2B2B"/>
          <w:sz w:val="24"/>
          <w:szCs w:val="24"/>
        </w:rPr>
        <w:t xml:space="preserve"> on</w:t>
      </w:r>
      <w:r w:rsidR="001407FC">
        <w:rPr>
          <w:rFonts w:ascii="Times New Roman" w:hAnsi="Times New Roman" w:cs="Times New Roman"/>
          <w:color w:val="2B2B2B"/>
          <w:sz w:val="24"/>
          <w:szCs w:val="24"/>
        </w:rPr>
        <w:t>, had in fact, the highest return(about</w:t>
      </w:r>
      <w:r w:rsidR="00D43CA2">
        <w:rPr>
          <w:rFonts w:ascii="Times New Roman" w:hAnsi="Times New Roman" w:cs="Times New Roman"/>
          <w:color w:val="2B2B2B"/>
          <w:sz w:val="24"/>
          <w:szCs w:val="24"/>
        </w:rPr>
        <w:t xml:space="preserve"> 199%). </w:t>
      </w:r>
      <w:r w:rsidR="00507527">
        <w:rPr>
          <w:rFonts w:ascii="Times New Roman" w:hAnsi="Times New Roman" w:cs="Times New Roman"/>
          <w:color w:val="2B2B2B"/>
          <w:sz w:val="24"/>
          <w:szCs w:val="24"/>
        </w:rPr>
        <w:t xml:space="preserve"> SEDG and ENPH were the second and third companies with highest return on their stock investment. </w:t>
      </w:r>
      <w:r w:rsidR="001407FC">
        <w:rPr>
          <w:rFonts w:ascii="Times New Roman" w:hAnsi="Times New Roman" w:cs="Times New Roman"/>
          <w:color w:val="2B2B2B"/>
          <w:sz w:val="24"/>
          <w:szCs w:val="24"/>
        </w:rPr>
        <w:t xml:space="preserve">  </w:t>
      </w:r>
      <w:r w:rsidR="009056CA">
        <w:rPr>
          <w:rFonts w:ascii="Times New Roman" w:hAnsi="Times New Roman" w:cs="Times New Roman"/>
          <w:color w:val="2B2B2B"/>
          <w:sz w:val="24"/>
          <w:szCs w:val="24"/>
        </w:rPr>
        <w:t xml:space="preserve">However, in 2018, most companies have </w:t>
      </w:r>
      <w:r w:rsidR="00F34F41">
        <w:rPr>
          <w:rFonts w:ascii="Times New Roman" w:hAnsi="Times New Roman" w:cs="Times New Roman"/>
          <w:color w:val="2B2B2B"/>
          <w:sz w:val="24"/>
          <w:szCs w:val="24"/>
        </w:rPr>
        <w:t>negative stock investment return</w:t>
      </w:r>
      <w:r w:rsidR="00137DBA">
        <w:rPr>
          <w:rFonts w:ascii="Times New Roman" w:hAnsi="Times New Roman" w:cs="Times New Roman"/>
          <w:color w:val="2B2B2B"/>
          <w:sz w:val="24"/>
          <w:szCs w:val="24"/>
        </w:rPr>
        <w:t xml:space="preserve"> except EPNH and RUN. </w:t>
      </w:r>
      <w:r w:rsidR="00F34F41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5D3A66">
        <w:rPr>
          <w:rFonts w:ascii="Times New Roman" w:hAnsi="Times New Roman" w:cs="Times New Roman"/>
          <w:color w:val="2B2B2B"/>
          <w:sz w:val="24"/>
          <w:szCs w:val="24"/>
        </w:rPr>
        <w:t>EPNH</w:t>
      </w:r>
      <w:r w:rsidR="005D3A66">
        <w:rPr>
          <w:rFonts w:ascii="Times New Roman" w:hAnsi="Times New Roman" w:cs="Times New Roman"/>
          <w:color w:val="2B2B2B"/>
          <w:sz w:val="24"/>
          <w:szCs w:val="24"/>
        </w:rPr>
        <w:t xml:space="preserve"> had consistently positive </w:t>
      </w:r>
      <w:r w:rsidR="007E2E28">
        <w:rPr>
          <w:rFonts w:ascii="Times New Roman" w:hAnsi="Times New Roman" w:cs="Times New Roman"/>
          <w:color w:val="2B2B2B"/>
          <w:sz w:val="24"/>
          <w:szCs w:val="24"/>
        </w:rPr>
        <w:t xml:space="preserve">stock investment return. </w:t>
      </w:r>
      <w:r w:rsidR="008B4E28">
        <w:rPr>
          <w:rFonts w:ascii="Times New Roman" w:hAnsi="Times New Roman" w:cs="Times New Roman"/>
          <w:color w:val="2B2B2B"/>
          <w:sz w:val="24"/>
          <w:szCs w:val="24"/>
        </w:rPr>
        <w:t>DQ return</w:t>
      </w:r>
      <w:r w:rsidR="007E2E28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7B233A">
        <w:rPr>
          <w:rFonts w:ascii="Times New Roman" w:hAnsi="Times New Roman" w:cs="Times New Roman"/>
          <w:color w:val="2B2B2B"/>
          <w:sz w:val="24"/>
          <w:szCs w:val="24"/>
        </w:rPr>
        <w:t>had</w:t>
      </w:r>
      <w:r w:rsidR="00735005">
        <w:rPr>
          <w:rFonts w:ascii="Times New Roman" w:hAnsi="Times New Roman" w:cs="Times New Roman"/>
          <w:color w:val="2B2B2B"/>
          <w:sz w:val="24"/>
          <w:szCs w:val="24"/>
        </w:rPr>
        <w:t xml:space="preserve"> about -63%</w:t>
      </w:r>
      <w:r w:rsidR="007B233A">
        <w:rPr>
          <w:rFonts w:ascii="Times New Roman" w:hAnsi="Times New Roman" w:cs="Times New Roman"/>
          <w:color w:val="2B2B2B"/>
          <w:sz w:val="24"/>
          <w:szCs w:val="24"/>
        </w:rPr>
        <w:t xml:space="preserve"> return</w:t>
      </w:r>
      <w:r w:rsidR="00735005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6E5A9E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6E5A9E">
        <w:rPr>
          <w:rFonts w:ascii="Times New Roman" w:hAnsi="Times New Roman" w:cs="Times New Roman"/>
          <w:color w:val="2B2B2B"/>
          <w:sz w:val="24"/>
          <w:szCs w:val="24"/>
        </w:rPr>
        <w:t>SEDG</w:t>
      </w:r>
      <w:r w:rsidR="006E5A9E">
        <w:rPr>
          <w:rFonts w:ascii="Times New Roman" w:hAnsi="Times New Roman" w:cs="Times New Roman"/>
          <w:color w:val="2B2B2B"/>
          <w:sz w:val="24"/>
          <w:szCs w:val="24"/>
        </w:rPr>
        <w:t xml:space="preserve"> which had second highest positive ret</w:t>
      </w:r>
      <w:r w:rsidR="005E2F10">
        <w:rPr>
          <w:rFonts w:ascii="Times New Roman" w:hAnsi="Times New Roman" w:cs="Times New Roman"/>
          <w:color w:val="2B2B2B"/>
          <w:sz w:val="24"/>
          <w:szCs w:val="24"/>
        </w:rPr>
        <w:t xml:space="preserve">urn in 2017, </w:t>
      </w:r>
      <w:r w:rsidR="007B233A">
        <w:rPr>
          <w:rFonts w:ascii="Times New Roman" w:hAnsi="Times New Roman" w:cs="Times New Roman"/>
          <w:color w:val="2B2B2B"/>
          <w:sz w:val="24"/>
          <w:szCs w:val="24"/>
        </w:rPr>
        <w:t>had</w:t>
      </w:r>
      <w:r w:rsidR="005E2F1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D951F9">
        <w:rPr>
          <w:rFonts w:ascii="Times New Roman" w:hAnsi="Times New Roman" w:cs="Times New Roman"/>
          <w:color w:val="2B2B2B"/>
          <w:sz w:val="24"/>
          <w:szCs w:val="24"/>
        </w:rPr>
        <w:t>about -8%</w:t>
      </w:r>
      <w:r w:rsidR="007B233A">
        <w:rPr>
          <w:rFonts w:ascii="Times New Roman" w:hAnsi="Times New Roman" w:cs="Times New Roman"/>
          <w:color w:val="2B2B2B"/>
          <w:sz w:val="24"/>
          <w:szCs w:val="24"/>
        </w:rPr>
        <w:t xml:space="preserve"> return</w:t>
      </w:r>
      <w:r w:rsidR="00D951F9">
        <w:rPr>
          <w:rFonts w:ascii="Times New Roman" w:hAnsi="Times New Roman" w:cs="Times New Roman"/>
          <w:color w:val="2B2B2B"/>
          <w:sz w:val="24"/>
          <w:szCs w:val="24"/>
        </w:rPr>
        <w:t xml:space="preserve">, which is much </w:t>
      </w:r>
      <w:proofErr w:type="spellStart"/>
      <w:r w:rsidR="00D704B9">
        <w:rPr>
          <w:rFonts w:ascii="Times New Roman" w:hAnsi="Times New Roman" w:cs="Times New Roman"/>
          <w:color w:val="2B2B2B"/>
          <w:sz w:val="24"/>
          <w:szCs w:val="24"/>
        </w:rPr>
        <w:t>higer</w:t>
      </w:r>
      <w:proofErr w:type="spellEnd"/>
      <w:r w:rsidR="00D951F9">
        <w:rPr>
          <w:rFonts w:ascii="Times New Roman" w:hAnsi="Times New Roman" w:cs="Times New Roman"/>
          <w:color w:val="2B2B2B"/>
          <w:sz w:val="24"/>
          <w:szCs w:val="24"/>
        </w:rPr>
        <w:t xml:space="preserve"> than DQ’s return in 2018. </w:t>
      </w:r>
      <w:r w:rsidR="00735005">
        <w:rPr>
          <w:rFonts w:ascii="Times New Roman" w:hAnsi="Times New Roman" w:cs="Times New Roman"/>
          <w:color w:val="2B2B2B"/>
          <w:sz w:val="24"/>
          <w:szCs w:val="24"/>
        </w:rPr>
        <w:t xml:space="preserve"> Given the </w:t>
      </w:r>
      <w:r w:rsidR="00D704B9">
        <w:rPr>
          <w:rFonts w:ascii="Times New Roman" w:hAnsi="Times New Roman" w:cs="Times New Roman"/>
          <w:color w:val="2B2B2B"/>
          <w:sz w:val="24"/>
          <w:szCs w:val="24"/>
        </w:rPr>
        <w:t>stock re</w:t>
      </w:r>
      <w:r w:rsidR="009B3982">
        <w:rPr>
          <w:rFonts w:ascii="Times New Roman" w:hAnsi="Times New Roman" w:cs="Times New Roman"/>
          <w:color w:val="2B2B2B"/>
          <w:sz w:val="24"/>
          <w:szCs w:val="24"/>
        </w:rPr>
        <w:t>turn</w:t>
      </w:r>
      <w:r w:rsidR="008F01B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B3982">
        <w:rPr>
          <w:rFonts w:ascii="Times New Roman" w:hAnsi="Times New Roman" w:cs="Times New Roman"/>
          <w:color w:val="2B2B2B"/>
          <w:sz w:val="24"/>
          <w:szCs w:val="24"/>
        </w:rPr>
        <w:t>variability,</w:t>
      </w:r>
      <w:r w:rsidR="008B4E28">
        <w:rPr>
          <w:rFonts w:ascii="Times New Roman" w:hAnsi="Times New Roman" w:cs="Times New Roman"/>
          <w:color w:val="2B2B2B"/>
          <w:sz w:val="24"/>
          <w:szCs w:val="24"/>
        </w:rPr>
        <w:t xml:space="preserve"> I agree with </w:t>
      </w:r>
      <w:r w:rsidR="000F3A65">
        <w:rPr>
          <w:rFonts w:ascii="Times New Roman" w:hAnsi="Times New Roman" w:cs="Times New Roman"/>
          <w:color w:val="2B2B2B"/>
          <w:sz w:val="24"/>
          <w:szCs w:val="24"/>
        </w:rPr>
        <w:t>S</w:t>
      </w:r>
      <w:r w:rsidR="008B4E28">
        <w:rPr>
          <w:rFonts w:ascii="Times New Roman" w:hAnsi="Times New Roman" w:cs="Times New Roman"/>
          <w:color w:val="2B2B2B"/>
          <w:sz w:val="24"/>
          <w:szCs w:val="24"/>
        </w:rPr>
        <w:t>teeve tha</w:t>
      </w:r>
      <w:r w:rsidR="000F3A65">
        <w:rPr>
          <w:rFonts w:ascii="Times New Roman" w:hAnsi="Times New Roman" w:cs="Times New Roman"/>
          <w:color w:val="2B2B2B"/>
          <w:sz w:val="24"/>
          <w:szCs w:val="24"/>
        </w:rPr>
        <w:t xml:space="preserve">t </w:t>
      </w:r>
      <w:r w:rsidR="008B4E28">
        <w:rPr>
          <w:rFonts w:ascii="Times New Roman" w:hAnsi="Times New Roman" w:cs="Times New Roman"/>
          <w:color w:val="2B2B2B"/>
          <w:sz w:val="24"/>
          <w:szCs w:val="24"/>
        </w:rPr>
        <w:t xml:space="preserve">it is not good idea to make </w:t>
      </w:r>
      <w:r w:rsidR="000F3A65">
        <w:rPr>
          <w:rFonts w:ascii="Times New Roman" w:hAnsi="Times New Roman" w:cs="Times New Roman"/>
          <w:color w:val="2B2B2B"/>
          <w:sz w:val="24"/>
          <w:szCs w:val="24"/>
        </w:rPr>
        <w:t xml:space="preserve">all money invested in one company. </w:t>
      </w:r>
      <w:r w:rsidR="006E5A9E">
        <w:rPr>
          <w:rFonts w:ascii="Times New Roman" w:hAnsi="Times New Roman" w:cs="Times New Roman"/>
          <w:color w:val="2B2B2B"/>
          <w:sz w:val="24"/>
          <w:szCs w:val="24"/>
        </w:rPr>
        <w:t xml:space="preserve">Given the </w:t>
      </w:r>
      <w:r w:rsidR="008F01B0">
        <w:rPr>
          <w:rFonts w:ascii="Times New Roman" w:hAnsi="Times New Roman" w:cs="Times New Roman"/>
          <w:color w:val="2B2B2B"/>
          <w:sz w:val="24"/>
          <w:szCs w:val="24"/>
        </w:rPr>
        <w:t xml:space="preserve">results </w:t>
      </w:r>
      <w:r w:rsidR="0034477F">
        <w:rPr>
          <w:rFonts w:ascii="Times New Roman" w:hAnsi="Times New Roman" w:cs="Times New Roman"/>
          <w:color w:val="2B2B2B"/>
          <w:sz w:val="24"/>
          <w:szCs w:val="24"/>
        </w:rPr>
        <w:t xml:space="preserve">for 2017 and 2018, I advise </w:t>
      </w:r>
      <w:r w:rsidR="001542FC">
        <w:rPr>
          <w:rFonts w:ascii="Times New Roman" w:hAnsi="Times New Roman" w:cs="Times New Roman"/>
          <w:color w:val="2B2B2B"/>
          <w:sz w:val="24"/>
          <w:szCs w:val="24"/>
        </w:rPr>
        <w:t xml:space="preserve">his parents </w:t>
      </w:r>
      <w:r w:rsidR="0034477F">
        <w:rPr>
          <w:rFonts w:ascii="Times New Roman" w:hAnsi="Times New Roman" w:cs="Times New Roman"/>
          <w:color w:val="2B2B2B"/>
          <w:sz w:val="24"/>
          <w:szCs w:val="24"/>
        </w:rPr>
        <w:t xml:space="preserve">first to </w:t>
      </w:r>
      <w:r w:rsidR="001542FC">
        <w:rPr>
          <w:rFonts w:ascii="Times New Roman" w:hAnsi="Times New Roman" w:cs="Times New Roman"/>
          <w:color w:val="2B2B2B"/>
          <w:sz w:val="24"/>
          <w:szCs w:val="24"/>
        </w:rPr>
        <w:t>consider EPNH</w:t>
      </w:r>
      <w:r w:rsidR="001658CD">
        <w:rPr>
          <w:rFonts w:ascii="Times New Roman" w:hAnsi="Times New Roman" w:cs="Times New Roman"/>
          <w:color w:val="2B2B2B"/>
          <w:sz w:val="24"/>
          <w:szCs w:val="24"/>
        </w:rPr>
        <w:t xml:space="preserve"> and </w:t>
      </w:r>
      <w:r w:rsidR="002802C0">
        <w:rPr>
          <w:rFonts w:ascii="Times New Roman" w:hAnsi="Times New Roman" w:cs="Times New Roman"/>
          <w:color w:val="2B2B2B"/>
          <w:sz w:val="24"/>
          <w:szCs w:val="24"/>
        </w:rPr>
        <w:t xml:space="preserve">add one or two additional companies like </w:t>
      </w:r>
      <w:r w:rsidR="000B3CCE">
        <w:rPr>
          <w:rFonts w:ascii="Times New Roman" w:hAnsi="Times New Roman" w:cs="Times New Roman"/>
          <w:color w:val="2B2B2B"/>
          <w:sz w:val="24"/>
          <w:szCs w:val="24"/>
        </w:rPr>
        <w:t xml:space="preserve">RUN, SEDG. </w:t>
      </w:r>
    </w:p>
    <w:p w14:paraId="06ED9F85" w14:textId="0D5ED190" w:rsidR="000A7577" w:rsidRDefault="00E34F23" w:rsidP="00AB6D5D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34F23">
        <w:rPr>
          <w:rFonts w:ascii="Times New Roman" w:hAnsi="Times New Roman" w:cs="Times New Roman"/>
          <w:noProof/>
          <w:color w:val="2B2B2B"/>
          <w:sz w:val="24"/>
          <w:szCs w:val="24"/>
        </w:rPr>
        <w:lastRenderedPageBreak/>
        <w:drawing>
          <wp:inline distT="0" distB="0" distL="0" distR="0" wp14:anchorId="221EFFA2" wp14:editId="11F51468">
            <wp:extent cx="5943176" cy="2854036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988" cy="28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F23">
        <w:rPr>
          <w:rFonts w:ascii="Times New Roman" w:hAnsi="Times New Roman" w:cs="Times New Roman"/>
          <w:noProof/>
          <w:color w:val="2B2B2B"/>
          <w:sz w:val="24"/>
          <w:szCs w:val="24"/>
        </w:rPr>
        <w:t xml:space="preserve"> </w:t>
      </w:r>
    </w:p>
    <w:p w14:paraId="5A41F3C5" w14:textId="7D0577DD" w:rsidR="000A7577" w:rsidRPr="004607AD" w:rsidRDefault="000A7577" w:rsidP="00AB6D5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209E4060" w14:textId="3A994F42" w:rsidR="000A7577" w:rsidRPr="004607AD" w:rsidRDefault="00667988" w:rsidP="0066798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4607AD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Analysis of </w:t>
      </w:r>
      <w:r w:rsidR="00412337">
        <w:rPr>
          <w:rFonts w:ascii="Times New Roman" w:hAnsi="Times New Roman" w:cs="Times New Roman"/>
          <w:b/>
          <w:bCs/>
          <w:color w:val="2B2B2B"/>
          <w:sz w:val="24"/>
          <w:szCs w:val="24"/>
        </w:rPr>
        <w:t>Stock trade volumes</w:t>
      </w:r>
    </w:p>
    <w:p w14:paraId="2BEC338E" w14:textId="42805566" w:rsidR="00C90247" w:rsidRDefault="00F64267" w:rsidP="00C9024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Stock </w:t>
      </w:r>
      <w:r w:rsidR="000C13BF">
        <w:rPr>
          <w:rFonts w:ascii="Times New Roman" w:hAnsi="Times New Roman" w:cs="Times New Roman"/>
          <w:color w:val="2B2B2B"/>
          <w:sz w:val="24"/>
          <w:szCs w:val="24"/>
        </w:rPr>
        <w:t>t</w:t>
      </w:r>
      <w:r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rade </w:t>
      </w:r>
      <w:r w:rsidR="000C13BF">
        <w:rPr>
          <w:rFonts w:ascii="Times New Roman" w:hAnsi="Times New Roman" w:cs="Times New Roman"/>
          <w:color w:val="2B2B2B"/>
          <w:sz w:val="24"/>
          <w:szCs w:val="24"/>
        </w:rPr>
        <w:t>v</w:t>
      </w:r>
      <w:r w:rsidR="00AB50C2"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olume </w:t>
      </w:r>
      <w:r w:rsidR="002D78F3" w:rsidRPr="000B6084">
        <w:rPr>
          <w:rFonts w:ascii="Times New Roman" w:hAnsi="Times New Roman" w:cs="Times New Roman"/>
          <w:color w:val="2B2B2B"/>
          <w:sz w:val="24"/>
          <w:szCs w:val="24"/>
        </w:rPr>
        <w:t>measures the quantity</w:t>
      </w:r>
      <w:r w:rsidR="00480BDB" w:rsidRPr="000B6084">
        <w:rPr>
          <w:rFonts w:ascii="Times New Roman" w:hAnsi="Times New Roman" w:cs="Times New Roman"/>
          <w:color w:val="2B2B2B"/>
          <w:sz w:val="24"/>
          <w:szCs w:val="24"/>
        </w:rPr>
        <w:t>(number)</w:t>
      </w:r>
      <w:r w:rsidR="002D78F3"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A61847" w:rsidRPr="000B6084">
        <w:rPr>
          <w:rFonts w:ascii="Times New Roman" w:hAnsi="Times New Roman" w:cs="Times New Roman"/>
          <w:color w:val="2B2B2B"/>
          <w:sz w:val="24"/>
          <w:szCs w:val="24"/>
        </w:rPr>
        <w:t>of shares</w:t>
      </w:r>
      <w:r w:rsidR="00480BDB"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2D78F3" w:rsidRPr="000B6084">
        <w:rPr>
          <w:rFonts w:ascii="Times New Roman" w:hAnsi="Times New Roman" w:cs="Times New Roman"/>
          <w:color w:val="2B2B2B"/>
          <w:sz w:val="24"/>
          <w:szCs w:val="24"/>
        </w:rPr>
        <w:t>trade</w:t>
      </w:r>
      <w:r w:rsidR="00480BDB"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d in a given period of time, in the current case, daily. </w:t>
      </w:r>
      <w:r w:rsidR="00AB50C2"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Volume can indicate market strength, as rising markets on increasing volume are typically viewed as strong and </w:t>
      </w:r>
      <w:r w:rsidR="00A61847" w:rsidRPr="000B6084">
        <w:rPr>
          <w:rFonts w:ascii="Times New Roman" w:hAnsi="Times New Roman" w:cs="Times New Roman"/>
          <w:color w:val="2B2B2B"/>
          <w:sz w:val="24"/>
          <w:szCs w:val="24"/>
        </w:rPr>
        <w:t>healthy (</w:t>
      </w:r>
      <w:r w:rsidR="003E7D29"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Cory </w:t>
      </w:r>
      <w:r w:rsidR="00260CA8" w:rsidRPr="000B6084">
        <w:rPr>
          <w:rFonts w:ascii="Times New Roman" w:hAnsi="Times New Roman" w:cs="Times New Roman"/>
          <w:color w:val="2B2B2B"/>
          <w:sz w:val="24"/>
          <w:szCs w:val="24"/>
        </w:rPr>
        <w:t>Mi</w:t>
      </w:r>
      <w:r w:rsidR="003E7D29" w:rsidRPr="000B6084">
        <w:rPr>
          <w:rFonts w:ascii="Times New Roman" w:hAnsi="Times New Roman" w:cs="Times New Roman"/>
          <w:color w:val="2B2B2B"/>
          <w:sz w:val="24"/>
          <w:szCs w:val="24"/>
        </w:rPr>
        <w:t>t</w:t>
      </w:r>
      <w:r w:rsidR="00260CA8" w:rsidRPr="000B6084">
        <w:rPr>
          <w:rFonts w:ascii="Times New Roman" w:hAnsi="Times New Roman" w:cs="Times New Roman"/>
          <w:color w:val="2B2B2B"/>
          <w:sz w:val="24"/>
          <w:szCs w:val="24"/>
        </w:rPr>
        <w:t>ch</w:t>
      </w:r>
      <w:r w:rsidR="003E7D29" w:rsidRPr="000B6084">
        <w:rPr>
          <w:rFonts w:ascii="Times New Roman" w:hAnsi="Times New Roman" w:cs="Times New Roman"/>
          <w:color w:val="2B2B2B"/>
          <w:sz w:val="24"/>
          <w:szCs w:val="24"/>
        </w:rPr>
        <w:t>el</w:t>
      </w:r>
      <w:r w:rsidR="00260CA8" w:rsidRPr="000B6084">
        <w:rPr>
          <w:rFonts w:ascii="Times New Roman" w:hAnsi="Times New Roman" w:cs="Times New Roman"/>
          <w:color w:val="2B2B2B"/>
          <w:sz w:val="24"/>
          <w:szCs w:val="24"/>
        </w:rPr>
        <w:t>l</w:t>
      </w:r>
      <w:r w:rsidR="003E7D29" w:rsidRPr="000B6084">
        <w:rPr>
          <w:rFonts w:ascii="Times New Roman" w:hAnsi="Times New Roman" w:cs="Times New Roman"/>
          <w:color w:val="2B2B2B"/>
          <w:sz w:val="24"/>
          <w:szCs w:val="24"/>
        </w:rPr>
        <w:t>,2022)</w:t>
      </w:r>
      <w:r w:rsidR="003E7D29" w:rsidRPr="000B6084">
        <w:rPr>
          <w:rStyle w:val="FootnoteReference"/>
          <w:rFonts w:ascii="Times New Roman" w:hAnsi="Times New Roman" w:cs="Times New Roman"/>
          <w:color w:val="2B2B2B"/>
          <w:sz w:val="24"/>
          <w:szCs w:val="24"/>
        </w:rPr>
        <w:footnoteReference w:id="1"/>
      </w:r>
      <w:r w:rsidR="00AB50C2"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r w:rsidR="000F67BE">
        <w:rPr>
          <w:rFonts w:ascii="Times New Roman" w:hAnsi="Times New Roman" w:cs="Times New Roman"/>
          <w:color w:val="2B2B2B"/>
          <w:sz w:val="24"/>
          <w:szCs w:val="24"/>
        </w:rPr>
        <w:t xml:space="preserve">In particular, </w:t>
      </w:r>
      <w:r w:rsidR="00B6188E">
        <w:rPr>
          <w:rFonts w:ascii="Times New Roman" w:hAnsi="Times New Roman" w:cs="Times New Roman"/>
          <w:color w:val="2B2B2B"/>
          <w:sz w:val="24"/>
          <w:szCs w:val="24"/>
        </w:rPr>
        <w:t xml:space="preserve">stocks with positive change over time are </w:t>
      </w:r>
      <w:r w:rsidR="00BB679D">
        <w:rPr>
          <w:rFonts w:ascii="Times New Roman" w:hAnsi="Times New Roman" w:cs="Times New Roman"/>
          <w:color w:val="2B2B2B"/>
          <w:sz w:val="24"/>
          <w:szCs w:val="24"/>
        </w:rPr>
        <w:t xml:space="preserve">an indication of </w:t>
      </w:r>
      <w:r w:rsidR="001F7AF9">
        <w:rPr>
          <w:rFonts w:ascii="Times New Roman" w:hAnsi="Times New Roman" w:cs="Times New Roman"/>
          <w:color w:val="2B2B2B"/>
          <w:sz w:val="24"/>
          <w:szCs w:val="24"/>
        </w:rPr>
        <w:t>rising</w:t>
      </w:r>
      <w:r w:rsidR="00BB679D">
        <w:rPr>
          <w:rFonts w:ascii="Times New Roman" w:hAnsi="Times New Roman" w:cs="Times New Roman"/>
          <w:color w:val="2B2B2B"/>
          <w:sz w:val="24"/>
          <w:szCs w:val="24"/>
        </w:rPr>
        <w:t xml:space="preserve"> markets and negative changes are indication of declining markets. </w:t>
      </w:r>
    </w:p>
    <w:p w14:paraId="76175CC1" w14:textId="77777777" w:rsidR="00C90247" w:rsidRDefault="00C90247" w:rsidP="00C9024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4B68A6B9" w14:textId="1AA6576B" w:rsidR="00C90247" w:rsidRDefault="009A1A42" w:rsidP="00C9024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Table-2</w:t>
      </w:r>
      <w:r w:rsidR="00D107CA">
        <w:rPr>
          <w:rFonts w:ascii="Times New Roman" w:hAnsi="Times New Roman" w:cs="Times New Roman"/>
          <w:color w:val="2B2B2B"/>
          <w:sz w:val="24"/>
          <w:szCs w:val="24"/>
        </w:rPr>
        <w:t xml:space="preserve"> shows the </w:t>
      </w:r>
      <w:r w:rsidR="00A83940">
        <w:rPr>
          <w:rFonts w:ascii="Times New Roman" w:hAnsi="Times New Roman" w:cs="Times New Roman"/>
          <w:color w:val="2B2B2B"/>
          <w:sz w:val="24"/>
          <w:szCs w:val="24"/>
        </w:rPr>
        <w:t xml:space="preserve">total daily </w:t>
      </w:r>
      <w:r w:rsidR="00D107CA">
        <w:rPr>
          <w:rFonts w:ascii="Times New Roman" w:hAnsi="Times New Roman" w:cs="Times New Roman"/>
          <w:color w:val="2B2B2B"/>
          <w:sz w:val="24"/>
          <w:szCs w:val="24"/>
        </w:rPr>
        <w:t xml:space="preserve">volume of stock trades in 2017 and 2018 for 12 companies. </w:t>
      </w:r>
      <w:r w:rsidR="008E66FC">
        <w:rPr>
          <w:rFonts w:ascii="Times New Roman" w:hAnsi="Times New Roman" w:cs="Times New Roman"/>
          <w:color w:val="2B2B2B"/>
          <w:sz w:val="24"/>
          <w:szCs w:val="24"/>
        </w:rPr>
        <w:t xml:space="preserve">Like Table-1 above, the change in </w:t>
      </w:r>
      <w:r w:rsidR="00E13B06">
        <w:rPr>
          <w:rFonts w:ascii="Times New Roman" w:hAnsi="Times New Roman" w:cs="Times New Roman"/>
          <w:color w:val="2B2B2B"/>
          <w:sz w:val="24"/>
          <w:szCs w:val="24"/>
        </w:rPr>
        <w:t xml:space="preserve">trade volume </w:t>
      </w:r>
      <w:r w:rsidR="006C2F95">
        <w:rPr>
          <w:rFonts w:ascii="Times New Roman" w:hAnsi="Times New Roman" w:cs="Times New Roman"/>
          <w:color w:val="2B2B2B"/>
          <w:sz w:val="24"/>
          <w:szCs w:val="24"/>
        </w:rPr>
        <w:t>is</w:t>
      </w:r>
      <w:r w:rsidR="00E13B06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A154A4">
        <w:rPr>
          <w:rFonts w:ascii="Times New Roman" w:hAnsi="Times New Roman" w:cs="Times New Roman"/>
          <w:color w:val="2B2B2B"/>
          <w:sz w:val="24"/>
          <w:szCs w:val="24"/>
        </w:rPr>
        <w:t xml:space="preserve">colored with green and red colors. Green color is for positive changes in </w:t>
      </w:r>
      <w:r w:rsidR="00A83940">
        <w:rPr>
          <w:rFonts w:ascii="Times New Roman" w:hAnsi="Times New Roman" w:cs="Times New Roman"/>
          <w:color w:val="2B2B2B"/>
          <w:sz w:val="24"/>
          <w:szCs w:val="24"/>
        </w:rPr>
        <w:t xml:space="preserve">total </w:t>
      </w:r>
      <w:r w:rsidR="00A154A4">
        <w:rPr>
          <w:rFonts w:ascii="Times New Roman" w:hAnsi="Times New Roman" w:cs="Times New Roman"/>
          <w:color w:val="2B2B2B"/>
          <w:sz w:val="24"/>
          <w:szCs w:val="24"/>
        </w:rPr>
        <w:t>trade volume between 2017 and 2018</w:t>
      </w:r>
      <w:r w:rsidR="00A83940">
        <w:rPr>
          <w:rFonts w:ascii="Times New Roman" w:hAnsi="Times New Roman" w:cs="Times New Roman"/>
          <w:color w:val="2B2B2B"/>
          <w:sz w:val="24"/>
          <w:szCs w:val="24"/>
        </w:rPr>
        <w:t xml:space="preserve"> and</w:t>
      </w:r>
      <w:r w:rsidR="001A20D1">
        <w:rPr>
          <w:rFonts w:ascii="Times New Roman" w:hAnsi="Times New Roman" w:cs="Times New Roman"/>
          <w:color w:val="2B2B2B"/>
          <w:sz w:val="24"/>
          <w:szCs w:val="24"/>
        </w:rPr>
        <w:t xml:space="preserve"> red for negative changes. From this table it can be shown that </w:t>
      </w:r>
      <w:r w:rsidR="00347DC7">
        <w:rPr>
          <w:rFonts w:ascii="Times New Roman" w:hAnsi="Times New Roman" w:cs="Times New Roman"/>
          <w:color w:val="2B2B2B"/>
          <w:sz w:val="24"/>
          <w:szCs w:val="24"/>
        </w:rPr>
        <w:t>EPNH</w:t>
      </w:r>
      <w:r w:rsidR="00347DC7">
        <w:rPr>
          <w:rFonts w:ascii="Times New Roman" w:hAnsi="Times New Roman" w:cs="Times New Roman"/>
          <w:color w:val="2B2B2B"/>
          <w:sz w:val="24"/>
          <w:szCs w:val="24"/>
        </w:rPr>
        <w:t xml:space="preserve"> has large positive change in the volume of </w:t>
      </w:r>
      <w:r w:rsidR="001F7AF9">
        <w:rPr>
          <w:rFonts w:ascii="Times New Roman" w:hAnsi="Times New Roman" w:cs="Times New Roman"/>
          <w:color w:val="2B2B2B"/>
          <w:sz w:val="24"/>
          <w:szCs w:val="24"/>
        </w:rPr>
        <w:t xml:space="preserve">trade which may </w:t>
      </w:r>
      <w:r w:rsidR="00D2211D">
        <w:rPr>
          <w:rFonts w:ascii="Times New Roman" w:hAnsi="Times New Roman" w:cs="Times New Roman"/>
          <w:color w:val="2B2B2B"/>
          <w:sz w:val="24"/>
          <w:szCs w:val="24"/>
        </w:rPr>
        <w:t xml:space="preserve">viewed </w:t>
      </w:r>
      <w:r w:rsidR="000225F7">
        <w:rPr>
          <w:rFonts w:ascii="Times New Roman" w:hAnsi="Times New Roman" w:cs="Times New Roman"/>
          <w:color w:val="2B2B2B"/>
          <w:sz w:val="24"/>
          <w:szCs w:val="24"/>
        </w:rPr>
        <w:t>as strong</w:t>
      </w:r>
      <w:r w:rsidR="00D2211D"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 and healthy</w:t>
      </w:r>
      <w:r w:rsidR="00D2211D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0225F7">
        <w:rPr>
          <w:rFonts w:ascii="Times New Roman" w:hAnsi="Times New Roman" w:cs="Times New Roman"/>
          <w:color w:val="2B2B2B"/>
          <w:sz w:val="24"/>
          <w:szCs w:val="24"/>
        </w:rPr>
        <w:t xml:space="preserve"> DQ, which Steeve parents </w:t>
      </w:r>
      <w:r w:rsidR="00C44463">
        <w:rPr>
          <w:rFonts w:ascii="Times New Roman" w:hAnsi="Times New Roman" w:cs="Times New Roman"/>
          <w:color w:val="2B2B2B"/>
          <w:sz w:val="24"/>
          <w:szCs w:val="24"/>
        </w:rPr>
        <w:t xml:space="preserve">planned to make an investment on, had also positive change. </w:t>
      </w:r>
    </w:p>
    <w:p w14:paraId="534D38E3" w14:textId="77777777" w:rsidR="00C90247" w:rsidRDefault="00C90247" w:rsidP="00C9024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17737860" w14:textId="70ACAFD1" w:rsidR="00C90247" w:rsidRDefault="005E3563" w:rsidP="00C90247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Given the results in Tables-1 and 2, we can now </w:t>
      </w:r>
      <w:r w:rsidR="00222F79">
        <w:rPr>
          <w:rFonts w:ascii="Times New Roman" w:hAnsi="Times New Roman" w:cs="Times New Roman"/>
          <w:color w:val="2B2B2B"/>
          <w:sz w:val="24"/>
          <w:szCs w:val="24"/>
        </w:rPr>
        <w:t>advice Steeve parents</w:t>
      </w:r>
      <w:r w:rsidR="00156490">
        <w:rPr>
          <w:rFonts w:ascii="Times New Roman" w:hAnsi="Times New Roman" w:cs="Times New Roman"/>
          <w:color w:val="2B2B2B"/>
          <w:sz w:val="24"/>
          <w:szCs w:val="24"/>
        </w:rPr>
        <w:t xml:space="preserve"> not</w:t>
      </w:r>
      <w:r w:rsidR="00222F79">
        <w:rPr>
          <w:rFonts w:ascii="Times New Roman" w:hAnsi="Times New Roman" w:cs="Times New Roman"/>
          <w:color w:val="2B2B2B"/>
          <w:sz w:val="24"/>
          <w:szCs w:val="24"/>
        </w:rPr>
        <w:t xml:space="preserve"> to make all their investment in one company</w:t>
      </w:r>
      <w:r w:rsidR="00156490">
        <w:rPr>
          <w:rFonts w:ascii="Times New Roman" w:hAnsi="Times New Roman" w:cs="Times New Roman"/>
          <w:color w:val="2B2B2B"/>
          <w:sz w:val="24"/>
          <w:szCs w:val="24"/>
        </w:rPr>
        <w:t>, DQ</w:t>
      </w:r>
      <w:r w:rsidR="00222F79">
        <w:rPr>
          <w:rFonts w:ascii="Times New Roman" w:hAnsi="Times New Roman" w:cs="Times New Roman"/>
          <w:color w:val="2B2B2B"/>
          <w:sz w:val="24"/>
          <w:szCs w:val="24"/>
        </w:rPr>
        <w:t xml:space="preserve">. In </w:t>
      </w:r>
      <w:r w:rsidR="009A288F">
        <w:rPr>
          <w:rFonts w:ascii="Times New Roman" w:hAnsi="Times New Roman" w:cs="Times New Roman"/>
          <w:color w:val="2B2B2B"/>
          <w:sz w:val="24"/>
          <w:szCs w:val="24"/>
        </w:rPr>
        <w:t>fact,</w:t>
      </w:r>
      <w:r w:rsidR="00222F79">
        <w:rPr>
          <w:rFonts w:ascii="Times New Roman" w:hAnsi="Times New Roman" w:cs="Times New Roman"/>
          <w:color w:val="2B2B2B"/>
          <w:sz w:val="24"/>
          <w:szCs w:val="24"/>
        </w:rPr>
        <w:t xml:space="preserve"> there are other companies like </w:t>
      </w:r>
      <w:r w:rsidR="00222F79">
        <w:rPr>
          <w:rFonts w:ascii="Times New Roman" w:hAnsi="Times New Roman" w:cs="Times New Roman"/>
          <w:color w:val="2B2B2B"/>
          <w:sz w:val="24"/>
          <w:szCs w:val="24"/>
        </w:rPr>
        <w:t>EPNH</w:t>
      </w:r>
      <w:r w:rsidR="00222F79">
        <w:rPr>
          <w:rFonts w:ascii="Times New Roman" w:hAnsi="Times New Roman" w:cs="Times New Roman"/>
          <w:color w:val="2B2B2B"/>
          <w:sz w:val="24"/>
          <w:szCs w:val="24"/>
        </w:rPr>
        <w:t xml:space="preserve"> which </w:t>
      </w:r>
      <w:r w:rsidR="00C36228">
        <w:rPr>
          <w:rFonts w:ascii="Times New Roman" w:hAnsi="Times New Roman" w:cs="Times New Roman"/>
          <w:color w:val="2B2B2B"/>
          <w:sz w:val="24"/>
          <w:szCs w:val="24"/>
        </w:rPr>
        <w:t xml:space="preserve">may be </w:t>
      </w:r>
      <w:r w:rsidR="00C36228">
        <w:rPr>
          <w:rFonts w:ascii="Times New Roman" w:hAnsi="Times New Roman" w:cs="Times New Roman"/>
          <w:color w:val="2B2B2B"/>
          <w:sz w:val="24"/>
          <w:szCs w:val="24"/>
        </w:rPr>
        <w:lastRenderedPageBreak/>
        <w:t>viewed as strong and healthy</w:t>
      </w:r>
      <w:r w:rsidR="009A288F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4F6176">
        <w:rPr>
          <w:rFonts w:ascii="Times New Roman" w:hAnsi="Times New Roman" w:cs="Times New Roman"/>
          <w:color w:val="2B2B2B"/>
          <w:sz w:val="24"/>
          <w:szCs w:val="24"/>
        </w:rPr>
        <w:t xml:space="preserve">by financial analyst. </w:t>
      </w:r>
      <w:r w:rsidR="009A288F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2624E5">
        <w:rPr>
          <w:rFonts w:ascii="Times New Roman" w:hAnsi="Times New Roman" w:cs="Times New Roman"/>
          <w:color w:val="2B2B2B"/>
          <w:sz w:val="24"/>
          <w:szCs w:val="24"/>
        </w:rPr>
        <w:t xml:space="preserve">I advise his parents to </w:t>
      </w:r>
      <w:r w:rsidR="00082E41">
        <w:rPr>
          <w:rFonts w:ascii="Times New Roman" w:hAnsi="Times New Roman" w:cs="Times New Roman"/>
          <w:color w:val="2B2B2B"/>
          <w:sz w:val="24"/>
          <w:szCs w:val="24"/>
        </w:rPr>
        <w:t xml:space="preserve">consider companies with positive return and positive trading volumes. These are companies which </w:t>
      </w:r>
      <w:r w:rsidR="00F529F0">
        <w:rPr>
          <w:rFonts w:ascii="Times New Roman" w:hAnsi="Times New Roman" w:cs="Times New Roman"/>
          <w:color w:val="2B2B2B"/>
          <w:sz w:val="24"/>
          <w:szCs w:val="24"/>
        </w:rPr>
        <w:t xml:space="preserve">can be predictable and viewed </w:t>
      </w:r>
      <w:r w:rsidR="00157E59">
        <w:rPr>
          <w:rFonts w:ascii="Times New Roman" w:hAnsi="Times New Roman" w:cs="Times New Roman"/>
          <w:color w:val="2B2B2B"/>
          <w:sz w:val="24"/>
          <w:szCs w:val="24"/>
        </w:rPr>
        <w:t>as strong</w:t>
      </w:r>
      <w:r w:rsidR="00F529F0" w:rsidRPr="000B6084">
        <w:rPr>
          <w:rFonts w:ascii="Times New Roman" w:hAnsi="Times New Roman" w:cs="Times New Roman"/>
          <w:color w:val="2B2B2B"/>
          <w:sz w:val="24"/>
          <w:szCs w:val="24"/>
        </w:rPr>
        <w:t xml:space="preserve"> and healthy</w:t>
      </w:r>
      <w:r w:rsidR="00F529F0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</w:p>
    <w:tbl>
      <w:tblPr>
        <w:tblW w:w="6676" w:type="dxa"/>
        <w:jc w:val="center"/>
        <w:tblLook w:val="04A0" w:firstRow="1" w:lastRow="0" w:firstColumn="1" w:lastColumn="0" w:noHBand="0" w:noVBand="1"/>
      </w:tblPr>
      <w:tblGrid>
        <w:gridCol w:w="766"/>
        <w:gridCol w:w="1876"/>
        <w:gridCol w:w="2017"/>
        <w:gridCol w:w="2017"/>
      </w:tblGrid>
      <w:tr w:rsidR="00861561" w:rsidRPr="009C515A" w14:paraId="047EE7A7" w14:textId="167CA37D" w:rsidTr="001F5E33">
        <w:trPr>
          <w:trHeight w:val="288"/>
          <w:jc w:val="center"/>
        </w:trPr>
        <w:tc>
          <w:tcPr>
            <w:tcW w:w="66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98A6DC" w14:textId="699E6C06" w:rsidR="00861561" w:rsidRPr="009C515A" w:rsidRDefault="00861561" w:rsidP="009C51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Table-2: Green energy stocks</w:t>
            </w:r>
            <w:r w:rsidR="00617A36">
              <w:rPr>
                <w:rFonts w:ascii="Calibri" w:eastAsia="Times New Roman" w:hAnsi="Calibri" w:cs="Calibri"/>
                <w:color w:val="000000"/>
              </w:rPr>
              <w:t xml:space="preserve"> total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daily trade volumes for 2017 and 2018</w:t>
            </w:r>
          </w:p>
        </w:tc>
      </w:tr>
      <w:tr w:rsidR="00FE74DA" w:rsidRPr="009C515A" w14:paraId="0DFB8D16" w14:textId="01BAE3AC" w:rsidTr="00FE74DA">
        <w:trPr>
          <w:trHeight w:val="576"/>
          <w:jc w:val="center"/>
        </w:trPr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9993C" w14:textId="77777777" w:rsidR="00FE74DA" w:rsidRPr="009C515A" w:rsidRDefault="00FE74DA" w:rsidP="009C515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C515A">
              <w:rPr>
                <w:rFonts w:ascii="Calibri" w:eastAsia="Times New Roman" w:hAnsi="Calibri" w:cs="Calibri"/>
                <w:b/>
                <w:bCs/>
                <w:color w:val="000000"/>
              </w:rPr>
              <w:t>Ticker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0C842AE" w14:textId="37B194B8" w:rsidR="00FE74DA" w:rsidRPr="009C515A" w:rsidRDefault="00FE74DA" w:rsidP="009C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 xml:space="preserve">Daily Volume in </w:t>
            </w:r>
            <w:r w:rsidRPr="009C515A">
              <w:rPr>
                <w:rFonts w:ascii="Calibri" w:eastAsia="Times New Roman" w:hAnsi="Calibri" w:cs="Calibri"/>
                <w:color w:val="000000"/>
              </w:rPr>
              <w:t>millions (</w:t>
            </w:r>
            <w:r w:rsidRPr="009C515A">
              <w:rPr>
                <w:rFonts w:ascii="Calibri" w:eastAsia="Times New Roman" w:hAnsi="Calibri" w:cs="Calibri"/>
                <w:color w:val="000000"/>
              </w:rPr>
              <w:t>2017)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2C34F" w14:textId="29945C41" w:rsidR="00FE74DA" w:rsidRPr="009C515A" w:rsidRDefault="00FE74DA" w:rsidP="009C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 xml:space="preserve">Daily Volume in </w:t>
            </w:r>
            <w:r w:rsidRPr="009C515A">
              <w:rPr>
                <w:rFonts w:ascii="Calibri" w:eastAsia="Times New Roman" w:hAnsi="Calibri" w:cs="Calibri"/>
                <w:color w:val="000000"/>
              </w:rPr>
              <w:t>millions (</w:t>
            </w:r>
            <w:r w:rsidRPr="009C515A">
              <w:rPr>
                <w:rFonts w:ascii="Calibri" w:eastAsia="Times New Roman" w:hAnsi="Calibri" w:cs="Calibri"/>
                <w:color w:val="000000"/>
              </w:rPr>
              <w:t>2018)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BD01D1" w14:textId="55AD7128" w:rsidR="00FE74DA" w:rsidRPr="009C515A" w:rsidRDefault="00861561" w:rsidP="009C51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61561">
              <w:rPr>
                <w:rFonts w:ascii="Calibri" w:eastAsia="Times New Roman" w:hAnsi="Calibri" w:cs="Calibri"/>
                <w:color w:val="000000"/>
              </w:rPr>
              <w:t>Change in Trading Volume</w:t>
            </w:r>
          </w:p>
        </w:tc>
      </w:tr>
      <w:tr w:rsidR="00C02B8D" w:rsidRPr="009C515A" w14:paraId="4EF4BDAB" w14:textId="5F651653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0413D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AY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7623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136.0709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7E04D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83.0799</w:t>
            </w:r>
          </w:p>
        </w:tc>
        <w:tc>
          <w:tcPr>
            <w:tcW w:w="20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C00000"/>
            <w:vAlign w:val="bottom"/>
          </w:tcPr>
          <w:p w14:paraId="441647FE" w14:textId="3554043F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-53.0</w:t>
            </w:r>
          </w:p>
        </w:tc>
      </w:tr>
      <w:tr w:rsidR="00C02B8D" w:rsidRPr="009C515A" w14:paraId="536BDF40" w14:textId="5135138F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1ED7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CSIQ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F027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310.5928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DE09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200.8799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bottom"/>
          </w:tcPr>
          <w:p w14:paraId="7C3C4710" w14:textId="23C6D022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-109.7</w:t>
            </w:r>
          </w:p>
        </w:tc>
      </w:tr>
      <w:tr w:rsidR="00C02B8D" w:rsidRPr="009C515A" w14:paraId="10C2AEB0" w14:textId="7D0136FB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8E3D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DQ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9AE4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35.7962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09DA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107.8739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32A72EF3" w14:textId="23E76042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72.1</w:t>
            </w:r>
          </w:p>
        </w:tc>
      </w:tr>
      <w:tr w:rsidR="00C02B8D" w:rsidRPr="009C515A" w14:paraId="58F1CD70" w14:textId="5B3A24C4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5C26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ENPH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D8D8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221.7721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DBC5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607.4735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60A14878" w14:textId="7204CF41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385.7</w:t>
            </w:r>
          </w:p>
        </w:tc>
      </w:tr>
      <w:tr w:rsidR="00C02B8D" w:rsidRPr="009C515A" w14:paraId="71519F3E" w14:textId="78663871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165B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FSLR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84A4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684.1814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4A6A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478.1139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bottom"/>
          </w:tcPr>
          <w:p w14:paraId="0490502C" w14:textId="54D46228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-206.1</w:t>
            </w:r>
          </w:p>
        </w:tc>
      </w:tr>
      <w:tr w:rsidR="00C02B8D" w:rsidRPr="009C515A" w14:paraId="76635090" w14:textId="504283C8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0C73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HASI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8C98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80.9493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5D84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104.3406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22C65F15" w14:textId="43468ADD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23.4</w:t>
            </w:r>
          </w:p>
        </w:tc>
      </w:tr>
      <w:tr w:rsidR="00C02B8D" w:rsidRPr="009C515A" w14:paraId="7E6FB847" w14:textId="23B5F6E6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ACAE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JKS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7F88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191.6322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4298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158.309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bottom"/>
          </w:tcPr>
          <w:p w14:paraId="16CD982B" w14:textId="296BD43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-33.3</w:t>
            </w:r>
          </w:p>
        </w:tc>
      </w:tr>
      <w:tr w:rsidR="00C02B8D" w:rsidRPr="009C515A" w14:paraId="2B3D0901" w14:textId="470E71B7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6DB0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RUN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B002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267.6813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29FA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502.7571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102D56C5" w14:textId="5B14D685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235.1</w:t>
            </w:r>
          </w:p>
        </w:tc>
      </w:tr>
      <w:tr w:rsidR="00C02B8D" w:rsidRPr="009C515A" w14:paraId="010EB4C1" w14:textId="2C745588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3325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SEDG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ECBC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206.8852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970D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237.2123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0602059F" w14:textId="63B7B62F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30.3</w:t>
            </w:r>
          </w:p>
        </w:tc>
      </w:tr>
      <w:tr w:rsidR="00C02B8D" w:rsidRPr="009C515A" w14:paraId="304FA88E" w14:textId="722F6398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FA4D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SPWR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1991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782.187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9A7E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538.0243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vAlign w:val="bottom"/>
          </w:tcPr>
          <w:p w14:paraId="1F0CA5B2" w14:textId="1DC086F5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-244.2</w:t>
            </w:r>
          </w:p>
        </w:tc>
      </w:tr>
      <w:tr w:rsidR="00C02B8D" w:rsidRPr="009C515A" w14:paraId="594F253C" w14:textId="171C5AB1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2A65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TERP</w:t>
            </w: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6A97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139.4028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ED1C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151.4347</w:t>
            </w:r>
          </w:p>
        </w:tc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vAlign w:val="bottom"/>
          </w:tcPr>
          <w:p w14:paraId="35CFE94E" w14:textId="4A8FBC3C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12.0</w:t>
            </w:r>
          </w:p>
        </w:tc>
      </w:tr>
      <w:tr w:rsidR="00C02B8D" w:rsidRPr="009C515A" w14:paraId="5F984141" w14:textId="0F9EF7CD" w:rsidTr="008146B1">
        <w:trPr>
          <w:trHeight w:val="288"/>
          <w:jc w:val="center"/>
        </w:trPr>
        <w:tc>
          <w:tcPr>
            <w:tcW w:w="7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45560" w14:textId="77777777" w:rsidR="00C02B8D" w:rsidRPr="009C515A" w:rsidRDefault="00C02B8D" w:rsidP="00C02B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VSLR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C10E6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109.4879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013D45" w14:textId="77777777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C515A">
              <w:rPr>
                <w:rFonts w:ascii="Calibri" w:eastAsia="Times New Roman" w:hAnsi="Calibri" w:cs="Calibri"/>
                <w:color w:val="000000"/>
              </w:rPr>
              <w:t>136.5391</w:t>
            </w:r>
          </w:p>
        </w:tc>
        <w:tc>
          <w:tcPr>
            <w:tcW w:w="20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2D050"/>
            <w:vAlign w:val="bottom"/>
          </w:tcPr>
          <w:p w14:paraId="609519FC" w14:textId="1DDB67EC" w:rsidR="00C02B8D" w:rsidRPr="009C515A" w:rsidRDefault="00C02B8D" w:rsidP="00C02B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27.1</w:t>
            </w:r>
          </w:p>
        </w:tc>
      </w:tr>
    </w:tbl>
    <w:p w14:paraId="12B24DAD" w14:textId="3976B69A" w:rsidR="00991817" w:rsidRDefault="00991817" w:rsidP="00991817">
      <w:pPr>
        <w:pStyle w:val="ListParagraph"/>
        <w:spacing w:line="360" w:lineRule="auto"/>
        <w:jc w:val="both"/>
        <w:rPr>
          <w:noProof/>
        </w:rPr>
      </w:pPr>
    </w:p>
    <w:p w14:paraId="5A1582E3" w14:textId="77777777" w:rsidR="009C515A" w:rsidRDefault="009C515A" w:rsidP="00991817">
      <w:pPr>
        <w:pStyle w:val="ListParagraph"/>
        <w:spacing w:line="360" w:lineRule="auto"/>
        <w:jc w:val="both"/>
        <w:rPr>
          <w:noProof/>
        </w:rPr>
      </w:pPr>
    </w:p>
    <w:p w14:paraId="25E059D4" w14:textId="77777777" w:rsidR="009C515A" w:rsidRDefault="009C515A" w:rsidP="00991817">
      <w:pPr>
        <w:pStyle w:val="ListParagraph"/>
        <w:spacing w:line="360" w:lineRule="auto"/>
        <w:jc w:val="both"/>
        <w:rPr>
          <w:noProof/>
        </w:rPr>
      </w:pPr>
    </w:p>
    <w:p w14:paraId="5A0C0B48" w14:textId="77777777" w:rsidR="009C515A" w:rsidRPr="00667988" w:rsidRDefault="009C515A" w:rsidP="0099181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63D5A777" w14:textId="4C73A583" w:rsidR="00AA395D" w:rsidRDefault="00AA395D" w:rsidP="00E07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E073AC">
        <w:rPr>
          <w:rFonts w:ascii="Times New Roman" w:hAnsi="Times New Roman" w:cs="Times New Roman"/>
          <w:b/>
          <w:bCs/>
          <w:color w:val="2B2B2B"/>
          <w:sz w:val="24"/>
          <w:szCs w:val="24"/>
        </w:rPr>
        <w:t>Conclusions</w:t>
      </w:r>
    </w:p>
    <w:p w14:paraId="232C6F59" w14:textId="6F9986D3" w:rsidR="003458B8" w:rsidRDefault="00E073AC" w:rsidP="00E073A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073AC">
        <w:rPr>
          <w:rFonts w:ascii="Times New Roman" w:hAnsi="Times New Roman" w:cs="Times New Roman"/>
          <w:color w:val="2B2B2B"/>
          <w:sz w:val="24"/>
          <w:szCs w:val="24"/>
        </w:rPr>
        <w:t>The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findings of </w:t>
      </w:r>
      <w:r w:rsidR="00253B82">
        <w:rPr>
          <w:rFonts w:ascii="Times New Roman" w:hAnsi="Times New Roman" w:cs="Times New Roman"/>
          <w:color w:val="2B2B2B"/>
          <w:sz w:val="24"/>
          <w:szCs w:val="24"/>
        </w:rPr>
        <w:t xml:space="preserve">this </w:t>
      </w:r>
      <w:r w:rsidR="001C7995">
        <w:rPr>
          <w:rFonts w:ascii="Times New Roman" w:hAnsi="Times New Roman" w:cs="Times New Roman"/>
          <w:color w:val="2B2B2B"/>
          <w:sz w:val="24"/>
          <w:szCs w:val="24"/>
        </w:rPr>
        <w:t>project</w:t>
      </w:r>
      <w:r w:rsidR="00253B82">
        <w:rPr>
          <w:rFonts w:ascii="Times New Roman" w:hAnsi="Times New Roman" w:cs="Times New Roman"/>
          <w:color w:val="2B2B2B"/>
          <w:sz w:val="24"/>
          <w:szCs w:val="24"/>
        </w:rPr>
        <w:t xml:space="preserve"> imply that </w:t>
      </w:r>
      <w:r w:rsidR="006C2F95">
        <w:rPr>
          <w:rFonts w:ascii="Times New Roman" w:hAnsi="Times New Roman" w:cs="Times New Roman"/>
          <w:color w:val="2B2B2B"/>
          <w:sz w:val="24"/>
          <w:szCs w:val="24"/>
        </w:rPr>
        <w:t>Steeve parents need to diversify their investment rather than investing all their money in one company.</w:t>
      </w:r>
      <w:r w:rsidR="003458B8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3458B8">
        <w:rPr>
          <w:rFonts w:ascii="Times New Roman" w:hAnsi="Times New Roman" w:cs="Times New Roman"/>
          <w:color w:val="2B2B2B"/>
          <w:sz w:val="24"/>
          <w:szCs w:val="24"/>
        </w:rPr>
        <w:t xml:space="preserve">EPNH </w:t>
      </w:r>
      <w:r w:rsidR="003458B8">
        <w:rPr>
          <w:rFonts w:ascii="Times New Roman" w:hAnsi="Times New Roman" w:cs="Times New Roman"/>
          <w:color w:val="2B2B2B"/>
          <w:sz w:val="24"/>
          <w:szCs w:val="24"/>
        </w:rPr>
        <w:t xml:space="preserve">is the green energy company which has positive </w:t>
      </w:r>
      <w:r w:rsidR="0072636C">
        <w:rPr>
          <w:rFonts w:ascii="Times New Roman" w:hAnsi="Times New Roman" w:cs="Times New Roman"/>
          <w:color w:val="2B2B2B"/>
          <w:sz w:val="24"/>
          <w:szCs w:val="24"/>
        </w:rPr>
        <w:t xml:space="preserve">return in both years and also with largest positive total daily stock trading volume. </w:t>
      </w:r>
      <w:r w:rsidR="00936162">
        <w:rPr>
          <w:rFonts w:ascii="Times New Roman" w:hAnsi="Times New Roman" w:cs="Times New Roman"/>
          <w:color w:val="2B2B2B"/>
          <w:sz w:val="24"/>
          <w:szCs w:val="24"/>
        </w:rPr>
        <w:t xml:space="preserve">Steeve parents can be benefited if they make investment </w:t>
      </w:r>
      <w:r w:rsidR="00004E70">
        <w:rPr>
          <w:rFonts w:ascii="Times New Roman" w:hAnsi="Times New Roman" w:cs="Times New Roman"/>
          <w:color w:val="2B2B2B"/>
          <w:sz w:val="24"/>
          <w:szCs w:val="24"/>
        </w:rPr>
        <w:t>on EPNH</w:t>
      </w:r>
      <w:r w:rsidR="00936162">
        <w:rPr>
          <w:rFonts w:ascii="Times New Roman" w:hAnsi="Times New Roman" w:cs="Times New Roman"/>
          <w:color w:val="2B2B2B"/>
          <w:sz w:val="24"/>
          <w:szCs w:val="24"/>
        </w:rPr>
        <w:t xml:space="preserve"> and </w:t>
      </w:r>
      <w:r w:rsidR="00004E70">
        <w:rPr>
          <w:rFonts w:ascii="Times New Roman" w:hAnsi="Times New Roman" w:cs="Times New Roman"/>
          <w:color w:val="2B2B2B"/>
          <w:sz w:val="24"/>
          <w:szCs w:val="24"/>
        </w:rPr>
        <w:t xml:space="preserve">additional companies </w:t>
      </w:r>
      <w:r w:rsidR="006841C3">
        <w:rPr>
          <w:rFonts w:ascii="Times New Roman" w:hAnsi="Times New Roman" w:cs="Times New Roman"/>
          <w:color w:val="2B2B2B"/>
          <w:sz w:val="24"/>
          <w:szCs w:val="24"/>
        </w:rPr>
        <w:t>with positive return in both return and change in trading volume</w:t>
      </w:r>
      <w:r w:rsidR="00004E70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</w:p>
    <w:p w14:paraId="0C203B0D" w14:textId="09839778" w:rsidR="001F3845" w:rsidRDefault="00A146E0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This project is based on ref</w:t>
      </w:r>
      <w:r w:rsidR="001F3845">
        <w:rPr>
          <w:rFonts w:ascii="Times New Roman" w:hAnsi="Times New Roman" w:cs="Times New Roman"/>
          <w:color w:val="2B2B2B"/>
          <w:sz w:val="24"/>
          <w:szCs w:val="24"/>
        </w:rPr>
        <w:t xml:space="preserve">actoring of an original code which were made only one year. </w:t>
      </w:r>
      <w:r w:rsidR="001F3845" w:rsidRPr="001F3845">
        <w:rPr>
          <w:rFonts w:ascii="Times New Roman" w:hAnsi="Times New Roman" w:cs="Times New Roman"/>
          <w:color w:val="2B2B2B"/>
          <w:sz w:val="24"/>
          <w:szCs w:val="24"/>
        </w:rPr>
        <w:t xml:space="preserve">Refactoring is a restructuring an existing body of code, altering its internal structure without changing its external </w:t>
      </w:r>
      <w:r w:rsidR="00CB5F06" w:rsidRPr="001F3845">
        <w:rPr>
          <w:rFonts w:ascii="Times New Roman" w:hAnsi="Times New Roman" w:cs="Times New Roman"/>
          <w:color w:val="2B2B2B"/>
          <w:sz w:val="24"/>
          <w:szCs w:val="24"/>
        </w:rPr>
        <w:t>behavior</w:t>
      </w:r>
      <w:r w:rsidR="00CB5F06">
        <w:rPr>
          <w:rFonts w:ascii="Times New Roman" w:hAnsi="Times New Roman" w:cs="Times New Roman"/>
          <w:color w:val="2B2B2B"/>
          <w:sz w:val="24"/>
          <w:szCs w:val="24"/>
        </w:rPr>
        <w:t xml:space="preserve"> (</w:t>
      </w:r>
      <w:r w:rsidR="00E72E9D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Martin Fowler's </w:t>
      </w:r>
      <w:r w:rsidR="00CB5F06" w:rsidRPr="000A3EDC">
        <w:rPr>
          <w:rFonts w:ascii="Times New Roman" w:hAnsi="Times New Roman" w:cs="Times New Roman"/>
          <w:color w:val="2B2B2B"/>
          <w:sz w:val="24"/>
          <w:szCs w:val="24"/>
        </w:rPr>
        <w:t>definition)</w:t>
      </w:r>
      <w:r w:rsidR="00E72E9D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637E14">
        <w:rPr>
          <w:rStyle w:val="FootnoteReference"/>
          <w:rFonts w:ascii="Times New Roman" w:hAnsi="Times New Roman" w:cs="Times New Roman"/>
          <w:color w:val="2B2B2B"/>
          <w:sz w:val="24"/>
          <w:szCs w:val="24"/>
        </w:rPr>
        <w:footnoteReference w:id="2"/>
      </w:r>
      <w:r w:rsidR="00E72E9D">
        <w:rPr>
          <w:rFonts w:ascii="Times New Roman" w:hAnsi="Times New Roman" w:cs="Times New Roman"/>
          <w:color w:val="2B2B2B"/>
          <w:sz w:val="24"/>
          <w:szCs w:val="24"/>
        </w:rPr>
        <w:t xml:space="preserve"> I learned from </w:t>
      </w:r>
      <w:r w:rsidR="00CB5F06">
        <w:rPr>
          <w:rFonts w:ascii="Times New Roman" w:hAnsi="Times New Roman" w:cs="Times New Roman"/>
          <w:color w:val="2B2B2B"/>
          <w:sz w:val="24"/>
          <w:szCs w:val="24"/>
        </w:rPr>
        <w:t xml:space="preserve">the </w:t>
      </w:r>
      <w:r w:rsidR="00E72E9D">
        <w:rPr>
          <w:rFonts w:ascii="Times New Roman" w:hAnsi="Times New Roman" w:cs="Times New Roman"/>
          <w:color w:val="2B2B2B"/>
          <w:sz w:val="24"/>
          <w:szCs w:val="24"/>
        </w:rPr>
        <w:t xml:space="preserve">internet that </w:t>
      </w:r>
      <w:r w:rsidR="00CB5F06" w:rsidRPr="001F3845">
        <w:rPr>
          <w:rFonts w:ascii="Times New Roman" w:hAnsi="Times New Roman" w:cs="Times New Roman"/>
          <w:color w:val="2B2B2B"/>
          <w:sz w:val="24"/>
          <w:szCs w:val="24"/>
        </w:rPr>
        <w:t>Refactoring</w:t>
      </w:r>
      <w:r w:rsidR="00CB5F06">
        <w:rPr>
          <w:rFonts w:ascii="Times New Roman" w:hAnsi="Times New Roman" w:cs="Times New Roman"/>
          <w:color w:val="2B2B2B"/>
          <w:sz w:val="24"/>
          <w:szCs w:val="24"/>
        </w:rPr>
        <w:t xml:space="preserve"> has pros and cons in general. </w:t>
      </w:r>
    </w:p>
    <w:p w14:paraId="73157EC1" w14:textId="77777777" w:rsidR="00767514" w:rsidRDefault="00767514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6D10ECE1" w14:textId="77777777" w:rsidR="00767514" w:rsidRDefault="00767514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1C4C3395" w14:textId="0C1C7C2A" w:rsidR="00767514" w:rsidRDefault="00767514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The advantages of refactoring a code in general are</w:t>
      </w:r>
    </w:p>
    <w:p w14:paraId="4FEC8780" w14:textId="2EAF9B2B" w:rsidR="008420E6" w:rsidRPr="00334338" w:rsidRDefault="008420E6" w:rsidP="003343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334338">
        <w:rPr>
          <w:rFonts w:ascii="Times New Roman" w:hAnsi="Times New Roman" w:cs="Times New Roman"/>
          <w:color w:val="2B2B2B"/>
          <w:sz w:val="24"/>
          <w:szCs w:val="24"/>
        </w:rPr>
        <w:t>to make the code more efficient and maintainable</w:t>
      </w:r>
    </w:p>
    <w:p w14:paraId="2A39F700" w14:textId="2E3C175E" w:rsidR="002B1620" w:rsidRPr="00334338" w:rsidRDefault="002B1620" w:rsidP="003343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334338">
        <w:rPr>
          <w:rFonts w:ascii="Times New Roman" w:hAnsi="Times New Roman" w:cs="Times New Roman"/>
          <w:color w:val="2B2B2B"/>
          <w:sz w:val="24"/>
          <w:szCs w:val="24"/>
        </w:rPr>
        <w:t xml:space="preserve">to </w:t>
      </w:r>
      <w:r w:rsidRPr="00334338">
        <w:rPr>
          <w:rFonts w:ascii="Times New Roman" w:hAnsi="Times New Roman" w:cs="Times New Roman"/>
          <w:color w:val="2B2B2B"/>
          <w:sz w:val="24"/>
          <w:szCs w:val="24"/>
        </w:rPr>
        <w:t>improves readability</w:t>
      </w:r>
    </w:p>
    <w:p w14:paraId="4A73E00A" w14:textId="46F3E521" w:rsidR="00010F44" w:rsidRPr="00334338" w:rsidRDefault="00010F44" w:rsidP="003343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334338">
        <w:rPr>
          <w:rFonts w:ascii="Times New Roman" w:hAnsi="Times New Roman" w:cs="Times New Roman"/>
          <w:color w:val="2B2B2B"/>
          <w:sz w:val="24"/>
          <w:szCs w:val="24"/>
        </w:rPr>
        <w:t>h</w:t>
      </w:r>
      <w:r w:rsidRPr="00334338">
        <w:rPr>
          <w:rFonts w:ascii="Times New Roman" w:hAnsi="Times New Roman" w:cs="Times New Roman"/>
          <w:color w:val="2B2B2B"/>
          <w:sz w:val="24"/>
          <w:szCs w:val="24"/>
        </w:rPr>
        <w:t xml:space="preserve">elps </w:t>
      </w:r>
      <w:r w:rsidRPr="00334338">
        <w:rPr>
          <w:rFonts w:ascii="Times New Roman" w:hAnsi="Times New Roman" w:cs="Times New Roman"/>
          <w:color w:val="2B2B2B"/>
          <w:sz w:val="24"/>
          <w:szCs w:val="24"/>
        </w:rPr>
        <w:t>program run f</w:t>
      </w:r>
      <w:r w:rsidRPr="00334338">
        <w:rPr>
          <w:rFonts w:ascii="Times New Roman" w:hAnsi="Times New Roman" w:cs="Times New Roman"/>
          <w:color w:val="2B2B2B"/>
          <w:sz w:val="24"/>
          <w:szCs w:val="24"/>
        </w:rPr>
        <w:t>aster</w:t>
      </w:r>
    </w:p>
    <w:p w14:paraId="449934DC" w14:textId="4672876F" w:rsidR="002B1620" w:rsidRPr="00334338" w:rsidRDefault="002B1620" w:rsidP="003343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334338">
        <w:rPr>
          <w:rFonts w:ascii="Times New Roman" w:hAnsi="Times New Roman" w:cs="Times New Roman"/>
          <w:color w:val="2B2B2B"/>
          <w:sz w:val="24"/>
          <w:szCs w:val="24"/>
        </w:rPr>
        <w:t xml:space="preserve">to make </w:t>
      </w:r>
      <w:r w:rsidRPr="00334338">
        <w:rPr>
          <w:rFonts w:ascii="Times New Roman" w:hAnsi="Times New Roman" w:cs="Times New Roman"/>
          <w:color w:val="2B2B2B"/>
          <w:sz w:val="24"/>
          <w:szCs w:val="24"/>
        </w:rPr>
        <w:t>the debugging process to go much more smoothly</w:t>
      </w:r>
    </w:p>
    <w:p w14:paraId="2D18054B" w14:textId="1F949432" w:rsidR="00010F44" w:rsidRPr="00334338" w:rsidRDefault="00010F44" w:rsidP="0033433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334338">
        <w:rPr>
          <w:rFonts w:ascii="Times New Roman" w:hAnsi="Times New Roman" w:cs="Times New Roman"/>
          <w:color w:val="2B2B2B"/>
          <w:sz w:val="24"/>
          <w:szCs w:val="24"/>
        </w:rPr>
        <w:t>fixes or prevents decay from occurring</w:t>
      </w:r>
    </w:p>
    <w:p w14:paraId="0D4EC05A" w14:textId="63A20322" w:rsidR="000E7F2F" w:rsidRPr="000A3EDC" w:rsidRDefault="00D34936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The </w:t>
      </w:r>
      <w:r w:rsidR="00D60244">
        <w:rPr>
          <w:rFonts w:ascii="Times New Roman" w:hAnsi="Times New Roman" w:cs="Times New Roman"/>
          <w:color w:val="2B2B2B"/>
          <w:sz w:val="24"/>
          <w:szCs w:val="24"/>
        </w:rPr>
        <w:t>d</w:t>
      </w:r>
      <w:r w:rsidRPr="000A3EDC">
        <w:rPr>
          <w:rFonts w:ascii="Times New Roman" w:hAnsi="Times New Roman" w:cs="Times New Roman"/>
          <w:color w:val="2B2B2B"/>
          <w:sz w:val="24"/>
          <w:szCs w:val="24"/>
        </w:rPr>
        <w:t>isadvantages of Code Refactoring: Time Consuming</w:t>
      </w:r>
      <w:r w:rsidR="004F0200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r w:rsidR="00D576DD">
        <w:rPr>
          <w:rFonts w:ascii="Times New Roman" w:hAnsi="Times New Roman" w:cs="Times New Roman"/>
          <w:color w:val="2B2B2B"/>
          <w:sz w:val="24"/>
          <w:szCs w:val="24"/>
        </w:rPr>
        <w:t>One</w:t>
      </w:r>
      <w:r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 may have no idea how much time it may take to complete the process</w:t>
      </w:r>
      <w:r w:rsidR="00D251EA" w:rsidRPr="000A3EDC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A0152C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 Because of this it is advised not to </w:t>
      </w:r>
      <w:r w:rsidR="00BC2FD1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refactor if one does not have time or is </w:t>
      </w:r>
      <w:r w:rsidR="00631388" w:rsidRPr="000A3EDC">
        <w:rPr>
          <w:rFonts w:ascii="Times New Roman" w:hAnsi="Times New Roman" w:cs="Times New Roman"/>
          <w:color w:val="2B2B2B"/>
          <w:sz w:val="24"/>
          <w:szCs w:val="24"/>
        </w:rPr>
        <w:t>working near deadline.</w:t>
      </w:r>
      <w:r w:rsidR="000E7F2F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 Stable codes are not also advised to be refactored.</w:t>
      </w:r>
    </w:p>
    <w:p w14:paraId="2A8EB434" w14:textId="4D58E28D" w:rsidR="000E7F2F" w:rsidRPr="000A3EDC" w:rsidRDefault="000E7F2F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In this </w:t>
      </w:r>
      <w:r w:rsidR="006F6F2D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particular assignment, the first advantage of refactoring is </w:t>
      </w:r>
      <w:r w:rsidR="000B55E3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it generates results of two years </w:t>
      </w:r>
      <w:r w:rsidR="00DF6A8A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simultaneously instead of having two separate codes for each  </w:t>
      </w:r>
      <w:r w:rsidR="000B55E3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DF6A8A" w:rsidRPr="000A3EDC">
        <w:rPr>
          <w:rFonts w:ascii="Times New Roman" w:hAnsi="Times New Roman" w:cs="Times New Roman"/>
          <w:color w:val="2B2B2B"/>
          <w:sz w:val="24"/>
          <w:szCs w:val="24"/>
        </w:rPr>
        <w:t>year. It also reduces the</w:t>
      </w:r>
      <w:r w:rsidR="006A0716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 program processing</w:t>
      </w:r>
      <w:r w:rsidR="00DF6A8A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 time</w:t>
      </w:r>
      <w:r w:rsidR="006A0716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. Table-3 below shows the </w:t>
      </w:r>
      <w:r w:rsidR="00B41DDB" w:rsidRPr="000A3EDC">
        <w:rPr>
          <w:rFonts w:ascii="Times New Roman" w:hAnsi="Times New Roman" w:cs="Times New Roman"/>
          <w:color w:val="2B2B2B"/>
          <w:sz w:val="24"/>
          <w:szCs w:val="24"/>
        </w:rPr>
        <w:t>processing time</w:t>
      </w:r>
      <w:r w:rsidR="006A0716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B41DDB" w:rsidRPr="000A3EDC">
        <w:rPr>
          <w:rFonts w:ascii="Times New Roman" w:hAnsi="Times New Roman" w:cs="Times New Roman"/>
          <w:color w:val="2B2B2B"/>
          <w:sz w:val="24"/>
          <w:szCs w:val="24"/>
        </w:rPr>
        <w:t>for the year 2018 before and after</w:t>
      </w:r>
      <w:r w:rsidR="005868E0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 refactoring. Processing time is reduced significantly</w:t>
      </w:r>
      <w:r w:rsidR="00B549EA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5868E0" w:rsidRPr="000A3EDC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15679A40" w14:textId="4CAD57D7" w:rsidR="005868E0" w:rsidRPr="00D34936" w:rsidRDefault="005868E0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Table-3: Processing time before and after refactoring of the VBA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695"/>
        <w:gridCol w:w="2695"/>
      </w:tblGrid>
      <w:tr w:rsidR="006A0716" w:rsidRPr="006A0716" w14:paraId="09C9969B" w14:textId="4205D428" w:rsidTr="004158E0">
        <w:tc>
          <w:tcPr>
            <w:tcW w:w="2695" w:type="dxa"/>
          </w:tcPr>
          <w:p w14:paraId="58B3EE4B" w14:textId="57B86793" w:rsidR="006A0716" w:rsidRPr="006A0716" w:rsidRDefault="006A0716" w:rsidP="000A3EDC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year</w:t>
            </w:r>
          </w:p>
        </w:tc>
        <w:tc>
          <w:tcPr>
            <w:tcW w:w="2695" w:type="dxa"/>
          </w:tcPr>
          <w:p w14:paraId="1DAD00B2" w14:textId="1C71A137" w:rsidR="006A0716" w:rsidRPr="006A0716" w:rsidRDefault="006A0716" w:rsidP="000A3EDC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Processing time before refactoring</w:t>
            </w:r>
          </w:p>
        </w:tc>
        <w:tc>
          <w:tcPr>
            <w:tcW w:w="2695" w:type="dxa"/>
          </w:tcPr>
          <w:p w14:paraId="74A8EAC1" w14:textId="7A52C38A" w:rsidR="006A0716" w:rsidRPr="006A0716" w:rsidRDefault="006A0716" w:rsidP="000A3EDC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 xml:space="preserve">Processing time </w:t>
            </w:r>
            <w:r w:rsidR="00CC23EA"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after</w:t>
            </w: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 xml:space="preserve"> refactoring</w:t>
            </w:r>
          </w:p>
        </w:tc>
      </w:tr>
      <w:tr w:rsidR="006A0716" w:rsidRPr="006A0716" w14:paraId="38961943" w14:textId="1932A821" w:rsidTr="004158E0">
        <w:tc>
          <w:tcPr>
            <w:tcW w:w="2695" w:type="dxa"/>
          </w:tcPr>
          <w:p w14:paraId="15A3663E" w14:textId="3E518E24" w:rsidR="006A0716" w:rsidRPr="006A0716" w:rsidRDefault="006A0716" w:rsidP="000A3EDC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2018</w:t>
            </w:r>
          </w:p>
        </w:tc>
        <w:tc>
          <w:tcPr>
            <w:tcW w:w="2695" w:type="dxa"/>
          </w:tcPr>
          <w:p w14:paraId="4F61EA84" w14:textId="75B31435" w:rsidR="006A0716" w:rsidRPr="006A0716" w:rsidRDefault="00B41DDB" w:rsidP="000A3EDC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 xml:space="preserve">0.9375 </w:t>
            </w: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seconds</w:t>
            </w:r>
          </w:p>
        </w:tc>
        <w:tc>
          <w:tcPr>
            <w:tcW w:w="2695" w:type="dxa"/>
          </w:tcPr>
          <w:p w14:paraId="4768CBE3" w14:textId="673A1F08" w:rsidR="006A0716" w:rsidRPr="006A0716" w:rsidRDefault="002F7126" w:rsidP="000A3EDC">
            <w:pPr>
              <w:spacing w:after="160" w:line="360" w:lineRule="auto"/>
              <w:jc w:val="both"/>
              <w:rPr>
                <w:rFonts w:ascii="Times New Roman" w:hAnsi="Times New Roman" w:cs="Times New Roman"/>
                <w:color w:val="2B2B2B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B2B2B"/>
                <w:sz w:val="24"/>
                <w:szCs w:val="24"/>
              </w:rPr>
              <w:t>0.1401625 seconds</w:t>
            </w:r>
          </w:p>
        </w:tc>
      </w:tr>
    </w:tbl>
    <w:p w14:paraId="63A6BB8A" w14:textId="77777777" w:rsidR="00D2108F" w:rsidRPr="00D558BA" w:rsidRDefault="00D2108F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7E1341AC" w14:textId="1E59F21E" w:rsidR="007A695B" w:rsidRDefault="00F5208A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>The second advantage is that it adds new features like coloring of the results</w:t>
      </w:r>
      <w:r w:rsidR="008A1152">
        <w:rPr>
          <w:rFonts w:ascii="Times New Roman" w:hAnsi="Times New Roman" w:cs="Times New Roman"/>
          <w:color w:val="2B2B2B"/>
          <w:sz w:val="24"/>
          <w:szCs w:val="24"/>
        </w:rPr>
        <w:t xml:space="preserve"> which increases the readability and detectability of results very easily. </w:t>
      </w:r>
    </w:p>
    <w:p w14:paraId="4D2865D5" w14:textId="1DD50B91" w:rsidR="008A1152" w:rsidRPr="00D558BA" w:rsidRDefault="00E74A20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For beginner like me the guidance on </w:t>
      </w:r>
      <w:r w:rsidR="00CC6544">
        <w:rPr>
          <w:rFonts w:ascii="Times New Roman" w:hAnsi="Times New Roman" w:cs="Times New Roman"/>
          <w:color w:val="2B2B2B"/>
          <w:sz w:val="24"/>
          <w:szCs w:val="24"/>
        </w:rPr>
        <w:t xml:space="preserve">refactoring help me to learn coding </w:t>
      </w:r>
      <w:r w:rsidR="007E7022">
        <w:rPr>
          <w:rFonts w:ascii="Times New Roman" w:hAnsi="Times New Roman" w:cs="Times New Roman"/>
          <w:color w:val="2B2B2B"/>
          <w:sz w:val="24"/>
          <w:szCs w:val="24"/>
        </w:rPr>
        <w:t>better</w:t>
      </w:r>
      <w:r w:rsidR="00CC6544">
        <w:rPr>
          <w:rFonts w:ascii="Times New Roman" w:hAnsi="Times New Roman" w:cs="Times New Roman"/>
          <w:color w:val="2B2B2B"/>
          <w:sz w:val="24"/>
          <w:szCs w:val="24"/>
        </w:rPr>
        <w:t xml:space="preserve"> and know that </w:t>
      </w:r>
      <w:r w:rsidR="0019436A">
        <w:rPr>
          <w:rFonts w:ascii="Times New Roman" w:hAnsi="Times New Roman" w:cs="Times New Roman"/>
          <w:color w:val="2B2B2B"/>
          <w:sz w:val="24"/>
          <w:szCs w:val="24"/>
        </w:rPr>
        <w:t xml:space="preserve">long codes can be shorten. As a </w:t>
      </w:r>
      <w:r w:rsidR="007E7022">
        <w:rPr>
          <w:rFonts w:ascii="Times New Roman" w:hAnsi="Times New Roman" w:cs="Times New Roman"/>
          <w:color w:val="2B2B2B"/>
          <w:sz w:val="24"/>
          <w:szCs w:val="24"/>
        </w:rPr>
        <w:t>beginner, I</w:t>
      </w:r>
      <w:r w:rsidR="0019436A">
        <w:rPr>
          <w:rFonts w:ascii="Times New Roman" w:hAnsi="Times New Roman" w:cs="Times New Roman"/>
          <w:color w:val="2B2B2B"/>
          <w:sz w:val="24"/>
          <w:szCs w:val="24"/>
        </w:rPr>
        <w:t xml:space="preserve"> have not identified </w:t>
      </w:r>
      <w:r w:rsidR="00CC6544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7E7022">
        <w:rPr>
          <w:rFonts w:ascii="Times New Roman" w:hAnsi="Times New Roman" w:cs="Times New Roman"/>
          <w:color w:val="2B2B2B"/>
          <w:sz w:val="24"/>
          <w:szCs w:val="24"/>
        </w:rPr>
        <w:t xml:space="preserve">disadvantage of refactoring </w:t>
      </w:r>
      <w:r w:rsidR="00225A2B">
        <w:rPr>
          <w:rFonts w:ascii="Times New Roman" w:hAnsi="Times New Roman" w:cs="Times New Roman"/>
          <w:color w:val="2B2B2B"/>
          <w:sz w:val="24"/>
          <w:szCs w:val="24"/>
        </w:rPr>
        <w:t xml:space="preserve">in this exercise </w:t>
      </w:r>
      <w:r w:rsidR="007E7022">
        <w:rPr>
          <w:rFonts w:ascii="Times New Roman" w:hAnsi="Times New Roman" w:cs="Times New Roman"/>
          <w:color w:val="2B2B2B"/>
          <w:sz w:val="24"/>
          <w:szCs w:val="24"/>
        </w:rPr>
        <w:t xml:space="preserve">as </w:t>
      </w:r>
      <w:r w:rsidR="001F1F29">
        <w:rPr>
          <w:rFonts w:ascii="Times New Roman" w:hAnsi="Times New Roman" w:cs="Times New Roman"/>
          <w:color w:val="2B2B2B"/>
          <w:sz w:val="24"/>
          <w:szCs w:val="24"/>
        </w:rPr>
        <w:t xml:space="preserve">the instructions and examples were clear. I find it very helpful. </w:t>
      </w:r>
    </w:p>
    <w:p w14:paraId="56CC9439" w14:textId="77777777" w:rsidR="00296422" w:rsidRPr="00D558BA" w:rsidRDefault="00296422" w:rsidP="000A3ED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sectPr w:rsidR="00296422" w:rsidRPr="00D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3D56" w14:textId="77777777" w:rsidR="007F6625" w:rsidRDefault="007F6625" w:rsidP="005F775C">
      <w:pPr>
        <w:spacing w:after="0" w:line="240" w:lineRule="auto"/>
      </w:pPr>
      <w:r>
        <w:separator/>
      </w:r>
    </w:p>
  </w:endnote>
  <w:endnote w:type="continuationSeparator" w:id="0">
    <w:p w14:paraId="5BB58050" w14:textId="77777777" w:rsidR="007F6625" w:rsidRDefault="007F6625" w:rsidP="005F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1DB40" w14:textId="77777777" w:rsidR="007F6625" w:rsidRDefault="007F6625" w:rsidP="005F775C">
      <w:pPr>
        <w:spacing w:after="0" w:line="240" w:lineRule="auto"/>
      </w:pPr>
      <w:r>
        <w:separator/>
      </w:r>
    </w:p>
  </w:footnote>
  <w:footnote w:type="continuationSeparator" w:id="0">
    <w:p w14:paraId="4664EAFF" w14:textId="77777777" w:rsidR="007F6625" w:rsidRDefault="007F6625" w:rsidP="005F775C">
      <w:pPr>
        <w:spacing w:after="0" w:line="240" w:lineRule="auto"/>
      </w:pPr>
      <w:r>
        <w:continuationSeparator/>
      </w:r>
    </w:p>
  </w:footnote>
  <w:footnote w:id="1">
    <w:p w14:paraId="644C2D1C" w14:textId="6F1D9DC8" w:rsidR="003E7D29" w:rsidRDefault="003E7D29">
      <w:pPr>
        <w:pStyle w:val="FootnoteText"/>
      </w:pPr>
      <w:r>
        <w:rPr>
          <w:rStyle w:val="FootnoteReference"/>
        </w:rPr>
        <w:footnoteRef/>
      </w:r>
      <w:r w:rsidR="00702B59">
        <w:rPr>
          <w:rFonts w:ascii="Times New Roman" w:hAnsi="Times New Roman" w:cs="Times New Roman"/>
          <w:color w:val="2B2B2B"/>
          <w:sz w:val="24"/>
          <w:szCs w:val="24"/>
        </w:rPr>
        <w:t>Cory Mitchell,2022</w:t>
      </w:r>
      <w:r w:rsidR="00702B59">
        <w:rPr>
          <w:rFonts w:ascii="Times New Roman" w:hAnsi="Times New Roman" w:cs="Times New Roman"/>
          <w:color w:val="2B2B2B"/>
          <w:sz w:val="24"/>
          <w:szCs w:val="24"/>
        </w:rPr>
        <w:t xml:space="preserve">: </w:t>
      </w:r>
      <w:r>
        <w:t xml:space="preserve"> </w:t>
      </w:r>
      <w:hyperlink r:id="rId1" w:history="1">
        <w:r w:rsidR="00702B59" w:rsidRPr="00A76B0C">
          <w:rPr>
            <w:rStyle w:val="Hyperlink"/>
          </w:rPr>
          <w:t>https://www.investopedia.com/articles/technical/02/010702.asp</w:t>
        </w:r>
      </w:hyperlink>
    </w:p>
    <w:p w14:paraId="79FB0F7F" w14:textId="77777777" w:rsidR="00702B59" w:rsidRDefault="00702B59">
      <w:pPr>
        <w:pStyle w:val="FootnoteText"/>
      </w:pPr>
    </w:p>
  </w:footnote>
  <w:footnote w:id="2">
    <w:p w14:paraId="18567ED5" w14:textId="44A9A149" w:rsidR="00637E14" w:rsidRDefault="00637E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A76B0C">
          <w:rPr>
            <w:rStyle w:val="Hyperlink"/>
          </w:rPr>
          <w:t>https://www.c-sharpcorner.com/article/pros-and-cons-of-code-refactoring/</w:t>
        </w:r>
      </w:hyperlink>
    </w:p>
    <w:p w14:paraId="51A68CD6" w14:textId="77777777" w:rsidR="00637E14" w:rsidRDefault="00637E14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774"/>
    <w:multiLevelType w:val="hybridMultilevel"/>
    <w:tmpl w:val="BBF8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43B7B"/>
    <w:multiLevelType w:val="multilevel"/>
    <w:tmpl w:val="1B226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85790B"/>
    <w:multiLevelType w:val="multilevel"/>
    <w:tmpl w:val="796CB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326746A3"/>
    <w:multiLevelType w:val="hybridMultilevel"/>
    <w:tmpl w:val="2E3E85AC"/>
    <w:lvl w:ilvl="0" w:tplc="040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4" w15:restartNumberingAfterBreak="0">
    <w:nsid w:val="3D4E2666"/>
    <w:multiLevelType w:val="multilevel"/>
    <w:tmpl w:val="947E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960B5"/>
    <w:multiLevelType w:val="hybridMultilevel"/>
    <w:tmpl w:val="960CD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554E7"/>
    <w:multiLevelType w:val="hybridMultilevel"/>
    <w:tmpl w:val="F01E3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14233"/>
    <w:multiLevelType w:val="hybridMultilevel"/>
    <w:tmpl w:val="C7441834"/>
    <w:lvl w:ilvl="0" w:tplc="303A9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5C"/>
    <w:rsid w:val="0000209A"/>
    <w:rsid w:val="00002646"/>
    <w:rsid w:val="00004E70"/>
    <w:rsid w:val="00007073"/>
    <w:rsid w:val="00010F44"/>
    <w:rsid w:val="00021ABE"/>
    <w:rsid w:val="000225F7"/>
    <w:rsid w:val="00036D69"/>
    <w:rsid w:val="00040A58"/>
    <w:rsid w:val="0004245A"/>
    <w:rsid w:val="00043552"/>
    <w:rsid w:val="000441CD"/>
    <w:rsid w:val="0004748C"/>
    <w:rsid w:val="00050780"/>
    <w:rsid w:val="0005556E"/>
    <w:rsid w:val="00057590"/>
    <w:rsid w:val="00062BCA"/>
    <w:rsid w:val="00063BEB"/>
    <w:rsid w:val="00064A30"/>
    <w:rsid w:val="00064CC2"/>
    <w:rsid w:val="00076A33"/>
    <w:rsid w:val="00082E41"/>
    <w:rsid w:val="00087C1C"/>
    <w:rsid w:val="0009005C"/>
    <w:rsid w:val="000960F1"/>
    <w:rsid w:val="000A3EDC"/>
    <w:rsid w:val="000A68CB"/>
    <w:rsid w:val="000A7577"/>
    <w:rsid w:val="000B382E"/>
    <w:rsid w:val="000B3CCE"/>
    <w:rsid w:val="000B55E3"/>
    <w:rsid w:val="000B5B3F"/>
    <w:rsid w:val="000B6084"/>
    <w:rsid w:val="000C13BF"/>
    <w:rsid w:val="000C71CC"/>
    <w:rsid w:val="000E630C"/>
    <w:rsid w:val="000E7F2F"/>
    <w:rsid w:val="000F3A65"/>
    <w:rsid w:val="000F67BE"/>
    <w:rsid w:val="000F6AF9"/>
    <w:rsid w:val="00103797"/>
    <w:rsid w:val="00104F2E"/>
    <w:rsid w:val="00110716"/>
    <w:rsid w:val="00112466"/>
    <w:rsid w:val="001135B2"/>
    <w:rsid w:val="0011395B"/>
    <w:rsid w:val="001145D0"/>
    <w:rsid w:val="00125BFD"/>
    <w:rsid w:val="00131F52"/>
    <w:rsid w:val="00137DBA"/>
    <w:rsid w:val="001407FC"/>
    <w:rsid w:val="00142AE6"/>
    <w:rsid w:val="00147DBB"/>
    <w:rsid w:val="001542FC"/>
    <w:rsid w:val="00155564"/>
    <w:rsid w:val="00156490"/>
    <w:rsid w:val="00157E59"/>
    <w:rsid w:val="001658CD"/>
    <w:rsid w:val="00170A8E"/>
    <w:rsid w:val="001753FC"/>
    <w:rsid w:val="001774CC"/>
    <w:rsid w:val="00184D1F"/>
    <w:rsid w:val="0019118A"/>
    <w:rsid w:val="0019436A"/>
    <w:rsid w:val="00197567"/>
    <w:rsid w:val="00197911"/>
    <w:rsid w:val="00197B33"/>
    <w:rsid w:val="001A20D1"/>
    <w:rsid w:val="001A6FA0"/>
    <w:rsid w:val="001B36F7"/>
    <w:rsid w:val="001C12A6"/>
    <w:rsid w:val="001C459C"/>
    <w:rsid w:val="001C5EB6"/>
    <w:rsid w:val="001C7995"/>
    <w:rsid w:val="001C7D43"/>
    <w:rsid w:val="001D59DF"/>
    <w:rsid w:val="001F1F29"/>
    <w:rsid w:val="001F3845"/>
    <w:rsid w:val="001F6227"/>
    <w:rsid w:val="001F7AF9"/>
    <w:rsid w:val="00204C72"/>
    <w:rsid w:val="002076FF"/>
    <w:rsid w:val="00207A96"/>
    <w:rsid w:val="0021196F"/>
    <w:rsid w:val="00217640"/>
    <w:rsid w:val="00222F79"/>
    <w:rsid w:val="00225A2B"/>
    <w:rsid w:val="002367A7"/>
    <w:rsid w:val="00253B82"/>
    <w:rsid w:val="00260CA8"/>
    <w:rsid w:val="002624E5"/>
    <w:rsid w:val="00262F11"/>
    <w:rsid w:val="0027381F"/>
    <w:rsid w:val="00274DB3"/>
    <w:rsid w:val="002802C0"/>
    <w:rsid w:val="00282408"/>
    <w:rsid w:val="00282571"/>
    <w:rsid w:val="00296422"/>
    <w:rsid w:val="002A26FE"/>
    <w:rsid w:val="002A3B58"/>
    <w:rsid w:val="002A5742"/>
    <w:rsid w:val="002B1620"/>
    <w:rsid w:val="002B2A29"/>
    <w:rsid w:val="002B31E1"/>
    <w:rsid w:val="002B5ED1"/>
    <w:rsid w:val="002C1A68"/>
    <w:rsid w:val="002D78F3"/>
    <w:rsid w:val="002E1B75"/>
    <w:rsid w:val="002F7126"/>
    <w:rsid w:val="0031743C"/>
    <w:rsid w:val="003315AF"/>
    <w:rsid w:val="00332F52"/>
    <w:rsid w:val="00334338"/>
    <w:rsid w:val="00336F64"/>
    <w:rsid w:val="0034477F"/>
    <w:rsid w:val="003458B8"/>
    <w:rsid w:val="00347DC7"/>
    <w:rsid w:val="003540B3"/>
    <w:rsid w:val="00356476"/>
    <w:rsid w:val="00373B2C"/>
    <w:rsid w:val="0037521E"/>
    <w:rsid w:val="003802D5"/>
    <w:rsid w:val="00381D39"/>
    <w:rsid w:val="00387B49"/>
    <w:rsid w:val="00392569"/>
    <w:rsid w:val="00394D37"/>
    <w:rsid w:val="00396438"/>
    <w:rsid w:val="003979D4"/>
    <w:rsid w:val="003A4C25"/>
    <w:rsid w:val="003B385B"/>
    <w:rsid w:val="003C1339"/>
    <w:rsid w:val="003C53C4"/>
    <w:rsid w:val="003C6148"/>
    <w:rsid w:val="003C6358"/>
    <w:rsid w:val="003E7D29"/>
    <w:rsid w:val="003F2020"/>
    <w:rsid w:val="00412337"/>
    <w:rsid w:val="00430257"/>
    <w:rsid w:val="00430625"/>
    <w:rsid w:val="004354BE"/>
    <w:rsid w:val="004409C5"/>
    <w:rsid w:val="0044211A"/>
    <w:rsid w:val="0045238B"/>
    <w:rsid w:val="00454473"/>
    <w:rsid w:val="004607AD"/>
    <w:rsid w:val="00460C8B"/>
    <w:rsid w:val="004638F1"/>
    <w:rsid w:val="0046486A"/>
    <w:rsid w:val="00466ED8"/>
    <w:rsid w:val="004738C5"/>
    <w:rsid w:val="00480BDB"/>
    <w:rsid w:val="00496865"/>
    <w:rsid w:val="004A2B78"/>
    <w:rsid w:val="004A72FA"/>
    <w:rsid w:val="004B762A"/>
    <w:rsid w:val="004D452D"/>
    <w:rsid w:val="004E16ED"/>
    <w:rsid w:val="004E2573"/>
    <w:rsid w:val="004E73CB"/>
    <w:rsid w:val="004E77C5"/>
    <w:rsid w:val="004F0200"/>
    <w:rsid w:val="004F6176"/>
    <w:rsid w:val="00501AAF"/>
    <w:rsid w:val="00505C1D"/>
    <w:rsid w:val="00507527"/>
    <w:rsid w:val="00510C54"/>
    <w:rsid w:val="005227EA"/>
    <w:rsid w:val="005238D9"/>
    <w:rsid w:val="0052534A"/>
    <w:rsid w:val="005258D6"/>
    <w:rsid w:val="00531628"/>
    <w:rsid w:val="00543A80"/>
    <w:rsid w:val="005508DB"/>
    <w:rsid w:val="005523E9"/>
    <w:rsid w:val="00557AF0"/>
    <w:rsid w:val="00567A68"/>
    <w:rsid w:val="0057318E"/>
    <w:rsid w:val="00575254"/>
    <w:rsid w:val="005776F4"/>
    <w:rsid w:val="005835E0"/>
    <w:rsid w:val="00583C80"/>
    <w:rsid w:val="005858B2"/>
    <w:rsid w:val="005868E0"/>
    <w:rsid w:val="00587904"/>
    <w:rsid w:val="00591052"/>
    <w:rsid w:val="005969F9"/>
    <w:rsid w:val="005A32BF"/>
    <w:rsid w:val="005B654A"/>
    <w:rsid w:val="005D2061"/>
    <w:rsid w:val="005D3A66"/>
    <w:rsid w:val="005D6F03"/>
    <w:rsid w:val="005E2F10"/>
    <w:rsid w:val="005E3563"/>
    <w:rsid w:val="005F55EB"/>
    <w:rsid w:val="005F775C"/>
    <w:rsid w:val="00617A36"/>
    <w:rsid w:val="00627DC5"/>
    <w:rsid w:val="00631388"/>
    <w:rsid w:val="00637E14"/>
    <w:rsid w:val="00646344"/>
    <w:rsid w:val="00650C73"/>
    <w:rsid w:val="006517B6"/>
    <w:rsid w:val="00665807"/>
    <w:rsid w:val="00667988"/>
    <w:rsid w:val="00672772"/>
    <w:rsid w:val="00674622"/>
    <w:rsid w:val="0067509C"/>
    <w:rsid w:val="00680099"/>
    <w:rsid w:val="006841C3"/>
    <w:rsid w:val="00690415"/>
    <w:rsid w:val="006979FF"/>
    <w:rsid w:val="006A0716"/>
    <w:rsid w:val="006A58BB"/>
    <w:rsid w:val="006C2F95"/>
    <w:rsid w:val="006D1916"/>
    <w:rsid w:val="006D4396"/>
    <w:rsid w:val="006E5A9E"/>
    <w:rsid w:val="006F6F2D"/>
    <w:rsid w:val="00702B59"/>
    <w:rsid w:val="00711E9B"/>
    <w:rsid w:val="00715E75"/>
    <w:rsid w:val="00720F49"/>
    <w:rsid w:val="00721E7A"/>
    <w:rsid w:val="0072636C"/>
    <w:rsid w:val="00735005"/>
    <w:rsid w:val="00746987"/>
    <w:rsid w:val="0076501D"/>
    <w:rsid w:val="00767514"/>
    <w:rsid w:val="00771EDF"/>
    <w:rsid w:val="00774EB9"/>
    <w:rsid w:val="00774EBA"/>
    <w:rsid w:val="00775C9D"/>
    <w:rsid w:val="00777781"/>
    <w:rsid w:val="00783BA6"/>
    <w:rsid w:val="00787F5E"/>
    <w:rsid w:val="007A2DC3"/>
    <w:rsid w:val="007A57B0"/>
    <w:rsid w:val="007A695B"/>
    <w:rsid w:val="007B121E"/>
    <w:rsid w:val="007B1D2F"/>
    <w:rsid w:val="007B233A"/>
    <w:rsid w:val="007C624A"/>
    <w:rsid w:val="007D76BA"/>
    <w:rsid w:val="007E2E28"/>
    <w:rsid w:val="007E7022"/>
    <w:rsid w:val="007F5F84"/>
    <w:rsid w:val="007F6625"/>
    <w:rsid w:val="007F66B3"/>
    <w:rsid w:val="007F71CE"/>
    <w:rsid w:val="00803942"/>
    <w:rsid w:val="00806F10"/>
    <w:rsid w:val="00807E6F"/>
    <w:rsid w:val="00824C72"/>
    <w:rsid w:val="00826E39"/>
    <w:rsid w:val="00835F42"/>
    <w:rsid w:val="008420E6"/>
    <w:rsid w:val="00843626"/>
    <w:rsid w:val="00854FD4"/>
    <w:rsid w:val="00861561"/>
    <w:rsid w:val="008637F9"/>
    <w:rsid w:val="00885C53"/>
    <w:rsid w:val="00894405"/>
    <w:rsid w:val="00895E7B"/>
    <w:rsid w:val="008A0F5B"/>
    <w:rsid w:val="008A1152"/>
    <w:rsid w:val="008A26C9"/>
    <w:rsid w:val="008B4E28"/>
    <w:rsid w:val="008E4466"/>
    <w:rsid w:val="008E66FC"/>
    <w:rsid w:val="008F01B0"/>
    <w:rsid w:val="00901223"/>
    <w:rsid w:val="009047AD"/>
    <w:rsid w:val="009056CA"/>
    <w:rsid w:val="00905778"/>
    <w:rsid w:val="0091378E"/>
    <w:rsid w:val="00914D21"/>
    <w:rsid w:val="00922589"/>
    <w:rsid w:val="00926DBC"/>
    <w:rsid w:val="00933A5D"/>
    <w:rsid w:val="00936162"/>
    <w:rsid w:val="00942E50"/>
    <w:rsid w:val="009467DA"/>
    <w:rsid w:val="0094772D"/>
    <w:rsid w:val="00957CEC"/>
    <w:rsid w:val="009654E5"/>
    <w:rsid w:val="00975013"/>
    <w:rsid w:val="009812BC"/>
    <w:rsid w:val="00983B51"/>
    <w:rsid w:val="009852AA"/>
    <w:rsid w:val="00991817"/>
    <w:rsid w:val="009A1A42"/>
    <w:rsid w:val="009A288F"/>
    <w:rsid w:val="009A43A3"/>
    <w:rsid w:val="009A5090"/>
    <w:rsid w:val="009B04FC"/>
    <w:rsid w:val="009B3982"/>
    <w:rsid w:val="009B6F61"/>
    <w:rsid w:val="009C043D"/>
    <w:rsid w:val="009C14AC"/>
    <w:rsid w:val="009C515A"/>
    <w:rsid w:val="009C7077"/>
    <w:rsid w:val="009D33C2"/>
    <w:rsid w:val="009D4877"/>
    <w:rsid w:val="00A0152C"/>
    <w:rsid w:val="00A07B92"/>
    <w:rsid w:val="00A146E0"/>
    <w:rsid w:val="00A154A4"/>
    <w:rsid w:val="00A271BE"/>
    <w:rsid w:val="00A3243E"/>
    <w:rsid w:val="00A34002"/>
    <w:rsid w:val="00A4009C"/>
    <w:rsid w:val="00A426BF"/>
    <w:rsid w:val="00A56906"/>
    <w:rsid w:val="00A57893"/>
    <w:rsid w:val="00A57994"/>
    <w:rsid w:val="00A61847"/>
    <w:rsid w:val="00A66DAF"/>
    <w:rsid w:val="00A74797"/>
    <w:rsid w:val="00A770E2"/>
    <w:rsid w:val="00A83940"/>
    <w:rsid w:val="00A9447D"/>
    <w:rsid w:val="00A94B32"/>
    <w:rsid w:val="00A96543"/>
    <w:rsid w:val="00AA395D"/>
    <w:rsid w:val="00AA6722"/>
    <w:rsid w:val="00AA730E"/>
    <w:rsid w:val="00AB50C2"/>
    <w:rsid w:val="00AB5E2B"/>
    <w:rsid w:val="00AB6D5D"/>
    <w:rsid w:val="00AC035A"/>
    <w:rsid w:val="00AC3CD6"/>
    <w:rsid w:val="00AD79EC"/>
    <w:rsid w:val="00AE125C"/>
    <w:rsid w:val="00AE30A8"/>
    <w:rsid w:val="00AE60E9"/>
    <w:rsid w:val="00B0161A"/>
    <w:rsid w:val="00B046F4"/>
    <w:rsid w:val="00B10277"/>
    <w:rsid w:val="00B21A28"/>
    <w:rsid w:val="00B33106"/>
    <w:rsid w:val="00B354AD"/>
    <w:rsid w:val="00B41B03"/>
    <w:rsid w:val="00B41DDB"/>
    <w:rsid w:val="00B45D28"/>
    <w:rsid w:val="00B52D8F"/>
    <w:rsid w:val="00B549EA"/>
    <w:rsid w:val="00B606B9"/>
    <w:rsid w:val="00B6131A"/>
    <w:rsid w:val="00B6188E"/>
    <w:rsid w:val="00BA1C10"/>
    <w:rsid w:val="00BA5AB7"/>
    <w:rsid w:val="00BB169F"/>
    <w:rsid w:val="00BB679D"/>
    <w:rsid w:val="00BC2FD1"/>
    <w:rsid w:val="00BC4C96"/>
    <w:rsid w:val="00BD01BD"/>
    <w:rsid w:val="00BE0AFA"/>
    <w:rsid w:val="00BE3A73"/>
    <w:rsid w:val="00BF0604"/>
    <w:rsid w:val="00BF3515"/>
    <w:rsid w:val="00C02B8D"/>
    <w:rsid w:val="00C062DF"/>
    <w:rsid w:val="00C06F40"/>
    <w:rsid w:val="00C0718E"/>
    <w:rsid w:val="00C20ED9"/>
    <w:rsid w:val="00C32D10"/>
    <w:rsid w:val="00C36228"/>
    <w:rsid w:val="00C44463"/>
    <w:rsid w:val="00C45C8D"/>
    <w:rsid w:val="00C5077C"/>
    <w:rsid w:val="00C54799"/>
    <w:rsid w:val="00C5621D"/>
    <w:rsid w:val="00C7313B"/>
    <w:rsid w:val="00C7498A"/>
    <w:rsid w:val="00C75F59"/>
    <w:rsid w:val="00C8605D"/>
    <w:rsid w:val="00C864E6"/>
    <w:rsid w:val="00C8700A"/>
    <w:rsid w:val="00C90247"/>
    <w:rsid w:val="00C919B3"/>
    <w:rsid w:val="00CA12C9"/>
    <w:rsid w:val="00CA3AFE"/>
    <w:rsid w:val="00CB5F06"/>
    <w:rsid w:val="00CB7E82"/>
    <w:rsid w:val="00CB7FD7"/>
    <w:rsid w:val="00CC23EA"/>
    <w:rsid w:val="00CC6544"/>
    <w:rsid w:val="00CD5CF9"/>
    <w:rsid w:val="00CD6CDF"/>
    <w:rsid w:val="00D03022"/>
    <w:rsid w:val="00D0647E"/>
    <w:rsid w:val="00D07B95"/>
    <w:rsid w:val="00D107CA"/>
    <w:rsid w:val="00D144EE"/>
    <w:rsid w:val="00D16F27"/>
    <w:rsid w:val="00D2108F"/>
    <w:rsid w:val="00D21802"/>
    <w:rsid w:val="00D2211D"/>
    <w:rsid w:val="00D22D9B"/>
    <w:rsid w:val="00D251EA"/>
    <w:rsid w:val="00D338A7"/>
    <w:rsid w:val="00D34936"/>
    <w:rsid w:val="00D40924"/>
    <w:rsid w:val="00D43CA2"/>
    <w:rsid w:val="00D44667"/>
    <w:rsid w:val="00D47BA1"/>
    <w:rsid w:val="00D52AE4"/>
    <w:rsid w:val="00D558BA"/>
    <w:rsid w:val="00D576DD"/>
    <w:rsid w:val="00D60244"/>
    <w:rsid w:val="00D65B97"/>
    <w:rsid w:val="00D704B9"/>
    <w:rsid w:val="00D72609"/>
    <w:rsid w:val="00D84E31"/>
    <w:rsid w:val="00D85DFD"/>
    <w:rsid w:val="00D951F9"/>
    <w:rsid w:val="00DA270D"/>
    <w:rsid w:val="00DB00D7"/>
    <w:rsid w:val="00DB697F"/>
    <w:rsid w:val="00DB74E4"/>
    <w:rsid w:val="00DD611F"/>
    <w:rsid w:val="00DD74EB"/>
    <w:rsid w:val="00DE5BC8"/>
    <w:rsid w:val="00DF21CE"/>
    <w:rsid w:val="00DF2300"/>
    <w:rsid w:val="00DF4A39"/>
    <w:rsid w:val="00DF6732"/>
    <w:rsid w:val="00DF6A8A"/>
    <w:rsid w:val="00E02B5F"/>
    <w:rsid w:val="00E073AC"/>
    <w:rsid w:val="00E13B06"/>
    <w:rsid w:val="00E32731"/>
    <w:rsid w:val="00E34F23"/>
    <w:rsid w:val="00E40D56"/>
    <w:rsid w:val="00E41346"/>
    <w:rsid w:val="00E524B2"/>
    <w:rsid w:val="00E5687B"/>
    <w:rsid w:val="00E60376"/>
    <w:rsid w:val="00E60C66"/>
    <w:rsid w:val="00E61174"/>
    <w:rsid w:val="00E700FE"/>
    <w:rsid w:val="00E72E9D"/>
    <w:rsid w:val="00E74A20"/>
    <w:rsid w:val="00E76EE3"/>
    <w:rsid w:val="00EA41BA"/>
    <w:rsid w:val="00EA47D5"/>
    <w:rsid w:val="00EA4CF1"/>
    <w:rsid w:val="00EA62D2"/>
    <w:rsid w:val="00EC2345"/>
    <w:rsid w:val="00EC2CA0"/>
    <w:rsid w:val="00ED0854"/>
    <w:rsid w:val="00ED7622"/>
    <w:rsid w:val="00EE733B"/>
    <w:rsid w:val="00EF2761"/>
    <w:rsid w:val="00EF2C17"/>
    <w:rsid w:val="00F01D52"/>
    <w:rsid w:val="00F03A71"/>
    <w:rsid w:val="00F04BA0"/>
    <w:rsid w:val="00F1599B"/>
    <w:rsid w:val="00F16A3C"/>
    <w:rsid w:val="00F206EB"/>
    <w:rsid w:val="00F25696"/>
    <w:rsid w:val="00F25D48"/>
    <w:rsid w:val="00F34F41"/>
    <w:rsid w:val="00F36D04"/>
    <w:rsid w:val="00F3701A"/>
    <w:rsid w:val="00F5065C"/>
    <w:rsid w:val="00F5208A"/>
    <w:rsid w:val="00F529F0"/>
    <w:rsid w:val="00F64267"/>
    <w:rsid w:val="00F64FAB"/>
    <w:rsid w:val="00F66999"/>
    <w:rsid w:val="00F729FD"/>
    <w:rsid w:val="00F7360A"/>
    <w:rsid w:val="00F73D2A"/>
    <w:rsid w:val="00F85352"/>
    <w:rsid w:val="00F8645B"/>
    <w:rsid w:val="00F9217E"/>
    <w:rsid w:val="00F93BEF"/>
    <w:rsid w:val="00FA1B57"/>
    <w:rsid w:val="00FB7EB0"/>
    <w:rsid w:val="00FC6BE8"/>
    <w:rsid w:val="00FC7D37"/>
    <w:rsid w:val="00FD00C6"/>
    <w:rsid w:val="00FD0EA1"/>
    <w:rsid w:val="00FD3F00"/>
    <w:rsid w:val="00FD3FB2"/>
    <w:rsid w:val="00FD7180"/>
    <w:rsid w:val="00FE3D3A"/>
    <w:rsid w:val="00FE610C"/>
    <w:rsid w:val="00FE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C437"/>
  <w15:chartTrackingRefBased/>
  <w15:docId w15:val="{0BD42738-5892-442B-A055-0024109D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065C"/>
    <w:rPr>
      <w:i/>
      <w:iCs/>
    </w:rPr>
  </w:style>
  <w:style w:type="paragraph" w:styleId="ListParagraph">
    <w:name w:val="List Paragraph"/>
    <w:basedOn w:val="Normal"/>
    <w:uiPriority w:val="34"/>
    <w:qFormat/>
    <w:rsid w:val="00AE60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7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77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1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A6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AB50C2"/>
  </w:style>
  <w:style w:type="paragraph" w:styleId="NormalWeb">
    <w:name w:val="Normal (Web)"/>
    <w:basedOn w:val="Normal"/>
    <w:uiPriority w:val="99"/>
    <w:semiHidden/>
    <w:unhideWhenUsed/>
    <w:rsid w:val="00C7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7893"/>
    <w:rPr>
      <w:b/>
      <w:bCs/>
    </w:rPr>
  </w:style>
  <w:style w:type="table" w:styleId="TableGrid">
    <w:name w:val="Table Grid"/>
    <w:basedOn w:val="TableNormal"/>
    <w:uiPriority w:val="39"/>
    <w:rsid w:val="006A0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06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35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4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9044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14908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504579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0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-sharpcorner.com/article/pros-and-cons-of-code-refactoring/" TargetMode="External"/><Relationship Id="rId1" Type="http://schemas.openxmlformats.org/officeDocument/2006/relationships/hyperlink" Target="https://www.investopedia.com/articles/technical/02/010702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3238-5595-4504-8B35-92BDE48F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5</Pages>
  <Words>1162</Words>
  <Characters>6629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250</cp:revision>
  <dcterms:created xsi:type="dcterms:W3CDTF">2022-03-06T14:50:00Z</dcterms:created>
  <dcterms:modified xsi:type="dcterms:W3CDTF">2022-03-06T20:55:00Z</dcterms:modified>
</cp:coreProperties>
</file>