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Александр Шалин, 23-я когорта, 1-й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Mindmap: </w:t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-853911</wp:posOffset>
            </wp:positionH>
            <wp:positionV relativeFrom="paragraph">
              <wp:posOffset>228600</wp:posOffset>
            </wp:positionV>
            <wp:extent cx="7510463" cy="38862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Александр Шалин - 1 спринт.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30">
      <w:pPr>
        <w:rPr>
          <w:color w:val="66666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62713" cy="66881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6688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Ссылка на таблицу с классами эквивалентности и тест-кейсами: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Александр Шалин - 1 спринт.</w:t>
        </w:r>
      </w:hyperlink>
      <w:r w:rsidDel="00000000" w:rsidR="00000000" w:rsidRPr="00000000">
        <w:rPr>
          <w:color w:val="666666"/>
          <w:rtl w:val="0"/>
        </w:rPr>
        <w:t xml:space="preserve"> (Но это ведь одна таблица?)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P.S Если на это больно смотреть, то…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704850</wp:posOffset>
            </wp:positionV>
            <wp:extent cx="1317109" cy="1450487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7109" cy="1450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https://docs.google.com/spreadsheets/d/1zv2Unb2OV9mbU9HCAw6o_8ao5e0roYZWcvqN5w686NQ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google.com/spreadsheets/d/1zv2Unb2OV9mbU9HCAw6o_8ao5e0roYZWcvqN5w686NQ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