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기사용 선행연구 요약</w:t>
        <w:br/>
        <w:t>언어별 Token Premium과 한국어의 토큰 부담</w:t>
      </w:r>
    </w:p>
    <w:p>
      <w:pPr>
        <w:jc w:val="center"/>
      </w:pPr>
      <w:r>
        <w:rPr>
          <w:b/>
          <w:sz w:val="20"/>
        </w:rPr>
        <w:t>Petrov et al. (2023), NeurIPS 2023 기반</w:t>
      </w:r>
    </w:p>
    <w:p>
      <w:pPr>
        <w:pStyle w:val="Heading1"/>
      </w:pPr>
      <w:r>
        <w:t>1. 기사에 들어갈 핵심 내용</w:t>
      </w:r>
    </w:p>
    <w:p>
      <w:r>
        <w:rPr>
          <w:b/>
        </w:rPr>
        <w:t>같은 의미라도 언어에 따라 AI가 처리하는 토큰 수가 다르다.</w:t>
      </w:r>
      <w:r>
        <w:t xml:space="preserve"> Petrov et al.(2023)은 FLORES-200의 2,000개 병렬문장을 이용해 언어별 tokenization length를 비교했다. 서로 다른 내용의 문장이 아니라 동일한 의미를 가진 번역문을 비교했다는 점에서 언어 자체에 따른 토큰화 차이를 살펴볼 수 있다.</w:t>
      </w:r>
    </w:p>
    <w:p>
      <w:r>
        <w:rPr>
          <w:b/>
        </w:rPr>
        <w:t>한국어의 토큰 부담은 영어보다 크게 나타났다.</w:t>
      </w:r>
      <w:r>
        <w:t xml:space="preserve"> 연구진이 공개한 tokenization_lengths.csv의 cl100k_base 값을 영어=1.00으로 기준화하면 한국어는 2.38배, 러시아어는 2.49배, 중국어(간체)는 1.91배, 표준 아랍어는 3.04배의 토큰을 사용한 것으로 계산된다. 한국어는 영어보다 약 138% 많은 토큰을 사용했다.</w:t>
      </w:r>
    </w:p>
    <w:p>
      <w:r>
        <w:rPr>
          <w:b/>
        </w:rPr>
        <w:t>문제를 '한글만의 비효율'로 단정해서는 안 된다.</w:t>
      </w:r>
      <w:r>
        <w:t xml:space="preserve"> 러시아어와 아랍어 등에서도 영어보다 높은 tokenization burden이 나타난다. 따라서 이 결과는 한글과 알파벳의 단순한 양자 비교보다는 언어 및 문자체계, tokenizer 설계에 따라 나타나는 cross-lingual tokenization disparity의 문제로 설명하는 것이 적절하다.</w:t>
      </w:r>
    </w:p>
    <w:p>
      <w:pPr>
        <w:pStyle w:val="Heading1"/>
      </w:pPr>
      <w:r>
        <w:t>2. cl100k_base 기준 언어별 수치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언어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총 Token 수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영어 대비 배수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영어 대비 추가 부담</w:t>
            </w:r>
          </w:p>
        </w:tc>
      </w:tr>
      <w:tr>
        <w:tc>
          <w:tcPr>
            <w:tcW w:type="dxa" w:w="2484"/>
            <w:vAlign w:val="center"/>
          </w:tcPr>
          <w:p>
            <w:r>
              <w:t>English</w:t>
            </w:r>
          </w:p>
        </w:tc>
        <w:tc>
          <w:tcPr>
            <w:tcW w:type="dxa" w:w="2484"/>
            <w:vAlign w:val="center"/>
          </w:tcPr>
          <w:p>
            <w:r>
              <w:t>52,835</w:t>
            </w:r>
          </w:p>
        </w:tc>
        <w:tc>
          <w:tcPr>
            <w:tcW w:type="dxa" w:w="2484"/>
            <w:vAlign w:val="center"/>
          </w:tcPr>
          <w:p>
            <w:r>
              <w:t>1.00×</w:t>
            </w:r>
          </w:p>
        </w:tc>
        <w:tc>
          <w:tcPr>
            <w:tcW w:type="dxa" w:w="2484"/>
            <w:vAlign w:val="center"/>
          </w:tcPr>
          <w:p>
            <w:r>
              <w:t>기준</w:t>
            </w:r>
          </w:p>
        </w:tc>
      </w:tr>
      <w:tr>
        <w:tc>
          <w:tcPr>
            <w:tcW w:type="dxa" w:w="2484"/>
            <w:vAlign w:val="center"/>
          </w:tcPr>
          <w:p>
            <w:r>
              <w:t>Chinese (Simplified)</w:t>
            </w:r>
          </w:p>
        </w:tc>
        <w:tc>
          <w:tcPr>
            <w:tcW w:type="dxa" w:w="2484"/>
            <w:vAlign w:val="center"/>
          </w:tcPr>
          <w:p>
            <w:r>
              <w:t>101,138</w:t>
            </w:r>
          </w:p>
        </w:tc>
        <w:tc>
          <w:tcPr>
            <w:tcW w:type="dxa" w:w="2484"/>
            <w:vAlign w:val="center"/>
          </w:tcPr>
          <w:p>
            <w:r>
              <w:t>1.91×</w:t>
            </w:r>
          </w:p>
        </w:tc>
        <w:tc>
          <w:tcPr>
            <w:tcW w:type="dxa" w:w="2484"/>
            <w:vAlign w:val="center"/>
          </w:tcPr>
          <w:p>
            <w:r>
              <w:t>+91.4%</w:t>
            </w:r>
          </w:p>
        </w:tc>
      </w:tr>
      <w:tr>
        <w:tc>
          <w:tcPr>
            <w:tcW w:type="dxa" w:w="2484"/>
            <w:vAlign w:val="center"/>
          </w:tcPr>
          <w:p>
            <w:r>
              <w:t>Korean</w:t>
            </w:r>
          </w:p>
        </w:tc>
        <w:tc>
          <w:tcPr>
            <w:tcW w:type="dxa" w:w="2484"/>
            <w:vAlign w:val="center"/>
          </w:tcPr>
          <w:p>
            <w:r>
              <w:t>125,737</w:t>
            </w:r>
          </w:p>
        </w:tc>
        <w:tc>
          <w:tcPr>
            <w:tcW w:type="dxa" w:w="2484"/>
            <w:vAlign w:val="center"/>
          </w:tcPr>
          <w:p>
            <w:r>
              <w:t>2.38×</w:t>
            </w:r>
          </w:p>
        </w:tc>
        <w:tc>
          <w:tcPr>
            <w:tcW w:type="dxa" w:w="2484"/>
            <w:vAlign w:val="center"/>
          </w:tcPr>
          <w:p>
            <w:r>
              <w:t>+138.0%</w:t>
            </w:r>
          </w:p>
        </w:tc>
      </w:tr>
      <w:tr>
        <w:tc>
          <w:tcPr>
            <w:tcW w:type="dxa" w:w="2484"/>
            <w:vAlign w:val="center"/>
          </w:tcPr>
          <w:p>
            <w:r>
              <w:t>Russian</w:t>
            </w:r>
          </w:p>
        </w:tc>
        <w:tc>
          <w:tcPr>
            <w:tcW w:type="dxa" w:w="2484"/>
            <w:vAlign w:val="center"/>
          </w:tcPr>
          <w:p>
            <w:r>
              <w:t>131,496</w:t>
            </w:r>
          </w:p>
        </w:tc>
        <w:tc>
          <w:tcPr>
            <w:tcW w:type="dxa" w:w="2484"/>
            <w:vAlign w:val="center"/>
          </w:tcPr>
          <w:p>
            <w:r>
              <w:t>2.49×</w:t>
            </w:r>
          </w:p>
        </w:tc>
        <w:tc>
          <w:tcPr>
            <w:tcW w:type="dxa" w:w="2484"/>
            <w:vAlign w:val="center"/>
          </w:tcPr>
          <w:p>
            <w:r>
              <w:t>+148.9%</w:t>
            </w:r>
          </w:p>
        </w:tc>
      </w:tr>
      <w:tr>
        <w:tc>
          <w:tcPr>
            <w:tcW w:type="dxa" w:w="2484"/>
            <w:vAlign w:val="center"/>
          </w:tcPr>
          <w:p>
            <w:r>
              <w:t>Standard Arabic</w:t>
            </w:r>
          </w:p>
        </w:tc>
        <w:tc>
          <w:tcPr>
            <w:tcW w:type="dxa" w:w="2484"/>
            <w:vAlign w:val="center"/>
          </w:tcPr>
          <w:p>
            <w:r>
              <w:t>160,485</w:t>
            </w:r>
          </w:p>
        </w:tc>
        <w:tc>
          <w:tcPr>
            <w:tcW w:type="dxa" w:w="2484"/>
            <w:vAlign w:val="center"/>
          </w:tcPr>
          <w:p>
            <w:r>
              <w:t>3.04×</w:t>
            </w:r>
          </w:p>
        </w:tc>
        <w:tc>
          <w:tcPr>
            <w:tcW w:type="dxa" w:w="2484"/>
            <w:vAlign w:val="center"/>
          </w:tcPr>
          <w:p>
            <w:r>
              <w:t>+203.7%</w:t>
            </w:r>
          </w:p>
        </w:tc>
      </w:tr>
    </w:tbl>
    <w:p>
      <w:r>
        <w:t>해석: 동일한 의미의 FLORES-200 병렬문장을 cl100k_base tokenizer로 처리했을 때, 영어를 1.00으로 놓으면 한국어의 tokenization length는 약 2.38배였다. 이는 해당 실험 조건에서 한국어가 영어보다 약 138% 많은 토큰을 필요로 했다는 의미다.</w:t>
      </w:r>
    </w:p>
    <w:p>
      <w:pPr>
        <w:pStyle w:val="Heading1"/>
      </w:pPr>
      <w:r>
        <w:t>3. 기사에서 선행연구와 본 연구를 연결하는 방식</w:t>
      </w:r>
    </w:p>
    <w:p>
      <w:r>
        <w:rPr>
          <w:b/>
        </w:rPr>
        <w:t>Petrov et al.(2023)</w:t>
      </w:r>
      <w:r>
        <w:br/>
        <w:t>FLORES-200 2,000개 병렬문장 → 언어별 동일 의미 텍스트의 tokenization length 비교</w:t>
        <w:br/>
        <w:t>→ cl100k_base 기준 한국어 2.38×, 러시아어 2.49×, 중국어(간체) 1.91×, 표준 아랍어 3.04× (English=1.00)</w:t>
      </w:r>
    </w:p>
    <w:p>
      <w:pPr>
        <w:jc w:val="center"/>
      </w:pPr>
      <w:r>
        <w:rPr>
          <w:b/>
        </w:rPr>
        <w:t>↓</w:t>
      </w:r>
    </w:p>
    <w:p>
      <w:r>
        <w:rPr>
          <w:b/>
        </w:rPr>
        <w:t>본 연구</w:t>
      </w:r>
      <w:r>
        <w:br/>
        <w:t>Human Audit를 거친 한-영 병렬쌍 → 한국어와 영어의 Token Premium 직접 측정</w:t>
        <w:br/>
        <w:t>→ 도메인별 Token Premium과 실제 생성형 AI serving 환경에서의 처리 부담 비교</w:t>
      </w:r>
    </w:p>
    <w:p>
      <w:pPr>
        <w:pStyle w:val="Heading1"/>
      </w:pPr>
      <w:r>
        <w:t>4. 기사 본문용 요약 문단</w:t>
      </w:r>
    </w:p>
    <w:p>
      <w:r>
        <w:t>생성형 AI는 같은 의미의 문장도 언어에 따라 서로 다른 수의 토큰으로 처리한다. Petrov et al.(2023)이 FLORES-200의 병렬문장 2,000개를 분석한 결과를 cl100k_base 기준으로 비교하면, 영어의 토큰 사용량을 1로 놓았을 때 한국어는 2.38배, 러시아어는 2.49배, 중국어(간체)는 1.91배, 표준 아랍어는 3.04배였다. 특히 한국어는 영어보다 약 138% 많은 토큰을 필요로 했다. 이는 생성형 AI의 언어별 처리 효율 차이가 한글에만 국한된 현상이 아니라 여러 언어에서 나타나는 구조적 격차일 가능성을 보여준다. 본 연구는 여기서 한발 더 나아가 Human Audit를 거친 한-영 병렬쌍을 이용해 한국어의 Token Premium을 직접 측정하고, 이러한 차이가 도메인과 실제 AI 서비스 환경에서도 유지되는지를 분석한다.</w:t>
      </w:r>
    </w:p>
    <w:p>
      <w:pPr>
        <w:pStyle w:val="Heading1"/>
      </w:pPr>
      <w:r>
        <w:t>5. 기사 작성 시 주의사항</w:t>
      </w:r>
    </w:p>
    <w:p>
      <w:pPr>
        <w:pStyle w:val="ListBullet"/>
      </w:pPr>
      <w:r>
        <w:t>‘한국어는 영어보다 항상 2.38배 비싸다’고 단정하지 않는다.</w:t>
      </w:r>
    </w:p>
    <w:p>
      <w:pPr>
        <w:pStyle w:val="ListBullet"/>
      </w:pPr>
      <w:r>
        <w:t>2.38배는 Petrov et al.(2023)의 FLORES-200 2,000개 병렬문장을 cl100k_base로 처리한 조건에서 산출된 tokenization length 비율이다.</w:t>
      </w:r>
    </w:p>
    <w:p>
      <w:pPr>
        <w:pStyle w:val="ListBullet"/>
      </w:pPr>
      <w:r>
        <w:t>토큰 수의 차이와 실제 금액 차이는 구분한다. 실제 비용은 서비스의 입력·출력 토큰 가격 정책에 따라 달라질 수 있다.</w:t>
      </w:r>
    </w:p>
    <w:p>
      <w:pPr>
        <w:pStyle w:val="ListBullet"/>
      </w:pPr>
      <w:r>
        <w:t>한국어만의 문제로 표현하기보다 여러 언어에서 관찰되는 cross-lingual tokenization disparity의 한 사례로 설명한다.</w:t>
      </w:r>
    </w:p>
    <w:p>
      <w:pPr>
        <w:pStyle w:val="Heading1"/>
      </w:pPr>
      <w:r>
        <w:t>6. 자료 출처</w:t>
      </w:r>
    </w:p>
    <w:p>
      <w:r>
        <w:t>Petrov, A., La Malfa, E., Torr, P. H. S., &amp; Bibi, A. (2023). Language Model Tokenizers Introduce Unfairness Between Languages. Advances in Neural Information Processing Systems 36 (NeurIPS 2023).</w:t>
      </w:r>
    </w:p>
    <w:p>
      <w:r>
        <w:t>Dataset: FLORES-200 parallel corpus</w:t>
      </w:r>
    </w:p>
    <w:p>
      <w:r>
        <w:t>분석 문장: 2,000 parallel sentences</w:t>
      </w:r>
    </w:p>
    <w:p>
      <w:r>
        <w:t>Tokenizer: cl100k_base</w:t>
      </w:r>
    </w:p>
    <w:p>
      <w:r>
        <w:t>수치 자료: 연구진 공개 tokenization_lengths.csv</w:t>
      </w:r>
    </w:p>
    <w:p>
      <w:r>
        <w:t>비교 기준: English = 1.00</w:t>
      </w:r>
    </w:p>
    <w:p>
      <w:r>
        <w:t>언어별 배수: 공개 원자료를 바탕으로 재계산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