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C77A" w14:textId="77777777" w:rsidR="00F245DF" w:rsidRDefault="00F245DF" w:rsidP="00F245DF">
      <w:pPr>
        <w:pStyle w:val="Ttulo2"/>
      </w:pPr>
      <w:bookmarkStart w:id="0" w:name="_Toc226306337"/>
      <w:r>
        <w:t>Contexto y Diagnostico</w:t>
      </w:r>
      <w:bookmarkEnd w:id="0"/>
    </w:p>
    <w:p w14:paraId="19CC7448" w14:textId="77777777" w:rsidR="00F245DF" w:rsidRPr="00A45271" w:rsidRDefault="00F245DF" w:rsidP="00F245DF">
      <w:pPr>
        <w:pStyle w:val="Ttulo4"/>
      </w:pPr>
      <w:r w:rsidRPr="00D541F6">
        <w:t>Modelo de Solución para Procesos de Negocio</w:t>
      </w:r>
    </w:p>
    <w:p w14:paraId="5395A348" w14:textId="77777777" w:rsidR="00F245DF" w:rsidRPr="00A45271" w:rsidRDefault="00F245DF" w:rsidP="00F245DF">
      <w:pPr>
        <w:jc w:val="both"/>
        <w:rPr>
          <w:rFonts w:ascii="Arial" w:hAnsi="Arial" w:cs="Arial"/>
        </w:rPr>
      </w:pPr>
      <w:r w:rsidRPr="00A45271">
        <w:rPr>
          <w:rFonts w:ascii="Arial" w:hAnsi="Arial" w:cs="Arial"/>
        </w:rPr>
        <w:t>La solución propuesta redefine el ciclo de preparación académica mediante la automatización de tres procesos críticos de negocio que actualmente se ejecutan de forma manual o descentralizada:</w:t>
      </w:r>
    </w:p>
    <w:p w14:paraId="2EA5D2AE" w14:textId="77777777" w:rsidR="00F245DF" w:rsidRPr="00A45271" w:rsidRDefault="00F245DF" w:rsidP="00F245D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45271">
        <w:rPr>
          <w:rFonts w:ascii="Arial" w:hAnsi="Arial" w:cs="Arial"/>
          <w:b/>
          <w:bCs/>
        </w:rPr>
        <w:t>Automatización de la Producción Pedagógica:</w:t>
      </w:r>
      <w:r w:rsidRPr="00A45271">
        <w:rPr>
          <w:rFonts w:ascii="Arial" w:hAnsi="Arial" w:cs="Arial"/>
        </w:rPr>
        <w:t xml:space="preserve"> El software sustituye la creación manual de ensayos por un motor de generación basado en </w:t>
      </w:r>
      <w:r w:rsidRPr="00A45271">
        <w:rPr>
          <w:rFonts w:ascii="Arial" w:hAnsi="Arial" w:cs="Arial"/>
          <w:b/>
          <w:bCs/>
        </w:rPr>
        <w:t>Sinclair (LLM)</w:t>
      </w:r>
      <w:r w:rsidRPr="00A45271">
        <w:rPr>
          <w:rFonts w:ascii="Arial" w:hAnsi="Arial" w:cs="Arial"/>
        </w:rPr>
        <w:t xml:space="preserve">. Esto permite la producción masiva de textos originales y preguntas tipo PAES alineadas con los ejes de </w:t>
      </w:r>
      <w:r w:rsidRPr="00A45271">
        <w:rPr>
          <w:rFonts w:ascii="Arial" w:hAnsi="Arial" w:cs="Arial"/>
          <w:b/>
          <w:bCs/>
        </w:rPr>
        <w:t>Localizar, Interpretar y Evaluar</w:t>
      </w:r>
      <w:r w:rsidRPr="00A45271">
        <w:rPr>
          <w:rFonts w:ascii="Arial" w:hAnsi="Arial" w:cs="Arial"/>
        </w:rPr>
        <w:t>.</w:t>
      </w:r>
    </w:p>
    <w:p w14:paraId="2A9028AA" w14:textId="77777777" w:rsidR="00F245DF" w:rsidRPr="00A45271" w:rsidRDefault="00F245DF" w:rsidP="00F245D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45271">
        <w:rPr>
          <w:rFonts w:ascii="Arial" w:hAnsi="Arial" w:cs="Arial"/>
          <w:b/>
          <w:bCs/>
        </w:rPr>
        <w:t>Optimización de la Evaluación y Retroalimentación:</w:t>
      </w:r>
      <w:r w:rsidRPr="00A45271">
        <w:rPr>
          <w:rFonts w:ascii="Arial" w:hAnsi="Arial" w:cs="Arial"/>
        </w:rPr>
        <w:t xml:space="preserve"> Se elimina la latencia en la corrección de ejercicios. El sistema procesa las respuestas del estudiante en tiempo real, entregando una retroalimentación inmediata que identifica errores y explica soluciones, emulando la interacción con un docente particular.</w:t>
      </w:r>
    </w:p>
    <w:p w14:paraId="7774D839" w14:textId="77777777" w:rsidR="00F245DF" w:rsidRPr="00A45271" w:rsidRDefault="00F245DF" w:rsidP="00F245D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45271">
        <w:rPr>
          <w:rFonts w:ascii="Arial" w:hAnsi="Arial" w:cs="Arial"/>
          <w:b/>
          <w:bCs/>
        </w:rPr>
        <w:t>Centralización del Seguimiento del Desempeño:</w:t>
      </w:r>
      <w:r w:rsidRPr="00A45271">
        <w:rPr>
          <w:rFonts w:ascii="Arial" w:hAnsi="Arial" w:cs="Arial"/>
        </w:rPr>
        <w:t xml:space="preserve"> La plataforma integra un módulo de análisis que consolida el progreso del estudiante en una única base de datos Cloud. Esto permite a la institución organizar y escalar los materiales de preparación de forma eficiente, eliminando la complejidad de la gestión de recursos físicos o documentos dispersos</w:t>
      </w:r>
    </w:p>
    <w:p w14:paraId="5897F413" w14:textId="77777777" w:rsidR="00F245DF" w:rsidRPr="00D541F6" w:rsidRDefault="00F245DF" w:rsidP="00F245DF">
      <w:pPr>
        <w:pStyle w:val="Ttulo4"/>
      </w:pPr>
      <w:r w:rsidRPr="00D541F6">
        <w:t>Descripción del Problema: Causas y Efectos</w:t>
      </w:r>
    </w:p>
    <w:p w14:paraId="587B4FFF" w14:textId="77777777" w:rsidR="00F245DF" w:rsidRPr="00A45271" w:rsidRDefault="00F245DF" w:rsidP="00F245DF">
      <w:pPr>
        <w:jc w:val="both"/>
        <w:rPr>
          <w:rFonts w:ascii="Arial" w:hAnsi="Arial" w:cs="Arial"/>
        </w:rPr>
      </w:pPr>
      <w:r w:rsidRPr="00A45271">
        <w:rPr>
          <w:rFonts w:ascii="Arial" w:hAnsi="Arial" w:cs="Arial"/>
        </w:rPr>
        <w:t xml:space="preserve">La </w:t>
      </w:r>
      <w:r w:rsidRPr="00A45271">
        <w:rPr>
          <w:rFonts w:ascii="Arial" w:hAnsi="Arial" w:cs="Arial"/>
          <w:b/>
          <w:bCs/>
        </w:rPr>
        <w:t>FCAI-2050</w:t>
      </w:r>
      <w:r w:rsidRPr="00A45271">
        <w:rPr>
          <w:rFonts w:ascii="Arial" w:hAnsi="Arial" w:cs="Arial"/>
        </w:rPr>
        <w:t xml:space="preserve"> enfrenta una oportunidad de mejora crítica debido a la inexistencia de plataformas que integren inteligencia artificial para la PAES de Lenguaje en Chile. A continuación, se detallan las causas y efectos detectados: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265"/>
        <w:gridCol w:w="7563"/>
      </w:tblGrid>
      <w:tr w:rsidR="00F245DF" w:rsidRPr="00A45271" w14:paraId="2A202B10" w14:textId="77777777" w:rsidTr="004F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8D457" w14:textId="77777777" w:rsidR="00F245DF" w:rsidRPr="00A45271" w:rsidRDefault="00F245DF" w:rsidP="004F6378">
            <w:pPr>
              <w:spacing w:after="160" w:line="259" w:lineRule="auto"/>
              <w:jc w:val="both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Análisis</w:t>
            </w:r>
          </w:p>
        </w:tc>
        <w:tc>
          <w:tcPr>
            <w:tcW w:w="0" w:type="auto"/>
            <w:hideMark/>
          </w:tcPr>
          <w:p w14:paraId="06B6B3E6" w14:textId="77777777" w:rsidR="00F245DF" w:rsidRPr="00A45271" w:rsidRDefault="00F245DF" w:rsidP="004F637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Descripción Detallada</w:t>
            </w:r>
          </w:p>
        </w:tc>
      </w:tr>
      <w:tr w:rsidR="00F245DF" w:rsidRPr="00A45271" w14:paraId="39C352E6" w14:textId="77777777" w:rsidTr="004F6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0DA9B" w14:textId="77777777" w:rsidR="00F245DF" w:rsidRPr="00A45271" w:rsidRDefault="00F245DF" w:rsidP="004F6378">
            <w:pPr>
              <w:spacing w:after="160" w:line="259" w:lineRule="auto"/>
              <w:jc w:val="both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Causa Raíz</w:t>
            </w:r>
          </w:p>
        </w:tc>
        <w:tc>
          <w:tcPr>
            <w:tcW w:w="0" w:type="auto"/>
            <w:hideMark/>
          </w:tcPr>
          <w:p w14:paraId="1A6F4553" w14:textId="77777777" w:rsidR="00F245DF" w:rsidRPr="00A45271" w:rsidRDefault="00F245DF" w:rsidP="004F637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Inexistencia de software para la generación automatizada de grandes volúmenes de contenido educativo.</w:t>
            </w:r>
          </w:p>
        </w:tc>
      </w:tr>
      <w:tr w:rsidR="00F245DF" w:rsidRPr="00BB387B" w14:paraId="193C9CAA" w14:textId="77777777" w:rsidTr="004F6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021EA" w14:textId="77777777" w:rsidR="00F245DF" w:rsidRPr="00A45271" w:rsidRDefault="00F245DF" w:rsidP="004F6378">
            <w:pPr>
              <w:spacing w:after="160" w:line="259" w:lineRule="auto"/>
              <w:jc w:val="both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Efecto</w:t>
            </w:r>
          </w:p>
        </w:tc>
        <w:tc>
          <w:tcPr>
            <w:tcW w:w="0" w:type="auto"/>
            <w:hideMark/>
          </w:tcPr>
          <w:p w14:paraId="3E31D81D" w14:textId="77777777" w:rsidR="00F245DF" w:rsidRPr="00A45271" w:rsidRDefault="00F245DF" w:rsidP="004F637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Escasez de material de práctica actualizado y alta carga de trabajo manual para los equipos docentes.</w:t>
            </w:r>
          </w:p>
        </w:tc>
      </w:tr>
      <w:tr w:rsidR="00F245DF" w:rsidRPr="00A45271" w14:paraId="4B0A3A5E" w14:textId="77777777" w:rsidTr="004F6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2EE37" w14:textId="77777777" w:rsidR="00F245DF" w:rsidRPr="00A45271" w:rsidRDefault="00F245DF" w:rsidP="004F6378">
            <w:pPr>
              <w:spacing w:after="160" w:line="259" w:lineRule="auto"/>
              <w:jc w:val="both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Causa Raíz</w:t>
            </w:r>
          </w:p>
        </w:tc>
        <w:tc>
          <w:tcPr>
            <w:tcW w:w="0" w:type="auto"/>
            <w:hideMark/>
          </w:tcPr>
          <w:p w14:paraId="19898043" w14:textId="77777777" w:rsidR="00F245DF" w:rsidRPr="00A45271" w:rsidRDefault="00F245DF" w:rsidP="004F637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Procesos de evaluación manuales que no permiten el escalamiento del servicio educativo.</w:t>
            </w:r>
          </w:p>
        </w:tc>
      </w:tr>
      <w:tr w:rsidR="00F245DF" w:rsidRPr="00A45271" w14:paraId="75384F5A" w14:textId="77777777" w:rsidTr="004F6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E128B" w14:textId="77777777" w:rsidR="00F245DF" w:rsidRPr="00A45271" w:rsidRDefault="00F245DF" w:rsidP="004F6378">
            <w:pPr>
              <w:spacing w:after="160" w:line="259" w:lineRule="auto"/>
              <w:jc w:val="both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Efecto</w:t>
            </w:r>
          </w:p>
        </w:tc>
        <w:tc>
          <w:tcPr>
            <w:tcW w:w="0" w:type="auto"/>
            <w:hideMark/>
          </w:tcPr>
          <w:p w14:paraId="33CA5C01" w14:textId="77777777" w:rsidR="00F245DF" w:rsidRPr="00A45271" w:rsidRDefault="00F245DF" w:rsidP="004F637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Falta de retroalimentación inmediata, lo que desmotiva al estudiante y ralentiza su curva de aprendizaje.</w:t>
            </w:r>
          </w:p>
        </w:tc>
      </w:tr>
      <w:tr w:rsidR="00F245DF" w:rsidRPr="00A45271" w14:paraId="5DEA3A6B" w14:textId="77777777" w:rsidTr="004F6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92A5B" w14:textId="77777777" w:rsidR="00F245DF" w:rsidRPr="00A45271" w:rsidRDefault="00F245DF" w:rsidP="004F6378">
            <w:pPr>
              <w:spacing w:after="160" w:line="259" w:lineRule="auto"/>
              <w:jc w:val="both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Causa Raíz</w:t>
            </w:r>
          </w:p>
        </w:tc>
        <w:tc>
          <w:tcPr>
            <w:tcW w:w="0" w:type="auto"/>
            <w:hideMark/>
          </w:tcPr>
          <w:p w14:paraId="6DEAA5DE" w14:textId="77777777" w:rsidR="00F245DF" w:rsidRPr="00A45271" w:rsidRDefault="00F245DF" w:rsidP="004F637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Descentralización de los recursos pedagógicos y del registro de progreso.</w:t>
            </w:r>
          </w:p>
        </w:tc>
      </w:tr>
      <w:tr w:rsidR="00F245DF" w:rsidRPr="00A45271" w14:paraId="09AFB561" w14:textId="77777777" w:rsidTr="004F6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015FA" w14:textId="77777777" w:rsidR="00F245DF" w:rsidRPr="00A45271" w:rsidRDefault="00F245DF" w:rsidP="004F6378">
            <w:pPr>
              <w:spacing w:after="160" w:line="259" w:lineRule="auto"/>
              <w:jc w:val="both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Efecto</w:t>
            </w:r>
          </w:p>
        </w:tc>
        <w:tc>
          <w:tcPr>
            <w:tcW w:w="0" w:type="auto"/>
            <w:hideMark/>
          </w:tcPr>
          <w:p w14:paraId="32E8025F" w14:textId="77777777" w:rsidR="00F245DF" w:rsidRPr="00A45271" w:rsidRDefault="00F245DF" w:rsidP="004F637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</w:pPr>
            <w:r w:rsidRPr="00A45271">
              <w:rPr>
                <w:rFonts w:ascii="Arial" w:hAnsi="Arial" w:cs="Arial"/>
                <w14:textOutline w14:w="9525" w14:cap="rnd" w14:cmpd="sng" w14:algn="ctr">
                  <w14:solidFill>
                    <w14:schemeClr w14:val="accent1"/>
                  </w14:solidFill>
                  <w14:prstDash w14:val="solid"/>
                  <w14:bevel/>
                </w14:textOutline>
              </w:rPr>
              <w:t>Mayor complejidad para organizar, actualizar y supervisar el desempeño real de los estudiantes a gran escala.</w:t>
            </w:r>
          </w:p>
        </w:tc>
      </w:tr>
    </w:tbl>
    <w:p w14:paraId="34CE0CED" w14:textId="77777777" w:rsidR="00F245DF" w:rsidRDefault="00F245DF" w:rsidP="00F245DF">
      <w:pPr>
        <w:rPr>
          <w:b/>
          <w:bCs/>
        </w:rPr>
      </w:pPr>
    </w:p>
    <w:p w14:paraId="0F6BB526" w14:textId="77777777" w:rsidR="00186E35" w:rsidRDefault="00186E35"/>
    <w:p w14:paraId="34F4F280" w14:textId="1D80C7B6" w:rsidR="00F245DF" w:rsidRDefault="00F245DF">
      <w:r>
        <w:lastRenderedPageBreak/>
        <w:t xml:space="preserve">Diagrama </w:t>
      </w:r>
      <w:r w:rsidRPr="00F245DF">
        <w:t>Ishikawa</w:t>
      </w:r>
    </w:p>
    <w:p w14:paraId="2AD15779" w14:textId="4008D041" w:rsidR="00F245DF" w:rsidRDefault="00F245DF">
      <w:r w:rsidRPr="0046254E">
        <w:drawing>
          <wp:inline distT="0" distB="0" distL="0" distR="0" wp14:anchorId="2D2A1E9D" wp14:editId="0CEE73F4">
            <wp:extent cx="5612130" cy="1987155"/>
            <wp:effectExtent l="0" t="0" r="7620" b="0"/>
            <wp:docPr id="11874202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8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D365" w14:textId="77777777" w:rsidR="00F245DF" w:rsidRDefault="00F245DF"/>
    <w:sectPr w:rsidR="00F24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04018"/>
    <w:multiLevelType w:val="multilevel"/>
    <w:tmpl w:val="2C1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4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DF"/>
    <w:rsid w:val="00186E35"/>
    <w:rsid w:val="001B06FD"/>
    <w:rsid w:val="004007AF"/>
    <w:rsid w:val="005F68E1"/>
    <w:rsid w:val="00B222F0"/>
    <w:rsid w:val="00E93236"/>
    <w:rsid w:val="00F245DF"/>
    <w:rsid w:val="00FF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57216"/>
  <w15:chartTrackingRefBased/>
  <w15:docId w15:val="{1FFBCA1D-C6B9-4C56-83CF-7DC8A468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5DF"/>
  </w:style>
  <w:style w:type="paragraph" w:styleId="Ttulo1">
    <w:name w:val="heading 1"/>
    <w:basedOn w:val="Normal"/>
    <w:next w:val="Normal"/>
    <w:link w:val="Ttulo1Car"/>
    <w:uiPriority w:val="9"/>
    <w:qFormat/>
    <w:rsid w:val="00F2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4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245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5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5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5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5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5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5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5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5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5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5DF"/>
    <w:rPr>
      <w:b/>
      <w:bCs/>
      <w:smallCaps/>
      <w:color w:val="0F4761" w:themeColor="accent1" w:themeShade="BF"/>
      <w:spacing w:val="5"/>
    </w:rPr>
  </w:style>
  <w:style w:type="table" w:styleId="Tablaconcuadrcula1Claro-nfasis2">
    <w:name w:val="Grid Table 1 Light Accent 2"/>
    <w:basedOn w:val="Tablanormal"/>
    <w:uiPriority w:val="46"/>
    <w:rsid w:val="00F245DF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NALDING ORTIZ PANTI</dc:creator>
  <cp:keywords/>
  <dc:description/>
  <cp:lastModifiedBy>NALDING ORTIZ PANTI</cp:lastModifiedBy>
  <cp:revision>1</cp:revision>
  <dcterms:created xsi:type="dcterms:W3CDTF">2026-04-05T23:48:00Z</dcterms:created>
  <dcterms:modified xsi:type="dcterms:W3CDTF">2026-04-05T23:51:00Z</dcterms:modified>
</cp:coreProperties>
</file>