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Banking Campaigns Comparator</w:t>
      </w:r>
    </w:p>
    <w:p>
      <w:r>
        <w:rPr>
          <w:color w:val="5A5A5A"/>
          <w:sz w:val="28"/>
        </w:rPr>
        <w:t>Presentation script — slides 12 to 17</w:t>
      </w:r>
    </w:p>
    <w:p>
      <w:r>
        <w:rPr>
          <w:color w:val="5A5A5A"/>
          <w:sz w:val="22"/>
        </w:rPr>
        <w:t>Spoken text for the search-interest caveat, the recommendation system and the generated site</w:t>
      </w:r>
    </w:p>
    <w:p>
      <w:r>
        <w:rPr>
          <w:color w:val="5A5A5A"/>
          <w:sz w:val="20"/>
        </w:rPr>
        <w:t>Prepared 24 September 2026 for Stephane, against the deck as committed that morning (40556e1). 1462 words — about 10½ minutes at a spoken pace of 140 words a minute, before questions. Figures match outputs/web_recommendations.json (run of 23 September, 12:51 UTC) and web/public/trends.json.</w:t>
      </w:r>
    </w:p>
    <w:p>
      <w:pPr>
        <w:pStyle w:val="Heading1"/>
      </w:pPr>
      <w:r>
        <w:t>Before you present</w:t>
      </w:r>
    </w:p>
    <w:p>
      <w:pPr>
        <w:pStyle w:val="ListBullet"/>
      </w:pPr>
      <w:r>
        <w:t>Slides 13, 14 and 17 were built on 23 September, before cta_count was withdrawn. They still print eleven recommendations (3 high / 6 medium / 2 low); the current run has ten (2 / 6 / 2), and this script says ten. Either rebuild the three slides with scripts/deck/build_recommendations_deck.js and re-capture the two screenshots, or say ten and expect the question.</w:t>
      </w:r>
    </w:p>
    <w:p>
      <w:pPr>
        <w:pStyle w:val="ListBullet"/>
      </w:pPr>
      <w:r>
        <w:t>Slide 14's screenshot shows R2, “Repeat the primary call to action down the page” — the withdrawn item. The bracketed paragraph under slide 14 is the answer if anyone reads it. Note the reason changed on 24 September: the cards are in the capture after all; the measure is withdrawn because no counting rule is comparable across the fourteen sites.</w:t>
      </w:r>
    </w:p>
    <w:p>
      <w:pPr>
        <w:pStyle w:val="ListBullet"/>
      </w:pPr>
      <w:r>
        <w:t>Slide 15 titles its second item “Bring the offer higher up the page”; the current run titles the same recommendation “Shorten the pages and cut non-informative imagery” (page_height_px). Either wording is accurate.</w:t>
      </w:r>
    </w:p>
    <w:p>
      <w:pPr>
        <w:pStyle w:val="ListBullet"/>
      </w:pPr>
      <w:r>
        <w:t>Square brackets mark text to use only if asked. Every figure quoted is listed with its source in the appendix.</w:t>
      </w:r>
    </w:p>
    <w:p>
      <w:pPr>
        <w:pStyle w:val="Heading1"/>
      </w:pPr>
      <w:r>
        <w:t>Slide 12 — Why challengers look small in search</w:t>
      </w:r>
    </w:p>
    <w:p>
      <w:r>
        <w:rPr>
          <w:b/>
          <w:color w:val="5A5A5A"/>
          <w:sz w:val="19"/>
        </w:rPr>
        <w:t xml:space="preserve">On screen  </w:t>
      </w:r>
      <w:r>
        <w:rPr>
          <w:i/>
          <w:color w:val="5A5A5A"/>
          <w:sz w:val="19"/>
        </w:rPr>
        <w:t>Two figures side by side — Revolut's customer count against its share of brand search — and three cards.</w:t>
      </w:r>
      <w:r>
        <w:rPr>
          <w:color w:val="5A5A5A"/>
          <w:sz w:val="19"/>
        </w:rPr>
        <w:t xml:space="preserve">   ·   about 2 minutes</w:t>
      </w:r>
    </w:p>
    <w:p>
      <w:pPr>
        <w:spacing w:after="160" w:line="276" w:lineRule="auto"/>
      </w:pPr>
      <w:r>
        <w:rPr>
          <w:sz w:val="22"/>
        </w:rPr>
        <w:t>Before we leave the search picture, one caveat, because the last three slides can be misread. On slide nine the incumbents held ninety-eight percent of brand search and the challengers two. That is not market share, and this slide is why.</w:t>
      </w:r>
    </w:p>
    <w:p>
      <w:pPr>
        <w:spacing w:after="160" w:line="276" w:lineRule="auto"/>
      </w:pPr>
      <w:r>
        <w:rPr>
          <w:sz w:val="22"/>
        </w:rPr>
        <w:t>Take Revolut. In March, Revolut reported more than a million private customers in Belgium, and said it is adding around twenty-five thousand a month. In our search data the same brand holds one point six four percent of brand search — ninth of fourteen. Both figures are true. They measure different things.</w:t>
      </w:r>
    </w:p>
    <w:p>
      <w:pPr>
        <w:spacing w:after="160" w:line="276" w:lineRule="auto"/>
      </w:pPr>
      <w:r>
        <w:rPr>
          <w:sz w:val="22"/>
        </w:rPr>
        <w:t>We see three reasons search undercounts a challenger, and none of them is “Revolut is small”. First, navigational searches: people search an incumbent to log in, to find a branch, to check opening hours, and that inflates the incumbents. I want to be precise here — this is a working hypothesis; we have not verified it at query level. Second, app-first journeys: you sign up through an app store or a referral link, and then you use the app every day without ever typing the name. Third, a measurement floor: six of the fourteen brands never clear ten out of a hundred in their own Trends request, so part of their share is simply rounding. Revolut itself sits above that floor, so its number is a real reading.</w:t>
      </w:r>
    </w:p>
    <w:p>
      <w:pPr>
        <w:spacing w:after="160" w:line="276" w:lineRule="auto"/>
      </w:pPr>
      <w:r>
        <w:rPr>
          <w:sz w:val="22"/>
        </w:rPr>
        <w:t>So read challenger shares as a floor on attention, not as a customer count. And you will notice we never set that one million against a market-share figure. That comparison is deliberately not made.</w:t>
      </w:r>
    </w:p>
    <w:p>
      <w:pPr>
        <w:spacing w:after="80"/>
      </w:pPr>
      <w:r>
        <w:rPr>
          <w:b/>
          <w:color w:val="FF6200"/>
          <w:sz w:val="21"/>
        </w:rPr>
        <w:t xml:space="preserve">Transition  </w:t>
      </w:r>
      <w:r>
        <w:rPr>
          <w:i/>
          <w:sz w:val="22"/>
        </w:rPr>
        <w:t>Search tells us who gets attention, not who wins. From here on, we stop measuring and start advising.</w:t>
      </w:r>
    </w:p>
    <w:p>
      <w:pPr>
        <w:pStyle w:val="Heading1"/>
      </w:pPr>
      <w:r>
        <w:t>Slide 13 — A recommendation system on top of the measurement</w:t>
      </w:r>
    </w:p>
    <w:p>
      <w:r>
        <w:rPr>
          <w:b/>
          <w:color w:val="5A5A5A"/>
          <w:sz w:val="19"/>
        </w:rPr>
        <w:t xml:space="preserve">On screen  </w:t>
      </w:r>
      <w:r>
        <w:rPr>
          <w:i/>
          <w:color w:val="5A5A5A"/>
          <w:sz w:val="19"/>
        </w:rPr>
        <w:t>The recommendations panel: the regenerate button, the two opt-in context checkboxes, and the short version of the run.</w:t>
      </w:r>
      <w:r>
        <w:rPr>
          <w:color w:val="5A5A5A"/>
          <w:sz w:val="19"/>
        </w:rPr>
        <w:t xml:space="preserve">   ·   about 1½ minutes</w:t>
      </w:r>
    </w:p>
    <w:p>
      <w:pPr>
        <w:spacing w:after="160" w:line="276" w:lineRule="auto"/>
      </w:pPr>
      <w:r>
        <w:rPr>
          <w:sz w:val="22"/>
        </w:rPr>
        <w:t>Everything you have seen so far measures. This slide is the one place in the project where a model is allowed to interpret, and the next four slides are about how we keep that honest.</w:t>
      </w:r>
    </w:p>
    <w:p>
      <w:pPr>
        <w:spacing w:after="160" w:line="276" w:lineRule="auto"/>
      </w:pPr>
      <w:r>
        <w:rPr>
          <w:sz w:val="22"/>
        </w:rPr>
        <w:t>What it is: one model call, over the finished analysis. It reads report.json — the same file every chart in this deck is drawn from. It does not re-scrape a page and it does not re-score a feature. It reads the numbers we already trust, and it writes what to change.</w:t>
      </w:r>
    </w:p>
    <w:p>
      <w:pPr>
        <w:spacing w:after="160" w:line="276" w:lineRule="auto"/>
      </w:pPr>
      <w:r>
        <w:rPr>
          <w:sz w:val="22"/>
        </w:rPr>
        <w:t>What comes out is an ordered list. In the current run, ten changes: two high, six medium, two low. The order is the argument — it is what the measurement most supports acting on first. And it is ordered by priority, not by how confident the model sounds.</w:t>
      </w:r>
    </w:p>
    <w:p>
      <w:pPr>
        <w:spacing w:after="160" w:line="276" w:lineRule="auto"/>
      </w:pPr>
      <w:r>
        <w:rPr>
          <w:sz w:val="22"/>
        </w:rPr>
        <w:t>The two checkboxes on the right are the two contexts we allow in, both opt-in and both labelled on every card they touch: search interest, for timing, and news themes, for reputation — three of the ten come from there. Context is never allowed to stand as evidence that a page performed.</w:t>
      </w:r>
    </w:p>
    <w:p>
      <w:pPr>
        <w:spacing w:after="160" w:line="276" w:lineRule="auto"/>
      </w:pPr>
      <w:r>
        <w:rPr>
          <w:sz w:val="22"/>
        </w:rPr>
        <w:t>The orange box is the design rule. It writes what to change; it never re-derives a number. That direction is one-way on purpose: if a figure is wrong, the fix happens upstream, and the next run carries it through.</w:t>
      </w:r>
    </w:p>
    <w:p>
      <w:pPr>
        <w:spacing w:after="80"/>
      </w:pPr>
      <w:r>
        <w:rPr>
          <w:b/>
          <w:color w:val="FF6200"/>
          <w:sz w:val="21"/>
        </w:rPr>
        <w:t xml:space="preserve">Transition  </w:t>
      </w:r>
      <w:r>
        <w:rPr>
          <w:i/>
          <w:sz w:val="22"/>
        </w:rPr>
        <w:t>Here is what one of those recommendations looks like.</w:t>
      </w:r>
    </w:p>
    <w:p>
      <w:pPr>
        <w:pStyle w:val="Heading1"/>
      </w:pPr>
      <w:r>
        <w:t>Slide 14 — Every recommendation carries the evidence it was argued from</w:t>
      </w:r>
    </w:p>
    <w:p>
      <w:r>
        <w:rPr>
          <w:b/>
          <w:color w:val="5A5A5A"/>
          <w:sz w:val="19"/>
        </w:rPr>
        <w:t xml:space="preserve">On screen  </w:t>
      </w:r>
      <w:r>
        <w:rPr>
          <w:i/>
          <w:color w:val="5A5A5A"/>
          <w:sz w:val="19"/>
        </w:rPr>
        <w:t>Three recommendation cards as the team reviews them, and three guardrails on the right.</w:t>
      </w:r>
      <w:r>
        <w:rPr>
          <w:color w:val="5A5A5A"/>
          <w:sz w:val="19"/>
        </w:rPr>
        <w:t xml:space="preserve">   ·   about 1½ minutes</w:t>
      </w:r>
    </w:p>
    <w:p>
      <w:pPr>
        <w:spacing w:after="160" w:line="276" w:lineRule="auto"/>
      </w:pPr>
      <w:r>
        <w:rPr>
          <w:sz w:val="22"/>
        </w:rPr>
        <w:t>This is the review view — three of the ten, exactly as the team sees them. Look at the top card. A title and a priority. Then “what the data shows”: the finding, with its numbers — four urgency markers per page against a peer mean of zero point six four, about three point seven standard deviations. Then “what to do”: the action. And at the bottom, two chips: the feature this was argued from, and the pages it applies to.</w:t>
      </w:r>
    </w:p>
    <w:p>
      <w:pPr>
        <w:spacing w:after="160" w:line="276" w:lineRule="auto"/>
      </w:pPr>
      <w:r>
        <w:rPr>
          <w:sz w:val="22"/>
        </w:rPr>
        <w:t>Three guardrails make this trustworthy. One: finding and action are kept apart. You can reject our action and still keep the measured finding — nobody has to buy the advice to accept the measurement. Two: named features, checked before release. Every feature id on a card is verified against the report; an id the model invented is dropped before the list is ever shown. Three: no figure the analysis did not produce. The prompt receives only numbers already in the report, and the output is not trusted to add any.</w:t>
      </w:r>
    </w:p>
    <w:p>
      <w:pPr>
        <w:spacing w:after="160" w:line="276" w:lineRule="auto"/>
      </w:pPr>
      <w:r>
        <w:rPr>
          <w:sz w:val="22"/>
        </w:rPr>
        <w:t>If you take one line from this slide: the model is a writer, not a source.</w:t>
      </w:r>
    </w:p>
    <w:p>
      <w:pPr>
        <w:spacing w:after="160"/>
        <w:ind w:left="504"/>
      </w:pPr>
      <w:r>
        <w:rPr>
          <w:i/>
          <w:color w:val="5A5A5A"/>
          <w:sz w:val="21"/>
        </w:rPr>
        <w:t>[If asked about the second card, “repeat the primary call to action”: it rests on a measure that stays withdrawn from the comparison — though not for the reason we first gave. We said the pack cards rendered client-side and never reached our capture; Siegried checked that yesterday and it is false — they are all there. The real reason is that no counting rule we tried reproduces a human count across fourteen sites: hellobank reads one where a human counts about ten, so the rule depends on markup rather than on the page. Slide 8 names the feature and says plainly that no ranking is published. If pushed: on the counted figure ING is eleventh of fourteen, one against a peer mean of five — and the observation worth having is that on the captured pack pages ING has nine clickable things and exactly one that opens an account, on a page eleven thousand pixels long. Plenty to click, almost nothing that converts. A recommendation dying with its feature is the mechanism working, and the screenshot predates the withdrawal.]</w:t>
      </w:r>
    </w:p>
    <w:p>
      <w:pPr>
        <w:spacing w:after="80"/>
      </w:pPr>
      <w:r>
        <w:rPr>
          <w:b/>
          <w:color w:val="FF6200"/>
          <w:sz w:val="21"/>
        </w:rPr>
        <w:t xml:space="preserve">Transition  </w:t>
      </w:r>
      <w:r>
        <w:rPr>
          <w:i/>
          <w:sz w:val="22"/>
        </w:rPr>
        <w:t>So what did it conclude about ING?</w:t>
      </w:r>
    </w:p>
    <w:p>
      <w:pPr>
        <w:pStyle w:val="Heading1"/>
      </w:pPr>
      <w:r>
        <w:t>Slide 15 — What it concluded about ING</w:t>
      </w:r>
    </w:p>
    <w:p>
      <w:r>
        <w:rPr>
          <w:b/>
          <w:color w:val="5A5A5A"/>
          <w:sz w:val="19"/>
        </w:rPr>
        <w:t xml:space="preserve">On screen  </w:t>
      </w:r>
      <w:r>
        <w:rPr>
          <w:i/>
          <w:color w:val="5A5A5A"/>
          <w:sz w:val="19"/>
        </w:rPr>
        <w:t>Three stat cards, the three highest-ranked recommendations with the feature each rests on, and the caveat line.</w:t>
      </w:r>
      <w:r>
        <w:rPr>
          <w:color w:val="5A5A5A"/>
          <w:sz w:val="19"/>
        </w:rPr>
        <w:t xml:space="preserve">   ·   about 2 minutes</w:t>
      </w:r>
    </w:p>
    <w:p>
      <w:pPr>
        <w:spacing w:after="160" w:line="276" w:lineRule="auto"/>
      </w:pPr>
      <w:r>
        <w:rPr>
          <w:sz w:val="22"/>
        </w:rPr>
        <w:t>Three numbers, all from the current-account comparison: fourteen banks, thirty-six comparable features.</w:t>
      </w:r>
    </w:p>
    <w:p>
      <w:pPr>
        <w:spacing w:after="160" w:line="276" w:lineRule="auto"/>
      </w:pPr>
      <w:r>
        <w:rPr>
          <w:sz w:val="22"/>
        </w:rPr>
        <w:t>Four point zero urgency and deadline markers per page, against a peer mean of zero point six four. That is about three point seven standard deviations above the set — the largest gap we measured anywhere, and ING's strongest signature.</w:t>
      </w:r>
    </w:p>
    <w:p>
      <w:pPr>
        <w:spacing w:after="160" w:line="276" w:lineRule="auto"/>
      </w:pPr>
      <w:r>
        <w:rPr>
          <w:sz w:val="22"/>
        </w:rPr>
        <w:t>Eleven thousand one hundred and forty-nine pixels of page height, against six thousand four hundred. ING's pages run about seventy-four percent longer than the set, so the offer sits further from the top.</w:t>
      </w:r>
    </w:p>
    <w:p>
      <w:pPr>
        <w:spacing w:after="160" w:line="276" w:lineRule="auto"/>
      </w:pPr>
      <w:r>
        <w:rPr>
          <w:sz w:val="22"/>
        </w:rPr>
        <w:t>And zero point six seven for free claims with their conditions somewhere else, against zero point two three for peers. Where a free or no-fee claim appears, the qualifying conditions are not next to it.</w:t>
      </w:r>
    </w:p>
    <w:p>
      <w:pPr>
        <w:spacing w:after="160" w:line="276" w:lineRule="auto"/>
      </w:pPr>
      <w:r>
        <w:rPr>
          <w:sz w:val="22"/>
        </w:rPr>
        <w:t>The three the system ranked highest follow directly. Strip back the urgency and deadline language. Bring the offer higher up the page — in the current run that is worded “shorten the pages and cut non-informative imagery”, same measure. And disclose the conditions of any free claim right next to the claim.</w:t>
      </w:r>
    </w:p>
    <w:p>
      <w:pPr>
        <w:spacing w:after="160" w:line="276" w:lineRule="auto"/>
      </w:pPr>
      <w:r>
        <w:rPr>
          <w:sz w:val="22"/>
        </w:rPr>
        <w:t>Notice the shape of that list: two of the three are about removing things. ING's pages already carry the densest persuasion in the set — three point seven levers per page against one point seven. The advice is restraint, not more features.</w:t>
      </w:r>
    </w:p>
    <w:p>
      <w:pPr>
        <w:spacing w:after="160" w:line="276" w:lineRule="auto"/>
      </w:pPr>
      <w:r>
        <w:rPr>
          <w:sz w:val="22"/>
        </w:rPr>
        <w:t>The caveat at the bottom is not decoration, so I will read it. These are design observations, not performance findings. The pages span product families and languages, the judged features come from a single rater, and no click or conversion data exists. Every item here is a hypothesis ING could test.</w:t>
      </w:r>
    </w:p>
    <w:p>
      <w:pPr>
        <w:spacing w:after="80"/>
      </w:pPr>
      <w:r>
        <w:rPr>
          <w:b/>
          <w:color w:val="FF6200"/>
          <w:sz w:val="21"/>
        </w:rPr>
        <w:t xml:space="preserve">Transition  </w:t>
      </w:r>
      <w:r>
        <w:rPr>
          <w:i/>
          <w:sz w:val="22"/>
        </w:rPr>
        <w:t>A list is easy to nod at and forget. So we built the thing.</w:t>
      </w:r>
    </w:p>
    <w:p>
      <w:pPr>
        <w:pStyle w:val="Heading1"/>
      </w:pPr>
      <w:r>
        <w:t>Slide 16 — From a list of changes to a site you can actually look at</w:t>
      </w:r>
    </w:p>
    <w:p>
      <w:r>
        <w:rPr>
          <w:b/>
          <w:color w:val="5A5A5A"/>
          <w:sz w:val="19"/>
        </w:rPr>
        <w:t xml:space="preserve">On screen  </w:t>
      </w:r>
      <w:r>
        <w:rPr>
          <w:i/>
          <w:color w:val="5A5A5A"/>
          <w:sz w:val="19"/>
        </w:rPr>
        <w:t>The generated ING home page, one section with explanations switched on, and three points on the right.</w:t>
      </w:r>
      <w:r>
        <w:rPr>
          <w:color w:val="5A5A5A"/>
          <w:sz w:val="19"/>
        </w:rPr>
        <w:t xml:space="preserve">   ·   about 1½ minutes</w:t>
      </w:r>
    </w:p>
    <w:p>
      <w:pPr>
        <w:spacing w:after="160" w:line="276" w:lineRule="auto"/>
      </w:pPr>
      <w:r>
        <w:rPr>
          <w:sz w:val="22"/>
        </w:rPr>
        <w:t>What you are looking at is the generated ING site. Top: the home page, in ING styling — a hero and two calls to action. Bottom: one section with explanations switched on — the orange frame, and the small (i) button that opens the reasoning behind that section.</w:t>
      </w:r>
    </w:p>
    <w:p>
      <w:pPr>
        <w:spacing w:after="160" w:line="276" w:lineRule="auto"/>
      </w:pPr>
      <w:r>
        <w:rPr>
          <w:sz w:val="22"/>
        </w:rPr>
        <w:t>Three things to know. First, the team chooses what gets built. Every recommendation is a checkbox, and nothing reaches the generator that a person did not tick. Second, it produces ten ING-styled pages, in French or Dutch for Belgium: home, savings, term account, current account, youth, investing, mortgage, opening, why ING, contact. Third, each section can name its own source. In explained mode, the orange blocks say which recommendation produced that section and why. The site is auditable, not just persuasive.</w:t>
      </w:r>
    </w:p>
    <w:p>
      <w:pPr>
        <w:spacing w:after="160" w:line="276" w:lineRule="auto"/>
      </w:pPr>
      <w:r>
        <w:rPr>
          <w:sz w:val="22"/>
        </w:rPr>
        <w:t>Let me be plain about what this is: an illustration. It is generated, never published, and not a proposal for ING's site. Every rate and amount stays as a placeholder — you can see [TAUX] and [MONTANT] on screen — because no figure should appear that a compliance team has not supplied.</w:t>
      </w:r>
    </w:p>
    <w:p>
      <w:pPr>
        <w:spacing w:after="160" w:line="276" w:lineRule="auto"/>
      </w:pPr>
      <w:r>
        <w:rPr>
          <w:sz w:val="22"/>
        </w:rPr>
        <w:t>And this is what makes the whole analysis arguable. A stakeholder can look at the change rather than read about it. So the question I would put to you is: which of these would you untick?</w:t>
      </w:r>
    </w:p>
    <w:p>
      <w:pPr>
        <w:spacing w:after="80"/>
      </w:pPr>
      <w:r>
        <w:rPr>
          <w:b/>
          <w:color w:val="FF6200"/>
          <w:sz w:val="21"/>
        </w:rPr>
        <w:t xml:space="preserve">Transition  </w:t>
      </w:r>
      <w:r>
        <w:rPr>
          <w:i/>
          <w:sz w:val="22"/>
        </w:rPr>
        <w:t>Put together, the whole thing runs in one direction. One slide to show it.</w:t>
      </w:r>
    </w:p>
    <w:p>
      <w:pPr>
        <w:pStyle w:val="Heading1"/>
      </w:pPr>
      <w:r>
        <w:t>Slide 17 — The complete pipeline</w:t>
      </w:r>
    </w:p>
    <w:p>
      <w:r>
        <w:rPr>
          <w:b/>
          <w:color w:val="5A5A5A"/>
          <w:sz w:val="19"/>
        </w:rPr>
        <w:t xml:space="preserve">On screen  </w:t>
      </w:r>
      <w:r>
        <w:rPr>
          <w:i/>
          <w:color w:val="5A5A5A"/>
          <w:sz w:val="19"/>
        </w:rPr>
        <w:t>The eight-stage diagram: measurement on the top row, recommendations to generated site on the bottom, the guardrail band beneath.</w:t>
      </w:r>
      <w:r>
        <w:rPr>
          <w:color w:val="5A5A5A"/>
          <w:sz w:val="19"/>
        </w:rPr>
        <w:t xml:space="preserve">   ·   about 2 minutes</w:t>
      </w:r>
    </w:p>
    <w:p>
      <w:pPr>
        <w:spacing w:after="160" w:line="276" w:lineRule="auto"/>
      </w:pPr>
      <w:r>
        <w:rPr>
          <w:sz w:val="22"/>
        </w:rPr>
        <w:t>This is the complete pipeline, eight stages. The top row you have already walked through: sources — bank campaign pages, Google Trends, news; capture — behind the robots gate, with pages rendered as a visitor sees them; the dataset, with the human rubric scores; the analysis; and the surfaces — report.json and the web UI. One arrow carries report.json down into the second half.</w:t>
      </w:r>
    </w:p>
    <w:p>
      <w:pPr>
        <w:spacing w:after="160" w:line="276" w:lineRule="auto"/>
      </w:pPr>
      <w:r>
        <w:rPr>
          <w:sz w:val="22"/>
        </w:rPr>
        <w:t>The bottom row is what I have just shown you. Six: recommendations — one model call, an ordered list, each item naming its features. Seven: human selection — checkboxes; nothing proceeds unchosen. Eight: the generated site — ten pages, exactly the selected set, placeholders for every figure.</w:t>
      </w:r>
    </w:p>
    <w:p>
      <w:pPr>
        <w:spacing w:after="160" w:line="276" w:lineRule="auto"/>
      </w:pPr>
      <w:r>
        <w:rPr>
          <w:sz w:val="22"/>
        </w:rPr>
        <w:t>The grey band is what holds across those last stages, and I will read it as one sentence. The model sees only numbers the analysis produced. Every recommendation names its features and is checked before it leaves the module. Nothing is built that a human did not tick. News-theme items are context, never evidence. And no performance data exists, so nothing here claims a cause.</w:t>
      </w:r>
    </w:p>
    <w:p>
      <w:pPr>
        <w:spacing w:after="160" w:line="276" w:lineRule="auto"/>
      </w:pPr>
      <w:r>
        <w:rPr>
          <w:sz w:val="22"/>
        </w:rPr>
        <w:t>Why does one direction matter? Because every arrow is a script and can be re-run, so a correction made upstream flows all the way through. That is exactly how the call-to-action withdrawal propagated this week: once it was made in the analysis rather than patched into an output file, the next run corrected every surface.</w:t>
      </w:r>
    </w:p>
    <w:p>
      <w:pPr>
        <w:spacing w:after="80"/>
      </w:pPr>
      <w:r>
        <w:rPr>
          <w:b/>
          <w:color w:val="FF6200"/>
          <w:sz w:val="21"/>
        </w:rPr>
        <w:t xml:space="preserve">Transition  </w:t>
      </w:r>
      <w:r>
        <w:rPr>
          <w:i/>
          <w:sz w:val="22"/>
        </w:rPr>
        <w:t>That last guardrail — no performance data — is the limit of the whole project. That is the next slide.</w:t>
      </w:r>
    </w:p>
    <w:p>
      <w:pPr>
        <w:pStyle w:val="Heading1"/>
      </w:pPr>
      <w:r>
        <w:t>Appendix — figures you may be asked about</w:t>
      </w:r>
    </w:p>
    <w:tbl>
      <w:tblPr>
        <w:tblStyle w:val="TableGrid"/>
        <w:tblW w:type="auto" w:w="0"/>
        <w:tblLook w:firstColumn="1" w:firstRow="1" w:lastColumn="0" w:lastRow="0" w:noHBand="0" w:noVBand="1" w:val="04A0"/>
      </w:tblPr>
      <w:tblGrid>
        <w:gridCol w:w="4873"/>
        <w:gridCol w:w="4873"/>
      </w:tblGrid>
      <w:tr>
        <w:tc>
          <w:tcPr>
            <w:tcW w:type="dxa" w:w="4176"/>
          </w:tcPr>
          <w:p>
            <w:r/>
            <w:r>
              <w:rPr>
                <w:b/>
                <w:sz w:val="20"/>
              </w:rPr>
              <w:t>Figure</w:t>
            </w:r>
          </w:p>
        </w:tc>
        <w:tc>
          <w:tcPr>
            <w:tcW w:type="dxa" w:w="5544"/>
          </w:tcPr>
          <w:p>
            <w:r/>
            <w:r>
              <w:rPr>
                <w:b/>
                <w:sz w:val="20"/>
              </w:rPr>
              <w:t>Where it comes from</w:t>
            </w:r>
          </w:p>
        </w:tc>
      </w:tr>
      <w:tr>
        <w:tc>
          <w:tcPr>
            <w:tcW w:type="dxa" w:w="4176"/>
          </w:tcPr>
          <w:p>
            <w:r/>
            <w:r>
              <w:rPr>
                <w:sz w:val="20"/>
              </w:rPr>
              <w:t>Incumbents 97.6% · challengers 2.3% of brand search</w:t>
            </w:r>
          </w:p>
        </w:tc>
        <w:tc>
          <w:tcPr>
            <w:tcW w:type="dxa" w:w="5544"/>
          </w:tcPr>
          <w:p>
            <w:r/>
            <w:r>
              <w:rPr>
                <w:sz w:val="20"/>
              </w:rPr>
              <w:t>Slide 9; web/public/trends.json — 261 weeks, September 2021 to September 2026.</w:t>
            </w:r>
          </w:p>
        </w:tc>
      </w:tr>
      <w:tr>
        <w:tc>
          <w:tcPr>
            <w:tcW w:type="dxa" w:w="4176"/>
          </w:tcPr>
          <w:p>
            <w:r/>
            <w:r>
              <w:rPr>
                <w:sz w:val="20"/>
              </w:rPr>
              <w:t>Revolut: more than 1 million private customers in Belgium, adding about 25,000 a month</w:t>
            </w:r>
          </w:p>
        </w:tc>
        <w:tc>
          <w:tcPr>
            <w:tcW w:type="dxa" w:w="5544"/>
          </w:tcPr>
          <w:p>
            <w:r/>
            <w:r>
              <w:rPr>
                <w:sz w:val="20"/>
              </w:rPr>
              <w:t>Belga News Agency, 11 March 2026 (retrieved 21 September 2026). Never compared to a market-share figure.</w:t>
            </w:r>
          </w:p>
        </w:tc>
      </w:tr>
      <w:tr>
        <w:tc>
          <w:tcPr>
            <w:tcW w:type="dxa" w:w="4176"/>
          </w:tcPr>
          <w:p>
            <w:r/>
            <w:r>
              <w:rPr>
                <w:sz w:val="20"/>
              </w:rPr>
              <w:t>Revolut 1.64% of brand search, 9th of 14; six brands below the 10/100 floor</w:t>
            </w:r>
          </w:p>
        </w:tc>
        <w:tc>
          <w:tcPr>
            <w:tcW w:type="dxa" w:w="5544"/>
          </w:tcPr>
          <w:p>
            <w:r/>
            <w:r>
              <w:rPr>
                <w:sz w:val="20"/>
              </w:rPr>
              <w:t>trends.json shareOfSearch.ranking; MEASURABLE_PEAK_FLOOR = 10 in src/comparator/trends.py.</w:t>
            </w:r>
          </w:p>
        </w:tc>
      </w:tr>
      <w:tr>
        <w:tc>
          <w:tcPr>
            <w:tcW w:type="dxa" w:w="4176"/>
          </w:tcPr>
          <w:p>
            <w:r/>
            <w:r>
              <w:rPr>
                <w:sz w:val="20"/>
              </w:rPr>
              <w:t>Ten recommendations: 2 high, 6 medium, 2 low; three from news themes</w:t>
            </w:r>
          </w:p>
        </w:tc>
        <w:tc>
          <w:tcPr>
            <w:tcW w:type="dxa" w:w="5544"/>
          </w:tcPr>
          <w:p>
            <w:r/>
            <w:r>
              <w:rPr>
                <w:sz w:val="20"/>
              </w:rPr>
              <w:t>outputs/web_recommendations.json, generated 23 September 2026 12:51 UTC, model deepseek-flash.</w:t>
            </w:r>
          </w:p>
        </w:tc>
      </w:tr>
      <w:tr>
        <w:tc>
          <w:tcPr>
            <w:tcW w:type="dxa" w:w="4176"/>
          </w:tcPr>
          <w:p>
            <w:r/>
            <w:r>
              <w:rPr>
                <w:sz w:val="20"/>
              </w:rPr>
              <w:t>4.0 urgency and deadline markers per page vs 0.64 (+3.7 SD)</w:t>
            </w:r>
          </w:p>
        </w:tc>
        <w:tc>
          <w:tcPr>
            <w:tcW w:type="dxa" w:w="5544"/>
          </w:tcPr>
          <w:p>
            <w:r/>
            <w:r>
              <w:rPr>
                <w:sz w:val="20"/>
              </w:rPr>
              <w:t>urgency_marker_count — peer gaps in report.json; slides 8 and 15.</w:t>
            </w:r>
          </w:p>
        </w:tc>
      </w:tr>
      <w:tr>
        <w:tc>
          <w:tcPr>
            <w:tcW w:type="dxa" w:w="4176"/>
          </w:tcPr>
          <w:p>
            <w:r/>
            <w:r>
              <w:rPr>
                <w:sz w:val="20"/>
              </w:rPr>
              <w:t>Page height 11,149 px vs 6,412 px (+74%, about 1.4 SD)</w:t>
            </w:r>
          </w:p>
        </w:tc>
        <w:tc>
          <w:tcPr>
            <w:tcW w:type="dxa" w:w="5544"/>
          </w:tcPr>
          <w:p>
            <w:r/>
            <w:r>
              <w:rPr>
                <w:sz w:val="20"/>
              </w:rPr>
              <w:t>page_height_px — recommendation “Shorten the pages and cut non-informative imagery”, medium.</w:t>
            </w:r>
          </w:p>
        </w:tc>
      </w:tr>
      <w:tr>
        <w:tc>
          <w:tcPr>
            <w:tcW w:type="dxa" w:w="4176"/>
          </w:tcPr>
          <w:p>
            <w:r/>
            <w:r>
              <w:rPr>
                <w:sz w:val="20"/>
              </w:rPr>
              <w:t>0.67 vs 0.23 free claims with their conditions elsewhere</w:t>
            </w:r>
          </w:p>
        </w:tc>
        <w:tc>
          <w:tcPr>
            <w:tcW w:type="dxa" w:w="5544"/>
          </w:tcPr>
          <w:p>
            <w:r/>
            <w:r>
              <w:rPr>
                <w:sz w:val="20"/>
              </w:rPr>
              <w:t>hidden_conditions_behind_free_claim — recommendation “Disclose the conditions of any free claim next to the claim”, high.</w:t>
            </w:r>
          </w:p>
        </w:tc>
      </w:tr>
      <w:tr>
        <w:tc>
          <w:tcPr>
            <w:tcW w:type="dxa" w:w="4176"/>
          </w:tcPr>
          <w:p>
            <w:r/>
            <w:r>
              <w:rPr>
                <w:sz w:val="20"/>
              </w:rPr>
              <w:t>3.7 persuasion levers per page vs 1.7 (+2.46 SD)</w:t>
            </w:r>
          </w:p>
        </w:tc>
        <w:tc>
          <w:tcPr>
            <w:tcW w:type="dxa" w:w="5544"/>
          </w:tcPr>
          <w:p>
            <w:r/>
            <w:r>
              <w:rPr>
                <w:sz w:val="20"/>
              </w:rPr>
              <w:t>persuasion_lever_count — slide 8; a judged feature from a single rater.</w:t>
            </w:r>
          </w:p>
        </w:tc>
      </w:tr>
      <w:tr>
        <w:tc>
          <w:tcPr>
            <w:tcW w:type="dxa" w:w="4176"/>
          </w:tcPr>
          <w:p>
            <w:r/>
            <w:r>
              <w:rPr>
                <w:sz w:val="20"/>
              </w:rPr>
              <w:t>ING positioning score 0.28; nearest neighbour Belfius</w:t>
            </w:r>
          </w:p>
        </w:tc>
        <w:tc>
          <w:tcPr>
            <w:tcW w:type="dxa" w:w="5544"/>
          </w:tcPr>
          <w:p>
            <w:r/>
            <w:r>
              <w:rPr>
                <w:sz w:val="20"/>
              </w:rPr>
              <w:t>Slide 8; the 36-feature axis after the withdrawal (0.26 on 37 before it).</w:t>
            </w:r>
          </w:p>
        </w:tc>
      </w:tr>
      <w:tr>
        <w:tc>
          <w:tcPr>
            <w:tcW w:type="dxa" w:w="4176"/>
          </w:tcPr>
          <w:p>
            <w:r/>
            <w:r>
              <w:rPr>
                <w:sz w:val="20"/>
              </w:rPr>
              <w:t>cta_count stays withdrawn from the comparison</w:t>
            </w:r>
          </w:p>
        </w:tc>
        <w:tc>
          <w:tcPr>
            <w:tcW w:type="dxa" w:w="5544"/>
          </w:tcPr>
          <w:p>
            <w:r/>
            <w:r>
              <w:rPr>
                <w:sz w:val="20"/>
              </w:rPr>
              <w:t>docs/decisions.md — sieg 23/09, then corrected 24/09: the “pack cards render client-side” reason was false, the cards are in the capture. It is withdrawn because no counting rule reproduces a human count across 14 sites (hellobank reads 1.0 against a human count of about ten).</w:t>
            </w:r>
          </w:p>
        </w:tc>
      </w:tr>
      <w:tr>
        <w:tc>
          <w:tcPr>
            <w:tcW w:type="dxa" w:w="4176"/>
          </w:tcPr>
          <w:p>
            <w:r/>
            <w:r>
              <w:rPr>
                <w:sz w:val="20"/>
              </w:rPr>
              <w:t>On the counted figure ING is 11th of 14 — 1.0 against a peer mean of 5.0</w:t>
            </w:r>
          </w:p>
        </w:tc>
        <w:tc>
          <w:tcPr>
            <w:tcW w:type="dxa" w:w="5544"/>
          </w:tcPr>
          <w:p>
            <w:r/>
            <w:r>
              <w:rPr>
                <w:sz w:val="20"/>
              </w:rPr>
              <w:t>Commit 1245346, 24/09. Slide 8 names the feature and states that no ranking is published. Nine clickable things on the captured pack page, one of which opens an account.</w:t>
            </w:r>
          </w:p>
        </w:tc>
      </w:tr>
    </w:tbl>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rPr>
      <w:t>Banking Campaigns Comparator  –  Presentation script, slides 12–17  –  v1.0  –  24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b/>
      <w:bCs/>
      <w:color w:val="FF62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b/>
      <w:bCs/>
      <w:color w:val="1F1F1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eastAsia="Calibri"/>
      <w:b/>
      <w:bCs/>
      <w:color w:val="5A5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b/>
      <w:color w:val="FF62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