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Approach &amp; Project Plan</w:t>
      </w:r>
    </w:p>
    <w:p>
      <w:pPr>
        <w:spacing w:after="40"/>
      </w:pPr>
      <w:r>
        <w:rPr>
          <w:b/>
          <w:i w:val="0"/>
          <w:color w:val="5A5A5A"/>
          <w:sz w:val="28"/>
        </w:rPr>
        <w:t>Banking Campaigns Comparator – "Marketing Spy"</w:t>
      </w:r>
    </w:p>
    <w:p>
      <w:pPr>
        <w:spacing w:after="200"/>
      </w:pPr>
      <w:r>
        <w:rPr>
          <w:b w:val="0"/>
          <w:i/>
          <w:color w:val="5A5A5A"/>
          <w:sz w:val="22"/>
        </w:rPr>
        <w:t>Two-week delivery plan  |  Monday 14 – Friday 25 September 2026</w:t>
      </w:r>
    </w:p>
    <w:p>
      <w:pPr>
        <w:spacing w:before="0" w:after="160"/>
        <w:pBdr>
          <w:bottom w:val="single" w:sz="8" w:space="1" w:color="FF6200"/>
        </w:pBdr>
      </w:pPr>
    </w:p>
    <w:tbl>
      <w:tblPr>
        <w:tblStyle w:val="TableGrid"/>
        <w:jc w:val="center"/>
        <w:tblLook w:firstColumn="1" w:firstRow="1" w:lastColumn="0" w:lastRow="0" w:noHBand="0" w:noVBand="1" w:val="04A0"/>
        <w:tblLayout w:type="fixed"/>
        <w:tblW w:w="9412" w:type="dxa"/>
      </w:tblPr>
      <w:tblGrid>
        <w:gridCol w:w="2381"/>
        <w:gridCol w:w="7030"/>
      </w:tblGrid>
      <w:tr>
        <w:tc>
          <w:tcPr>
            <w:tcW w:type="dxa" w:w="2381"/>
            <w:shd w:val="clear" w:color="auto" w:fill="FF6200"/>
          </w:tcPr>
          <w:p>
            <w:pPr>
              <w:spacing w:after="40" w:before="40"/>
            </w:pPr>
            <w:r/>
            <w:r>
              <w:rPr>
                <w:b/>
                <w:color w:val="FFFFFF"/>
                <w:sz w:val="19"/>
              </w:rPr>
              <w:t>Field</w:t>
            </w:r>
          </w:p>
        </w:tc>
        <w:tc>
          <w:tcPr>
            <w:tcW w:type="dxa" w:w="7030"/>
            <w:shd w:val="clear" w:color="auto" w:fill="FF6200"/>
          </w:tcPr>
          <w:p>
            <w:pPr>
              <w:spacing w:after="40" w:before="40"/>
            </w:pPr>
            <w:r/>
            <w:r>
              <w:rPr>
                <w:b/>
                <w:color w:val="FFFFFF"/>
                <w:sz w:val="19"/>
              </w:rPr>
              <w:t>Value</w:t>
            </w:r>
          </w:p>
        </w:tc>
      </w:tr>
      <w:tr>
        <w:tc>
          <w:tcPr>
            <w:tcW w:type="dxa" w:w="2381"/>
          </w:tcPr>
          <w:p>
            <w:pPr>
              <w:spacing w:after="20" w:before="20"/>
            </w:pPr>
            <w:r/>
            <w:r>
              <w:rPr>
                <w:sz w:val="19"/>
              </w:rPr>
              <w:t>Document</w:t>
            </w:r>
          </w:p>
        </w:tc>
        <w:tc>
          <w:tcPr>
            <w:tcW w:type="dxa" w:w="7030"/>
          </w:tcPr>
          <w:p>
            <w:pPr>
              <w:spacing w:after="20" w:before="20"/>
            </w:pPr>
            <w:r/>
            <w:r>
              <w:rPr>
                <w:sz w:val="19"/>
              </w:rPr>
              <w:t>Approach &amp; Project Plan v1.0</w:t>
            </w:r>
          </w:p>
        </w:tc>
      </w:tr>
      <w:tr>
        <w:tc>
          <w:tcPr>
            <w:tcW w:type="dxa" w:w="2381"/>
            <w:shd w:val="clear" w:color="auto" w:fill="FDF0E6"/>
          </w:tcPr>
          <w:p>
            <w:pPr>
              <w:spacing w:after="20" w:before="20"/>
            </w:pPr>
            <w:r/>
            <w:r>
              <w:rPr>
                <w:sz w:val="19"/>
              </w:rPr>
              <w:t>Date</w:t>
            </w:r>
          </w:p>
        </w:tc>
        <w:tc>
          <w:tcPr>
            <w:tcW w:type="dxa" w:w="7030"/>
            <w:shd w:val="clear" w:color="auto" w:fill="FDF0E6"/>
          </w:tcPr>
          <w:p>
            <w:pPr>
              <w:spacing w:after="20" w:before="20"/>
            </w:pPr>
            <w:r/>
            <w:r>
              <w:rPr>
                <w:sz w:val="19"/>
              </w:rPr>
              <w:t>14 September 2026</w:t>
            </w:r>
          </w:p>
        </w:tc>
      </w:tr>
      <w:tr>
        <w:tc>
          <w:tcPr>
            <w:tcW w:type="dxa" w:w="2381"/>
          </w:tcPr>
          <w:p>
            <w:pPr>
              <w:spacing w:after="20" w:before="20"/>
            </w:pPr>
            <w:r/>
            <w:r>
              <w:rPr>
                <w:sz w:val="19"/>
              </w:rPr>
              <w:t>Team</w:t>
            </w:r>
          </w:p>
        </w:tc>
        <w:tc>
          <w:tcPr>
            <w:tcW w:type="dxa" w:w="7030"/>
          </w:tcPr>
          <w:p>
            <w:pPr>
              <w:spacing w:after="20" w:before="20"/>
            </w:pPr>
            <w:r/>
            <w:r>
              <w:rPr>
                <w:sz w:val="19"/>
              </w:rPr>
              <w:t>Siegried (project lead), Dan, Stephane</w:t>
            </w:r>
          </w:p>
        </w:tc>
      </w:tr>
      <w:tr>
        <w:tc>
          <w:tcPr>
            <w:tcW w:type="dxa" w:w="2381"/>
            <w:shd w:val="clear" w:color="auto" w:fill="FDF0E6"/>
          </w:tcPr>
          <w:p>
            <w:pPr>
              <w:spacing w:after="20" w:before="20"/>
            </w:pPr>
            <w:r/>
            <w:r>
              <w:rPr>
                <w:sz w:val="19"/>
              </w:rPr>
              <w:t>Client</w:t>
            </w:r>
          </w:p>
        </w:tc>
        <w:tc>
          <w:tcPr>
            <w:tcW w:type="dxa" w:w="7030"/>
            <w:shd w:val="clear" w:color="auto" w:fill="FDF0E6"/>
          </w:tcPr>
          <w:p>
            <w:pPr>
              <w:spacing w:after="20" w:before="20"/>
            </w:pPr>
            <w:r/>
            <w:r>
              <w:rPr>
                <w:sz w:val="19"/>
              </w:rPr>
              <w:t>ING Belgium – DACI / Customer AI (CAI)</w:t>
            </w:r>
          </w:p>
        </w:tc>
      </w:tr>
      <w:tr>
        <w:tc>
          <w:tcPr>
            <w:tcW w:type="dxa" w:w="2381"/>
          </w:tcPr>
          <w:p>
            <w:pPr>
              <w:spacing w:after="20" w:before="20"/>
            </w:pPr>
            <w:r/>
            <w:r>
              <w:rPr>
                <w:sz w:val="19"/>
              </w:rPr>
              <w:t>Stakeholders</w:t>
            </w:r>
          </w:p>
        </w:tc>
        <w:tc>
          <w:tcPr>
            <w:tcW w:type="dxa" w:w="7030"/>
          </w:tcPr>
          <w:p>
            <w:pPr>
              <w:spacing w:after="20" w:before="20"/>
            </w:pPr>
            <w:r/>
            <w:r>
              <w:rPr>
                <w:sz w:val="19"/>
              </w:rPr>
              <w:t>Diego Pardo y Cobo, Victor Onclinx</w:t>
            </w:r>
          </w:p>
        </w:tc>
      </w:tr>
      <w:tr>
        <w:tc>
          <w:tcPr>
            <w:tcW w:type="dxa" w:w="2381"/>
            <w:shd w:val="clear" w:color="auto" w:fill="FDF0E6"/>
          </w:tcPr>
          <w:p>
            <w:pPr>
              <w:spacing w:after="20" w:before="20"/>
            </w:pPr>
            <w:r/>
            <w:r>
              <w:rPr>
                <w:sz w:val="19"/>
              </w:rPr>
              <w:t>Duration</w:t>
            </w:r>
          </w:p>
        </w:tc>
        <w:tc>
          <w:tcPr>
            <w:tcW w:type="dxa" w:w="7030"/>
            <w:shd w:val="clear" w:color="auto" w:fill="FDF0E6"/>
          </w:tcPr>
          <w:p>
            <w:pPr>
              <w:spacing w:after="20" w:before="20"/>
            </w:pPr>
            <w:r/>
            <w:r>
              <w:rPr>
                <w:sz w:val="19"/>
              </w:rPr>
              <w:t>10 working days: Mon 14 Sep – Fri 25 Sep 2026</w:t>
            </w:r>
          </w:p>
        </w:tc>
      </w:tr>
      <w:tr>
        <w:tc>
          <w:tcPr>
            <w:tcW w:type="dxa" w:w="2381"/>
          </w:tcPr>
          <w:p>
            <w:pPr>
              <w:spacing w:after="20" w:before="20"/>
            </w:pPr>
            <w:r/>
            <w:r>
              <w:rPr>
                <w:sz w:val="19"/>
              </w:rPr>
              <w:t>Companion document</w:t>
            </w:r>
          </w:p>
        </w:tc>
        <w:tc>
          <w:tcPr>
            <w:tcW w:type="dxa" w:w="7030"/>
          </w:tcPr>
          <w:p>
            <w:pPr>
              <w:spacing w:after="20" w:before="20"/>
            </w:pPr>
            <w:r/>
            <w:r>
              <w:rPr>
                <w:sz w:val="19"/>
              </w:rPr>
              <w:t>ing_requirements.docx – Project Requirements Document (PRD) v1.0.</w:t>
            </w:r>
          </w:p>
          <w:p>
            <w:pPr>
              <w:spacing w:after="20" w:before="20"/>
            </w:pPr>
            <w:r>
              <w:rPr>
                <w:sz w:val="19"/>
              </w:rPr>
              <w:t>Requirement IDs (FR-, DR-, LC-, NFR-, D-) used here refer to that document.</w:t>
            </w:r>
          </w:p>
        </w:tc>
      </w:tr>
      <w:tr>
        <w:tc>
          <w:tcPr>
            <w:tcW w:type="dxa" w:w="2381"/>
            <w:shd w:val="clear" w:color="auto" w:fill="FDF0E6"/>
          </w:tcPr>
          <w:p>
            <w:pPr>
              <w:spacing w:after="20" w:before="20"/>
            </w:pPr>
            <w:r/>
            <w:r>
              <w:rPr>
                <w:sz w:val="19"/>
              </w:rPr>
              <w:t>Delivery type</w:t>
            </w:r>
          </w:p>
        </w:tc>
        <w:tc>
          <w:tcPr>
            <w:tcW w:type="dxa" w:w="7030"/>
            <w:shd w:val="clear" w:color="auto" w:fill="FDF0E6"/>
          </w:tcPr>
          <w:p>
            <w:pPr>
              <w:spacing w:after="20" w:before="20"/>
            </w:pPr>
            <w:r/>
            <w:r>
              <w:rPr>
                <w:sz w:val="19"/>
              </w:rPr>
              <w:t>Proof of Concept. Comparator is committed; LLM campaign generation is a stretch goal.</w:t>
            </w:r>
          </w:p>
        </w:tc>
      </w:tr>
    </w:tbl>
    <w:p>
      <w:pPr>
        <w:spacing w:after="80"/>
      </w:pPr>
    </w:p>
    <w:p>
      <w:pPr>
        <w:pStyle w:val="Heading1"/>
      </w:pPr>
      <w:r>
        <w:rPr>
          <w:b w:val="0"/>
          <w:i w:val="0"/>
        </w:rPr>
        <w:t>1. Purpose of this document</w:t>
      </w:r>
    </w:p>
    <w:p>
      <w:r>
        <w:rPr>
          <w:b w:val="0"/>
          <w:i w:val="0"/>
        </w:rPr>
        <w:t>The PRD says what must be delivered. This document says how the team will get there in ten working days, who owns what, and what gets dropped first if time runs out.</w:t>
      </w:r>
    </w:p>
    <w:p>
      <w:r>
        <w:rPr>
          <w:b w:val="0"/>
          <w:i w:val="0"/>
        </w:rPr>
        <w:t>Two decisions drive everything below:</w:t>
      </w:r>
    </w:p>
    <w:p>
      <w:pPr>
        <w:pStyle w:val="ListBullet"/>
      </w:pPr>
      <w:r>
        <w:rPr>
          <w:b/>
        </w:rPr>
        <w:t>The comparator is the commitment; generation is the bonus. —</w:t>
      </w:r>
      <w:r>
        <w:t xml:space="preserve"> The committed MVP is: collect campaign pages, turn them into a structured dataset, profile each bank, position ING. The LLM campaign generator is built only once that chain runs end to end. This follows the ING brief directly — "start small, deliver end-to-end".</w:t>
      </w:r>
    </w:p>
    <w:p>
      <w:pPr>
        <w:pStyle w:val="ListBullet"/>
      </w:pPr>
      <w:r>
        <w:rPr>
          <w:b/>
        </w:rPr>
        <w:t>Ten days means one freeze gate, not continuous replanning. —</w:t>
      </w:r>
      <w:r>
        <w:t xml:space="preserve"> At the end of Day 6 the team either has a working end-to-end comparator or it does not. That single decision point (section 6) decides whether the stretch goal is attempted.</w:t>
      </w:r>
    </w:p>
    <w:p>
      <w:pPr>
        <w:pStyle w:val="Heading1"/>
      </w:pPr>
      <w:r>
        <w:rPr>
          <w:b w:val="0"/>
          <w:i w:val="0"/>
        </w:rPr>
        <w:t>2. The approach</w:t>
      </w:r>
    </w:p>
    <w:p>
      <w:pPr>
        <w:pStyle w:val="Heading2"/>
      </w:pPr>
      <w:r>
        <w:rPr>
          <w:b w:val="0"/>
          <w:i w:val="0"/>
        </w:rPr>
        <w:t>2.1 The chain</w:t>
      </w:r>
    </w:p>
    <w:p>
      <w:r>
        <w:rPr>
          <w:b w:val="0"/>
          <w:i w:val="0"/>
        </w:rPr>
        <w:t>Five steps, each producing an artefact the next one consumes. The value of the approach is that the same feature framework is used three times: to describe banks, to compare them, and — in the stretch — to evaluate what the LLM produces.</w:t>
      </w:r>
    </w:p>
    <w:tbl>
      <w:tblPr>
        <w:tblStyle w:val="TableGrid"/>
        <w:jc w:val="center"/>
        <w:tblLook w:firstColumn="1" w:firstRow="1" w:lastColumn="0" w:lastRow="0" w:noHBand="0" w:noVBand="1" w:val="04A0"/>
        <w:tblLayout w:type="fixed"/>
        <w:tblW w:w="9412" w:type="dxa"/>
      </w:tblPr>
      <w:tblGrid>
        <w:gridCol w:w="453"/>
        <w:gridCol w:w="1474"/>
        <w:gridCol w:w="5103"/>
        <w:gridCol w:w="2381"/>
      </w:tblGrid>
      <w:tr>
        <w:tc>
          <w:tcPr>
            <w:tcW w:type="dxa" w:w="454"/>
            <w:shd w:val="clear" w:color="auto" w:fill="FF6200"/>
          </w:tcPr>
          <w:p>
            <w:pPr>
              <w:spacing w:after="40" w:before="40"/>
            </w:pPr>
            <w:r/>
            <w:r>
              <w:rPr>
                <w:b/>
                <w:color w:val="FFFFFF"/>
                <w:sz w:val="19"/>
              </w:rPr>
              <w:t>#</w:t>
            </w:r>
          </w:p>
        </w:tc>
        <w:tc>
          <w:tcPr>
            <w:tcW w:type="dxa" w:w="1474"/>
            <w:shd w:val="clear" w:color="auto" w:fill="FF6200"/>
          </w:tcPr>
          <w:p>
            <w:pPr>
              <w:spacing w:after="40" w:before="40"/>
            </w:pPr>
            <w:r/>
            <w:r>
              <w:rPr>
                <w:b/>
                <w:color w:val="FFFFFF"/>
                <w:sz w:val="19"/>
              </w:rPr>
              <w:t>Step</w:t>
            </w:r>
          </w:p>
        </w:tc>
        <w:tc>
          <w:tcPr>
            <w:tcW w:type="dxa" w:w="5102"/>
            <w:shd w:val="clear" w:color="auto" w:fill="FF6200"/>
          </w:tcPr>
          <w:p>
            <w:pPr>
              <w:spacing w:after="40" w:before="40"/>
            </w:pPr>
            <w:r/>
            <w:r>
              <w:rPr>
                <w:b/>
                <w:color w:val="FFFFFF"/>
                <w:sz w:val="19"/>
              </w:rPr>
              <w:t>What happens</w:t>
            </w:r>
          </w:p>
        </w:tc>
        <w:tc>
          <w:tcPr>
            <w:tcW w:type="dxa" w:w="2381"/>
            <w:shd w:val="clear" w:color="auto" w:fill="FF6200"/>
          </w:tcPr>
          <w:p>
            <w:pPr>
              <w:spacing w:after="40" w:before="40"/>
            </w:pPr>
            <w:r/>
            <w:r>
              <w:rPr>
                <w:b/>
                <w:color w:val="FFFFFF"/>
                <w:sz w:val="19"/>
              </w:rPr>
              <w:t>Artefact produced</w:t>
            </w:r>
          </w:p>
        </w:tc>
      </w:tr>
      <w:tr>
        <w:tc>
          <w:tcPr>
            <w:tcW w:type="dxa" w:w="454"/>
          </w:tcPr>
          <w:p>
            <w:pPr>
              <w:spacing w:after="20" w:before="20"/>
            </w:pPr>
            <w:r/>
            <w:r>
              <w:rPr>
                <w:b/>
                <w:sz w:val="18"/>
              </w:rPr>
              <w:t>1</w:t>
            </w:r>
          </w:p>
        </w:tc>
        <w:tc>
          <w:tcPr>
            <w:tcW w:type="dxa" w:w="1474"/>
          </w:tcPr>
          <w:p>
            <w:pPr>
              <w:spacing w:after="20" w:before="20"/>
            </w:pPr>
            <w:r/>
            <w:r>
              <w:rPr>
                <w:sz w:val="18"/>
              </w:rPr>
              <w:t>Collect</w:t>
            </w:r>
          </w:p>
        </w:tc>
        <w:tc>
          <w:tcPr>
            <w:tcW w:type="dxa" w:w="5102"/>
          </w:tcPr>
          <w:p>
            <w:pPr>
              <w:spacing w:after="20" w:before="20"/>
            </w:pPr>
            <w:r/>
            <w:r>
              <w:rPr>
                <w:sz w:val="18"/>
              </w:rPr>
              <w:t>Discover campaign pages through robots.txt and sitemaps, then snapshot them: HTML, full-page screenshot, image assets, provenance.</w:t>
            </w:r>
          </w:p>
        </w:tc>
        <w:tc>
          <w:tcPr>
            <w:tcW w:type="dxa" w:w="2381"/>
          </w:tcPr>
          <w:p>
            <w:pPr>
              <w:spacing w:after="20" w:before="20"/>
            </w:pPr>
            <w:r/>
            <w:r>
              <w:rPr>
                <w:sz w:val="18"/>
              </w:rPr>
              <w:t>Raw snapshot store</w:t>
            </w:r>
          </w:p>
        </w:tc>
      </w:tr>
      <w:tr>
        <w:tc>
          <w:tcPr>
            <w:tcW w:type="dxa" w:w="454"/>
            <w:shd w:val="clear" w:color="auto" w:fill="FDF0E6"/>
          </w:tcPr>
          <w:p>
            <w:pPr>
              <w:spacing w:after="20" w:before="20"/>
            </w:pPr>
            <w:r/>
            <w:r>
              <w:rPr>
                <w:b/>
                <w:sz w:val="18"/>
              </w:rPr>
              <w:t>2</w:t>
            </w:r>
          </w:p>
        </w:tc>
        <w:tc>
          <w:tcPr>
            <w:tcW w:type="dxa" w:w="1474"/>
            <w:shd w:val="clear" w:color="auto" w:fill="FDF0E6"/>
          </w:tcPr>
          <w:p>
            <w:pPr>
              <w:spacing w:after="20" w:before="20"/>
            </w:pPr>
            <w:r/>
            <w:r>
              <w:rPr>
                <w:sz w:val="18"/>
              </w:rPr>
              <w:t>Featurise</w:t>
            </w:r>
          </w:p>
        </w:tc>
        <w:tc>
          <w:tcPr>
            <w:tcW w:type="dxa" w:w="5102"/>
            <w:shd w:val="clear" w:color="auto" w:fill="FDF0E6"/>
          </w:tcPr>
          <w:p>
            <w:pPr>
              <w:spacing w:after="20" w:before="20"/>
            </w:pPr>
            <w:r/>
            <w:r>
              <w:rPr>
                <w:sz w:val="18"/>
              </w:rPr>
              <w:t>Turn every page into a row of features — text, colour, imagery, layout, value proposition — against one shared feature dictionary.</w:t>
            </w:r>
          </w:p>
        </w:tc>
        <w:tc>
          <w:tcPr>
            <w:tcW w:type="dxa" w:w="2381"/>
            <w:shd w:val="clear" w:color="auto" w:fill="FDF0E6"/>
          </w:tcPr>
          <w:p>
            <w:pPr>
              <w:spacing w:after="20" w:before="20"/>
            </w:pPr>
            <w:r/>
            <w:r>
              <w:rPr>
                <w:sz w:val="18"/>
              </w:rPr>
              <w:t>Campaign dataset + feature dictionary</w:t>
            </w:r>
          </w:p>
        </w:tc>
      </w:tr>
      <w:tr>
        <w:tc>
          <w:tcPr>
            <w:tcW w:type="dxa" w:w="454"/>
          </w:tcPr>
          <w:p>
            <w:pPr>
              <w:spacing w:after="20" w:before="20"/>
            </w:pPr>
            <w:r/>
            <w:r>
              <w:rPr>
                <w:b/>
                <w:sz w:val="18"/>
              </w:rPr>
              <w:t>3</w:t>
            </w:r>
          </w:p>
        </w:tc>
        <w:tc>
          <w:tcPr>
            <w:tcW w:type="dxa" w:w="1474"/>
          </w:tcPr>
          <w:p>
            <w:pPr>
              <w:spacing w:after="20" w:before="20"/>
            </w:pPr>
            <w:r/>
            <w:r>
              <w:rPr>
                <w:sz w:val="18"/>
              </w:rPr>
              <w:t>Ground</w:t>
            </w:r>
          </w:p>
        </w:tc>
        <w:tc>
          <w:tcPr>
            <w:tcW w:type="dxa" w:w="5102"/>
          </w:tcPr>
          <w:p>
            <w:pPr>
              <w:spacing w:after="20" w:before="20"/>
            </w:pPr>
            <w:r/>
            <w:r>
              <w:rPr>
                <w:sz w:val="18"/>
              </w:rPr>
              <w:t>Anchor the judgement-based features in established marketing frameworks rather than personal taste, so the scoring is defensible.</w:t>
            </w:r>
          </w:p>
        </w:tc>
        <w:tc>
          <w:tcPr>
            <w:tcW w:type="dxa" w:w="2381"/>
          </w:tcPr>
          <w:p>
            <w:pPr>
              <w:spacing w:after="20" w:before="20"/>
            </w:pPr>
            <w:r/>
            <w:r>
              <w:rPr>
                <w:sz w:val="18"/>
              </w:rPr>
              <w:t>Scoring rubric</w:t>
            </w:r>
          </w:p>
        </w:tc>
      </w:tr>
      <w:tr>
        <w:tc>
          <w:tcPr>
            <w:tcW w:type="dxa" w:w="454"/>
            <w:shd w:val="clear" w:color="auto" w:fill="FDF0E6"/>
          </w:tcPr>
          <w:p>
            <w:pPr>
              <w:spacing w:after="20" w:before="20"/>
            </w:pPr>
            <w:r/>
            <w:r>
              <w:rPr>
                <w:b/>
                <w:sz w:val="18"/>
              </w:rPr>
              <w:t>4</w:t>
            </w:r>
          </w:p>
        </w:tc>
        <w:tc>
          <w:tcPr>
            <w:tcW w:type="dxa" w:w="1474"/>
            <w:shd w:val="clear" w:color="auto" w:fill="FDF0E6"/>
          </w:tcPr>
          <w:p>
            <w:pPr>
              <w:spacing w:after="20" w:before="20"/>
            </w:pPr>
            <w:r/>
            <w:r>
              <w:rPr>
                <w:sz w:val="18"/>
              </w:rPr>
              <w:t>Profile &amp; compare</w:t>
            </w:r>
          </w:p>
        </w:tc>
        <w:tc>
          <w:tcPr>
            <w:tcW w:type="dxa" w:w="5102"/>
            <w:shd w:val="clear" w:color="auto" w:fill="FDF0E6"/>
          </w:tcPr>
          <w:p>
            <w:pPr>
              <w:spacing w:after="20" w:before="20"/>
            </w:pPr>
            <w:r/>
            <w:r>
              <w:rPr>
                <w:sz w:val="18"/>
              </w:rPr>
              <w:t>Build a standard profile card per bank, then compare: ING vs peers, traditional vs challenger, similarity grouping.</w:t>
            </w:r>
          </w:p>
        </w:tc>
        <w:tc>
          <w:tcPr>
            <w:tcW w:type="dxa" w:w="2381"/>
            <w:shd w:val="clear" w:color="auto" w:fill="FDF0E6"/>
          </w:tcPr>
          <w:p>
            <w:pPr>
              <w:spacing w:after="20" w:before="20"/>
            </w:pPr>
            <w:r/>
            <w:r>
              <w:rPr>
                <w:sz w:val="18"/>
              </w:rPr>
              <w:t>Bank profiles + comparative analysis</w:t>
            </w:r>
          </w:p>
        </w:tc>
      </w:tr>
      <w:tr>
        <w:tc>
          <w:tcPr>
            <w:tcW w:type="dxa" w:w="454"/>
          </w:tcPr>
          <w:p>
            <w:pPr>
              <w:spacing w:after="20" w:before="20"/>
            </w:pPr>
            <w:r/>
            <w:r>
              <w:rPr>
                <w:b/>
                <w:sz w:val="18"/>
              </w:rPr>
              <w:t>5</w:t>
            </w:r>
          </w:p>
        </w:tc>
        <w:tc>
          <w:tcPr>
            <w:tcW w:type="dxa" w:w="1474"/>
          </w:tcPr>
          <w:p>
            <w:pPr>
              <w:spacing w:after="20" w:before="20"/>
            </w:pPr>
            <w:r/>
            <w:r>
              <w:rPr>
                <w:sz w:val="18"/>
              </w:rPr>
              <w:t>Generate (stretch)</w:t>
            </w:r>
          </w:p>
        </w:tc>
        <w:tc>
          <w:tcPr>
            <w:tcW w:type="dxa" w:w="5102"/>
          </w:tcPr>
          <w:p>
            <w:pPr>
              <w:spacing w:after="20" w:before="20"/>
            </w:pPr>
            <w:r/>
            <w:r>
              <w:rPr>
                <w:sz w:val="18"/>
              </w:rPr>
              <w:t>Prompt an LLM to produce a new campaign under explicit criteria, then score it with the same extractor from step 2.</w:t>
            </w:r>
          </w:p>
        </w:tc>
        <w:tc>
          <w:tcPr>
            <w:tcW w:type="dxa" w:w="2381"/>
          </w:tcPr>
          <w:p>
            <w:pPr>
              <w:spacing w:after="20" w:before="20"/>
            </w:pPr>
            <w:r/>
            <w:r>
              <w:rPr>
                <w:sz w:val="18"/>
              </w:rPr>
              <w:t>Generated campaign + its feature scorecard</w:t>
            </w:r>
          </w:p>
        </w:tc>
      </w:tr>
    </w:tbl>
    <w:p>
      <w:pPr>
        <w:spacing w:after="80"/>
      </w:pPr>
    </w:p>
    <w:p>
      <w:pPr>
        <w:pStyle w:val="Heading2"/>
      </w:pPr>
      <w:r>
        <w:rPr>
          <w:b w:val="0"/>
          <w:i w:val="0"/>
        </w:rPr>
        <w:t>2.2 Why the loop closes</w:t>
      </w:r>
    </w:p>
    <w:p>
      <w:r>
        <w:rPr>
          <w:b w:val="0"/>
          <w:i w:val="0"/>
        </w:rPr>
        <w:t>Step 5 feeds back into step 2, and that is the part worth presenting. Because the generated campaign is scored by the same extractor as the real ones, the team can show where the generated campaign lands in the same feature space as the eight banks — "we asked for something more challenger-like, and here is the measurement showing it moved in that direction". That turns a subjective demo into a measured result, and it answers the stakeholders' question directly: "Can we prove it, measure it, and explain it?"</w:t>
      </w:r>
    </w:p>
    <w:p>
      <w:pPr>
        <w:pStyle w:val="Heading2"/>
      </w:pPr>
      <w:r>
        <w:rPr>
          <w:b w:val="0"/>
          <w:i w:val="0"/>
        </w:rPr>
        <w:t>2.3 Guiding principles</w:t>
      </w:r>
    </w:p>
    <w:p>
      <w:pPr>
        <w:pStyle w:val="ListBullet"/>
      </w:pPr>
      <w:r>
        <w:rPr>
          <w:b/>
        </w:rPr>
        <w:t>Thin slice first. —</w:t>
      </w:r>
      <w:r>
        <w:t xml:space="preserve"> One product family, one language, one page per bank, all the way through the chain by Day 6. Breadth is added afterwards, never before.</w:t>
      </w:r>
    </w:p>
    <w:p>
      <w:pPr>
        <w:pStyle w:val="ListBullet"/>
      </w:pPr>
      <w:r>
        <w:rPr>
          <w:b/>
        </w:rPr>
        <w:t>The schema is the contract. —</w:t>
      </w:r>
      <w:r>
        <w:t xml:space="preserve"> The dataset schema is agreed on Day 2 and frozen. It lets collection, extraction and analysis proceed in parallel instead of in sequence — the only way three people fit ten days of work into ten days.</w:t>
      </w:r>
    </w:p>
    <w:p>
      <w:pPr>
        <w:pStyle w:val="ListBullet"/>
      </w:pPr>
      <w:r>
        <w:rPr>
          <w:b/>
        </w:rPr>
        <w:t>Compliance before code. —</w:t>
      </w:r>
      <w:r>
        <w:t xml:space="preserve"> No page is fetched before its robots.txt has been read and recorded. This is a hard gate, not a task (LC-01 to LC-08).</w:t>
      </w:r>
    </w:p>
    <w:p>
      <w:pPr>
        <w:pStyle w:val="ListBullet"/>
      </w:pPr>
      <w:r>
        <w:rPr>
          <w:b/>
        </w:rPr>
        <w:t>Same yardstick for everyone. —</w:t>
      </w:r>
      <w:r>
        <w:t xml:space="preserve"> ING is measured exactly as the competitors are (LC-09). Siegried reviews the ING section specifically for favourable framing.</w:t>
      </w:r>
    </w:p>
    <w:p>
      <w:pPr>
        <w:pStyle w:val="ListBullet"/>
      </w:pPr>
      <w:r>
        <w:rPr>
          <w:b/>
        </w:rPr>
        <w:t>Nothing is claimed that is not measured. —</w:t>
      </w:r>
      <w:r>
        <w:t xml:space="preserve"> The team has no campaign performance data, so no design choice is said to cause better results. Recommendations are framed as hypotheses ING could test.</w:t>
      </w:r>
    </w:p>
    <w:p>
      <w:r>
        <w:br w:type="page"/>
      </w:r>
    </w:p>
    <w:p>
      <w:pPr>
        <w:pStyle w:val="Heading1"/>
      </w:pPr>
      <w:r>
        <w:rPr>
          <w:b w:val="0"/>
          <w:i w:val="0"/>
        </w:rPr>
        <w:t>3. Team and roles</w:t>
      </w:r>
    </w:p>
    <w:p>
      <w:r>
        <w:rPr>
          <w:b w:val="0"/>
          <w:i w:val="0"/>
        </w:rPr>
        <w:t>Three people, three workstreams that can run in parallel once the schema is frozen. Each person owns one stage of the chain end to end — they build it, they document it, and they present it in the technical session.</w:t>
      </w:r>
    </w:p>
    <w:tbl>
      <w:tblPr>
        <w:tblStyle w:val="TableGrid"/>
        <w:jc w:val="center"/>
        <w:tblLook w:firstColumn="1" w:firstRow="1" w:lastColumn="0" w:lastRow="0" w:noHBand="0" w:noVBand="1" w:val="04A0"/>
        <w:tblLayout w:type="fixed"/>
        <w:tblW w:w="9412" w:type="dxa"/>
      </w:tblPr>
      <w:tblGrid>
        <w:gridCol w:w="1077"/>
        <w:gridCol w:w="1757"/>
        <w:gridCol w:w="4649"/>
        <w:gridCol w:w="1927"/>
      </w:tblGrid>
      <w:tr>
        <w:tc>
          <w:tcPr>
            <w:tcW w:type="dxa" w:w="1077"/>
            <w:shd w:val="clear" w:color="auto" w:fill="FF6200"/>
          </w:tcPr>
          <w:p>
            <w:pPr>
              <w:spacing w:after="40" w:before="40"/>
            </w:pPr>
            <w:r/>
            <w:r>
              <w:rPr>
                <w:b/>
                <w:color w:val="FFFFFF"/>
                <w:sz w:val="19"/>
              </w:rPr>
              <w:t>Member</w:t>
            </w:r>
          </w:p>
        </w:tc>
        <w:tc>
          <w:tcPr>
            <w:tcW w:type="dxa" w:w="1757"/>
            <w:shd w:val="clear" w:color="auto" w:fill="FF6200"/>
          </w:tcPr>
          <w:p>
            <w:pPr>
              <w:spacing w:after="40" w:before="40"/>
            </w:pPr>
            <w:r/>
            <w:r>
              <w:rPr>
                <w:b/>
                <w:color w:val="FFFFFF"/>
                <w:sz w:val="19"/>
              </w:rPr>
              <w:t>Role</w:t>
            </w:r>
          </w:p>
        </w:tc>
        <w:tc>
          <w:tcPr>
            <w:tcW w:type="dxa" w:w="4649"/>
            <w:shd w:val="clear" w:color="auto" w:fill="FF6200"/>
          </w:tcPr>
          <w:p>
            <w:pPr>
              <w:spacing w:after="40" w:before="40"/>
            </w:pPr>
            <w:r/>
            <w:r>
              <w:rPr>
                <w:b/>
                <w:color w:val="FFFFFF"/>
                <w:sz w:val="19"/>
              </w:rPr>
              <w:t>Owns</w:t>
            </w:r>
          </w:p>
        </w:tc>
        <w:tc>
          <w:tcPr>
            <w:tcW w:type="dxa" w:w="1928"/>
            <w:shd w:val="clear" w:color="auto" w:fill="FF6200"/>
          </w:tcPr>
          <w:p>
            <w:pPr>
              <w:spacing w:after="40" w:before="40"/>
            </w:pPr>
            <w:r/>
            <w:r>
              <w:rPr>
                <w:b/>
                <w:color w:val="FFFFFF"/>
                <w:sz w:val="19"/>
              </w:rPr>
              <w:t>Presents</w:t>
            </w:r>
          </w:p>
        </w:tc>
      </w:tr>
      <w:tr>
        <w:tc>
          <w:tcPr>
            <w:tcW w:type="dxa" w:w="1077"/>
          </w:tcPr>
          <w:p>
            <w:pPr>
              <w:spacing w:after="20" w:before="20"/>
            </w:pPr>
            <w:r/>
            <w:r>
              <w:rPr>
                <w:b/>
                <w:sz w:val="18"/>
              </w:rPr>
              <w:t>Siegried</w:t>
            </w:r>
          </w:p>
        </w:tc>
        <w:tc>
          <w:tcPr>
            <w:tcW w:type="dxa" w:w="1757"/>
          </w:tcPr>
          <w:p>
            <w:pPr>
              <w:spacing w:after="20" w:before="20"/>
            </w:pPr>
            <w:r/>
            <w:r>
              <w:rPr>
                <w:sz w:val="18"/>
              </w:rPr>
              <w:t>Project Lead &amp;</w:t>
            </w:r>
          </w:p>
          <w:p>
            <w:pPr>
              <w:spacing w:after="20" w:before="20"/>
            </w:pPr>
            <w:r>
              <w:rPr>
                <w:sz w:val="18"/>
              </w:rPr>
              <w:t>Marketing Framework Owner</w:t>
            </w:r>
          </w:p>
        </w:tc>
        <w:tc>
          <w:tcPr>
            <w:tcW w:type="dxa" w:w="4649"/>
          </w:tcPr>
          <w:p>
            <w:pPr>
              <w:spacing w:after="20" w:before="20"/>
              <w:ind w:left="142"/>
            </w:pPr>
            <w:r/>
            <w:r>
              <w:rPr>
                <w:sz w:val="18"/>
              </w:rPr>
              <w:t>• Scope decisions and the compliance note (D-01)</w:t>
            </w:r>
          </w:p>
          <w:p>
            <w:pPr>
              <w:spacing w:after="20" w:before="20"/>
              <w:ind w:left="142"/>
            </w:pPr>
            <w:r>
              <w:rPr>
                <w:sz w:val="18"/>
              </w:rPr>
              <w:t>• Sourcing the marketing principles and turning them into the scoring rubric (step 3)</w:t>
            </w:r>
          </w:p>
          <w:p>
            <w:pPr>
              <w:spacing w:after="20" w:before="20"/>
              <w:ind w:left="142"/>
            </w:pPr>
            <w:r>
              <w:rPr>
                <w:sz w:val="18"/>
              </w:rPr>
              <w:t>• Stakeholder contact and the Day 5 checkpoint</w:t>
            </w:r>
          </w:p>
          <w:p>
            <w:pPr>
              <w:spacing w:after="20" w:before="20"/>
              <w:ind w:left="142"/>
            </w:pPr>
            <w:r>
              <w:rPr>
                <w:sz w:val="18"/>
              </w:rPr>
              <w:t>• The business narrative: insights, recommendations, positioning story</w:t>
            </w:r>
          </w:p>
          <w:p>
            <w:pPr>
              <w:spacing w:after="20" w:before="20"/>
              <w:ind w:left="142"/>
            </w:pPr>
            <w:r>
              <w:rPr>
                <w:sz w:val="18"/>
              </w:rPr>
              <w:t>• Final quality gate: bias review, traceability of every claim</w:t>
            </w:r>
          </w:p>
        </w:tc>
        <w:tc>
          <w:tcPr>
            <w:tcW w:type="dxa" w:w="1928"/>
          </w:tcPr>
          <w:p>
            <w:pPr>
              <w:spacing w:after="20" w:before="20"/>
            </w:pPr>
            <w:r/>
            <w:r>
              <w:rPr>
                <w:sz w:val="18"/>
              </w:rPr>
              <w:t>Business presentation (D-06)</w:t>
            </w:r>
          </w:p>
        </w:tc>
      </w:tr>
      <w:tr>
        <w:tc>
          <w:tcPr>
            <w:tcW w:type="dxa" w:w="1077"/>
            <w:shd w:val="clear" w:color="auto" w:fill="FDF0E6"/>
          </w:tcPr>
          <w:p>
            <w:pPr>
              <w:spacing w:after="20" w:before="20"/>
            </w:pPr>
            <w:r/>
            <w:r>
              <w:rPr>
                <w:b/>
                <w:sz w:val="18"/>
              </w:rPr>
              <w:t>Dan</w:t>
            </w:r>
          </w:p>
        </w:tc>
        <w:tc>
          <w:tcPr>
            <w:tcW w:type="dxa" w:w="1757"/>
            <w:shd w:val="clear" w:color="auto" w:fill="FDF0E6"/>
          </w:tcPr>
          <w:p>
            <w:pPr>
              <w:spacing w:after="20" w:before="20"/>
            </w:pPr>
            <w:r/>
            <w:r>
              <w:rPr>
                <w:sz w:val="18"/>
              </w:rPr>
              <w:t>Data Collection &amp;</w:t>
            </w:r>
          </w:p>
          <w:p>
            <w:pPr>
              <w:spacing w:after="20" w:before="20"/>
            </w:pPr>
            <w:r>
              <w:rPr>
                <w:sz w:val="18"/>
              </w:rPr>
              <w:t>Extraction Engineer</w:t>
            </w:r>
          </w:p>
        </w:tc>
        <w:tc>
          <w:tcPr>
            <w:tcW w:type="dxa" w:w="4649"/>
            <w:shd w:val="clear" w:color="auto" w:fill="FDF0E6"/>
          </w:tcPr>
          <w:p>
            <w:pPr>
              <w:spacing w:after="20" w:before="20"/>
              <w:ind w:left="142"/>
            </w:pPr>
            <w:r/>
            <w:r>
              <w:rPr>
                <w:sz w:val="18"/>
              </w:rPr>
              <w:t>• Source discovery: robots.txt, sitemaps, URL shortlist (FR-02)</w:t>
            </w:r>
          </w:p>
          <w:p>
            <w:pPr>
              <w:spacing w:after="20" w:before="20"/>
              <w:ind w:left="142"/>
            </w:pPr>
            <w:r>
              <w:rPr>
                <w:sz w:val="18"/>
              </w:rPr>
              <w:t>• The scraping pipeline and the raw snapshot store (FR-03)</w:t>
            </w:r>
          </w:p>
          <w:p>
            <w:pPr>
              <w:spacing w:after="20" w:before="20"/>
              <w:ind w:left="142"/>
            </w:pPr>
            <w:r>
              <w:rPr>
                <w:sz w:val="18"/>
              </w:rPr>
              <w:t>• Automated feature extraction: text metrics, colour palettes, image and layout features (FR-04, FR-05)</w:t>
            </w:r>
          </w:p>
          <w:p>
            <w:pPr>
              <w:spacing w:after="20" w:before="20"/>
              <w:ind w:left="142"/>
            </w:pPr>
            <w:r>
              <w:rPr>
                <w:sz w:val="18"/>
              </w:rPr>
              <w:t>• Dataset build and data quality (FR-07, DR-01 to DR-10)</w:t>
            </w:r>
          </w:p>
          <w:p>
            <w:pPr>
              <w:spacing w:after="20" w:before="20"/>
              <w:ind w:left="142"/>
            </w:pPr>
            <w:r>
              <w:rPr>
                <w:sz w:val="18"/>
              </w:rPr>
              <w:t>• Repository hygiene, reproducibility of the pipeline (NFR-01, NFR-07)</w:t>
            </w:r>
          </w:p>
        </w:tc>
        <w:tc>
          <w:tcPr>
            <w:tcW w:type="dxa" w:w="1928"/>
            <w:shd w:val="clear" w:color="auto" w:fill="FDF0E6"/>
          </w:tcPr>
          <w:p>
            <w:pPr>
              <w:spacing w:after="20" w:before="20"/>
            </w:pPr>
            <w:r/>
            <w:r>
              <w:rPr>
                <w:sz w:val="18"/>
              </w:rPr>
              <w:t>Pipeline &amp; data quality section (D-07)</w:t>
            </w:r>
          </w:p>
        </w:tc>
      </w:tr>
      <w:tr>
        <w:tc>
          <w:tcPr>
            <w:tcW w:type="dxa" w:w="1077"/>
          </w:tcPr>
          <w:p>
            <w:pPr>
              <w:spacing w:after="20" w:before="20"/>
            </w:pPr>
            <w:r/>
            <w:r>
              <w:rPr>
                <w:b/>
                <w:sz w:val="18"/>
              </w:rPr>
              <w:t>Stephane</w:t>
            </w:r>
          </w:p>
        </w:tc>
        <w:tc>
          <w:tcPr>
            <w:tcW w:type="dxa" w:w="1757"/>
          </w:tcPr>
          <w:p>
            <w:pPr>
              <w:spacing w:after="20" w:before="20"/>
            </w:pPr>
            <w:r/>
            <w:r>
              <w:rPr>
                <w:sz w:val="18"/>
              </w:rPr>
              <w:t>Analysis &amp;</w:t>
            </w:r>
          </w:p>
          <w:p>
            <w:pPr>
              <w:spacing w:after="20" w:before="20"/>
            </w:pPr>
            <w:r>
              <w:rPr>
                <w:sz w:val="18"/>
              </w:rPr>
              <w:t>Generative AI Lead</w:t>
            </w:r>
          </w:p>
        </w:tc>
        <w:tc>
          <w:tcPr>
            <w:tcW w:type="dxa" w:w="4649"/>
          </w:tcPr>
          <w:p>
            <w:pPr>
              <w:spacing w:after="20" w:before="20"/>
              <w:ind w:left="142"/>
            </w:pPr>
            <w:r/>
            <w:r>
              <w:rPr>
                <w:sz w:val="18"/>
              </w:rPr>
              <w:t>• Feature dictionary, co-designed with Dan and Siegried (FR-06)</w:t>
            </w:r>
          </w:p>
          <w:p>
            <w:pPr>
              <w:spacing w:after="20" w:before="20"/>
              <w:ind w:left="142"/>
            </w:pPr>
            <w:r>
              <w:rPr>
                <w:sz w:val="18"/>
              </w:rPr>
              <w:t>• Bank profile cards (section 4.2)</w:t>
            </w:r>
          </w:p>
          <w:p>
            <w:pPr>
              <w:spacing w:after="20" w:before="20"/>
              <w:ind w:left="142"/>
            </w:pPr>
            <w:r>
              <w:rPr>
                <w:sz w:val="18"/>
              </w:rPr>
              <w:t>• Comparative analysis: ING positioning, traditional vs challenger, similarity grouping (FR-08, FR-09)</w:t>
            </w:r>
          </w:p>
          <w:p>
            <w:pPr>
              <w:spacing w:after="20" w:before="20"/>
              <w:ind w:left="142"/>
            </w:pPr>
            <w:r>
              <w:rPr>
                <w:sz w:val="18"/>
              </w:rPr>
              <w:t>• All charts and visuals used in both presentations</w:t>
            </w:r>
          </w:p>
          <w:p>
            <w:pPr>
              <w:spacing w:after="20" w:before="20"/>
              <w:ind w:left="142"/>
            </w:pPr>
            <w:r>
              <w:rPr>
                <w:sz w:val="18"/>
              </w:rPr>
              <w:t>• Stretch: the LLM campaign generator and its evaluation (section 4.5)</w:t>
            </w:r>
          </w:p>
        </w:tc>
        <w:tc>
          <w:tcPr>
            <w:tcW w:type="dxa" w:w="1928"/>
          </w:tcPr>
          <w:p>
            <w:pPr>
              <w:spacing w:after="20" w:before="20"/>
            </w:pPr>
            <w:r/>
            <w:r>
              <w:rPr>
                <w:sz w:val="18"/>
              </w:rPr>
              <w:t>Method, findings &amp; limitations (D-07)</w:t>
            </w:r>
          </w:p>
        </w:tc>
      </w:tr>
    </w:tbl>
    <w:p>
      <w:pPr>
        <w:spacing w:after="80"/>
      </w:pPr>
    </w:p>
    <w:p>
      <w:r>
        <w:rPr>
          <w:b w:val="0"/>
          <w:i w:val="0"/>
        </w:rPr>
        <w:t>Shared by all three — not delegated:</w:t>
      </w:r>
    </w:p>
    <w:p>
      <w:pPr>
        <w:pStyle w:val="ListBullet"/>
      </w:pPr>
      <w:r>
        <w:rPr>
          <w:b/>
        </w:rPr>
        <w:t>Rubric scoring. —</w:t>
      </w:r>
      <w:r>
        <w:t xml:space="preserve"> Judgement-based features (tone, visual hierarchy) are scored independently by at least two people on a sample, and the disagreement is reported. One person scoring alone would not satisfy NFR-05.</w:t>
      </w:r>
    </w:p>
    <w:p>
      <w:pPr>
        <w:pStyle w:val="ListBullet"/>
      </w:pPr>
      <w:r>
        <w:rPr>
          <w:b/>
        </w:rPr>
        <w:t>Scope calls. —</w:t>
      </w:r>
      <w:r>
        <w:t xml:space="preserve"> Any decision to add or drop a bank, a page or a feature is taken together at the daily standup and written into D-01.</w:t>
      </w:r>
    </w:p>
    <w:p>
      <w:pPr>
        <w:pStyle w:val="ListBullet"/>
      </w:pPr>
      <w:r>
        <w:rPr>
          <w:b/>
        </w:rPr>
        <w:t>The dry run. —</w:t>
      </w:r>
      <w:r>
        <w:t xml:space="preserve"> Both presentations are rehearsed by the whole team on Day 9.</w:t>
      </w:r>
    </w:p>
    <w:p>
      <w:pPr>
        <w:pStyle w:val="Heading2"/>
      </w:pPr>
      <w:r>
        <w:rPr>
          <w:b w:val="0"/>
          <w:i w:val="0"/>
        </w:rPr>
        <w:t>3.1 RACI by deliverable</w:t>
      </w:r>
    </w:p>
    <w:p>
      <w:r>
        <w:rPr>
          <w:b w:val="0"/>
          <w:i/>
          <w:color w:val="5A5A5A"/>
          <w:sz w:val="19"/>
        </w:rPr>
        <w:t>R = responsible (does the work), A = accountable (answers for it), C = consulted, I = informed.</w:t>
      </w:r>
    </w:p>
    <w:tbl>
      <w:tblPr>
        <w:tblStyle w:val="TableGrid"/>
        <w:jc w:val="center"/>
        <w:tblLook w:firstColumn="1" w:firstRow="1" w:lastColumn="0" w:lastRow="0" w:noHBand="0" w:noVBand="1" w:val="04A0"/>
        <w:tblLayout w:type="fixed"/>
        <w:tblW w:w="9412" w:type="dxa"/>
      </w:tblPr>
      <w:tblGrid>
        <w:gridCol w:w="4309"/>
        <w:gridCol w:w="1701"/>
        <w:gridCol w:w="1701"/>
        <w:gridCol w:w="1701"/>
      </w:tblGrid>
      <w:tr>
        <w:tc>
          <w:tcPr>
            <w:tcW w:type="dxa" w:w="4309"/>
            <w:shd w:val="clear" w:color="auto" w:fill="FF6200"/>
          </w:tcPr>
          <w:p>
            <w:pPr>
              <w:spacing w:after="40" w:before="40"/>
            </w:pPr>
            <w:r/>
            <w:r>
              <w:rPr>
                <w:b/>
                <w:color w:val="FFFFFF"/>
                <w:sz w:val="19"/>
              </w:rPr>
              <w:t>Deliverable (PRD ID)</w:t>
            </w:r>
          </w:p>
        </w:tc>
        <w:tc>
          <w:tcPr>
            <w:tcW w:type="dxa" w:w="1701"/>
            <w:shd w:val="clear" w:color="auto" w:fill="FF6200"/>
          </w:tcPr>
          <w:p>
            <w:pPr>
              <w:spacing w:after="40" w:before="40"/>
            </w:pPr>
            <w:r/>
            <w:r>
              <w:rPr>
                <w:b/>
                <w:color w:val="FFFFFF"/>
                <w:sz w:val="19"/>
              </w:rPr>
              <w:t>Siegried</w:t>
            </w:r>
          </w:p>
        </w:tc>
        <w:tc>
          <w:tcPr>
            <w:tcW w:type="dxa" w:w="1701"/>
            <w:shd w:val="clear" w:color="auto" w:fill="FF6200"/>
          </w:tcPr>
          <w:p>
            <w:pPr>
              <w:spacing w:after="40" w:before="40"/>
            </w:pPr>
            <w:r/>
            <w:r>
              <w:rPr>
                <w:b/>
                <w:color w:val="FFFFFF"/>
                <w:sz w:val="19"/>
              </w:rPr>
              <w:t>Dan</w:t>
            </w:r>
          </w:p>
        </w:tc>
        <w:tc>
          <w:tcPr>
            <w:tcW w:type="dxa" w:w="1701"/>
            <w:shd w:val="clear" w:color="auto" w:fill="FF6200"/>
          </w:tcPr>
          <w:p>
            <w:pPr>
              <w:spacing w:after="40" w:before="40"/>
            </w:pPr>
            <w:r/>
            <w:r>
              <w:rPr>
                <w:b/>
                <w:color w:val="FFFFFF"/>
                <w:sz w:val="19"/>
              </w:rPr>
              <w:t>Stephane</w:t>
            </w:r>
          </w:p>
        </w:tc>
      </w:tr>
      <w:tr>
        <w:tc>
          <w:tcPr>
            <w:tcW w:type="dxa" w:w="4309"/>
          </w:tcPr>
          <w:p>
            <w:pPr>
              <w:spacing w:after="20" w:before="20"/>
            </w:pPr>
            <w:r/>
            <w:r>
              <w:rPr>
                <w:b/>
                <w:sz w:val="18"/>
              </w:rPr>
              <w:t>D-01  Scope &amp; compliance note</w:t>
            </w:r>
          </w:p>
        </w:tc>
        <w:tc>
          <w:tcPr>
            <w:tcW w:type="dxa" w:w="1701"/>
          </w:tcPr>
          <w:p>
            <w:pPr>
              <w:spacing w:after="20" w:before="20"/>
            </w:pPr>
            <w:r/>
            <w:r>
              <w:rPr>
                <w:sz w:val="18"/>
              </w:rPr>
              <w:t>R / A</w:t>
            </w:r>
          </w:p>
        </w:tc>
        <w:tc>
          <w:tcPr>
            <w:tcW w:type="dxa" w:w="1701"/>
          </w:tcPr>
          <w:p>
            <w:pPr>
              <w:spacing w:after="20" w:before="20"/>
            </w:pPr>
            <w:r/>
            <w:r>
              <w:rPr>
                <w:sz w:val="18"/>
              </w:rPr>
              <w:t>C</w:t>
            </w:r>
          </w:p>
        </w:tc>
        <w:tc>
          <w:tcPr>
            <w:tcW w:type="dxa" w:w="1701"/>
          </w:tcPr>
          <w:p>
            <w:pPr>
              <w:spacing w:after="20" w:before="20"/>
            </w:pPr>
            <w:r/>
            <w:r>
              <w:rPr>
                <w:sz w:val="18"/>
              </w:rPr>
              <w:t>C</w:t>
            </w:r>
          </w:p>
        </w:tc>
      </w:tr>
      <w:tr>
        <w:tc>
          <w:tcPr>
            <w:tcW w:type="dxa" w:w="4309"/>
            <w:shd w:val="clear" w:color="auto" w:fill="FDF0E6"/>
          </w:tcPr>
          <w:p>
            <w:pPr>
              <w:spacing w:after="20" w:before="20"/>
            </w:pPr>
            <w:r/>
            <w:r>
              <w:rPr>
                <w:b/>
                <w:sz w:val="18"/>
              </w:rPr>
              <w:t>D-02  Collection pipeline &amp; snapshots</w:t>
            </w:r>
          </w:p>
        </w:tc>
        <w:tc>
          <w:tcPr>
            <w:tcW w:type="dxa" w:w="1701"/>
            <w:shd w:val="clear" w:color="auto" w:fill="FDF0E6"/>
          </w:tcPr>
          <w:p>
            <w:pPr>
              <w:spacing w:after="20" w:before="20"/>
            </w:pPr>
            <w:r/>
            <w:r>
              <w:rPr>
                <w:sz w:val="18"/>
              </w:rPr>
              <w:t>I</w:t>
            </w:r>
          </w:p>
        </w:tc>
        <w:tc>
          <w:tcPr>
            <w:tcW w:type="dxa" w:w="1701"/>
            <w:shd w:val="clear" w:color="auto" w:fill="FDF0E6"/>
          </w:tcPr>
          <w:p>
            <w:pPr>
              <w:spacing w:after="20" w:before="20"/>
            </w:pPr>
            <w:r/>
            <w:r>
              <w:rPr>
                <w:sz w:val="18"/>
              </w:rPr>
              <w:t>R / A</w:t>
            </w:r>
          </w:p>
        </w:tc>
        <w:tc>
          <w:tcPr>
            <w:tcW w:type="dxa" w:w="1701"/>
            <w:shd w:val="clear" w:color="auto" w:fill="FDF0E6"/>
          </w:tcPr>
          <w:p>
            <w:pPr>
              <w:spacing w:after="20" w:before="20"/>
            </w:pPr>
            <w:r/>
            <w:r>
              <w:rPr>
                <w:sz w:val="18"/>
              </w:rPr>
              <w:t>C</w:t>
            </w:r>
          </w:p>
        </w:tc>
      </w:tr>
      <w:tr>
        <w:tc>
          <w:tcPr>
            <w:tcW w:type="dxa" w:w="4309"/>
          </w:tcPr>
          <w:p>
            <w:pPr>
              <w:spacing w:after="20" w:before="20"/>
            </w:pPr>
            <w:r/>
            <w:r>
              <w:rPr>
                <w:b/>
                <w:sz w:val="18"/>
              </w:rPr>
              <w:t>D-03  Feature dictionary</w:t>
            </w:r>
          </w:p>
        </w:tc>
        <w:tc>
          <w:tcPr>
            <w:tcW w:type="dxa" w:w="1701"/>
          </w:tcPr>
          <w:p>
            <w:pPr>
              <w:spacing w:after="20" w:before="20"/>
            </w:pPr>
            <w:r/>
            <w:r>
              <w:rPr>
                <w:sz w:val="18"/>
              </w:rPr>
              <w:t>C</w:t>
            </w:r>
          </w:p>
        </w:tc>
        <w:tc>
          <w:tcPr>
            <w:tcW w:type="dxa" w:w="1701"/>
          </w:tcPr>
          <w:p>
            <w:pPr>
              <w:spacing w:after="20" w:before="20"/>
            </w:pPr>
            <w:r/>
            <w:r>
              <w:rPr>
                <w:sz w:val="18"/>
              </w:rPr>
              <w:t>R</w:t>
            </w:r>
          </w:p>
        </w:tc>
        <w:tc>
          <w:tcPr>
            <w:tcW w:type="dxa" w:w="1701"/>
          </w:tcPr>
          <w:p>
            <w:pPr>
              <w:spacing w:after="20" w:before="20"/>
            </w:pPr>
            <w:r/>
            <w:r>
              <w:rPr>
                <w:sz w:val="18"/>
              </w:rPr>
              <w:t>R / A</w:t>
            </w:r>
          </w:p>
        </w:tc>
      </w:tr>
      <w:tr>
        <w:tc>
          <w:tcPr>
            <w:tcW w:type="dxa" w:w="4309"/>
            <w:shd w:val="clear" w:color="auto" w:fill="FDF0E6"/>
          </w:tcPr>
          <w:p>
            <w:pPr>
              <w:spacing w:after="20" w:before="20"/>
            </w:pPr>
            <w:r/>
            <w:r>
              <w:rPr>
                <w:b/>
                <w:sz w:val="18"/>
              </w:rPr>
              <w:t>D-04  Campaign dataset</w:t>
            </w:r>
          </w:p>
        </w:tc>
        <w:tc>
          <w:tcPr>
            <w:tcW w:type="dxa" w:w="1701"/>
            <w:shd w:val="clear" w:color="auto" w:fill="FDF0E6"/>
          </w:tcPr>
          <w:p>
            <w:pPr>
              <w:spacing w:after="20" w:before="20"/>
            </w:pPr>
            <w:r/>
            <w:r>
              <w:rPr>
                <w:sz w:val="18"/>
              </w:rPr>
              <w:t>I</w:t>
            </w:r>
          </w:p>
        </w:tc>
        <w:tc>
          <w:tcPr>
            <w:tcW w:type="dxa" w:w="1701"/>
            <w:shd w:val="clear" w:color="auto" w:fill="FDF0E6"/>
          </w:tcPr>
          <w:p>
            <w:pPr>
              <w:spacing w:after="20" w:before="20"/>
            </w:pPr>
            <w:r/>
            <w:r>
              <w:rPr>
                <w:sz w:val="18"/>
              </w:rPr>
              <w:t>R / A</w:t>
            </w:r>
          </w:p>
        </w:tc>
        <w:tc>
          <w:tcPr>
            <w:tcW w:type="dxa" w:w="1701"/>
            <w:shd w:val="clear" w:color="auto" w:fill="FDF0E6"/>
          </w:tcPr>
          <w:p>
            <w:pPr>
              <w:spacing w:after="20" w:before="20"/>
            </w:pPr>
            <w:r/>
            <w:r>
              <w:rPr>
                <w:sz w:val="18"/>
              </w:rPr>
              <w:t>C</w:t>
            </w:r>
          </w:p>
        </w:tc>
      </w:tr>
      <w:tr>
        <w:tc>
          <w:tcPr>
            <w:tcW w:type="dxa" w:w="4309"/>
          </w:tcPr>
          <w:p>
            <w:pPr>
              <w:spacing w:after="20" w:before="20"/>
            </w:pPr>
            <w:r/>
            <w:r>
              <w:rPr>
                <w:b/>
                <w:sz w:val="18"/>
              </w:rPr>
              <w:t>D-05  Analysis report</w:t>
            </w:r>
          </w:p>
        </w:tc>
        <w:tc>
          <w:tcPr>
            <w:tcW w:type="dxa" w:w="1701"/>
          </w:tcPr>
          <w:p>
            <w:pPr>
              <w:spacing w:after="20" w:before="20"/>
            </w:pPr>
            <w:r/>
            <w:r>
              <w:rPr>
                <w:sz w:val="18"/>
              </w:rPr>
              <w:t>C</w:t>
            </w:r>
          </w:p>
        </w:tc>
        <w:tc>
          <w:tcPr>
            <w:tcW w:type="dxa" w:w="1701"/>
          </w:tcPr>
          <w:p>
            <w:pPr>
              <w:spacing w:after="20" w:before="20"/>
            </w:pPr>
            <w:r/>
            <w:r>
              <w:rPr>
                <w:sz w:val="18"/>
              </w:rPr>
              <w:t>C</w:t>
            </w:r>
          </w:p>
        </w:tc>
        <w:tc>
          <w:tcPr>
            <w:tcW w:type="dxa" w:w="1701"/>
          </w:tcPr>
          <w:p>
            <w:pPr>
              <w:spacing w:after="20" w:before="20"/>
            </w:pPr>
            <w:r/>
            <w:r>
              <w:rPr>
                <w:sz w:val="18"/>
              </w:rPr>
              <w:t>R / A</w:t>
            </w:r>
          </w:p>
        </w:tc>
      </w:tr>
      <w:tr>
        <w:tc>
          <w:tcPr>
            <w:tcW w:type="dxa" w:w="4309"/>
            <w:shd w:val="clear" w:color="auto" w:fill="FDF0E6"/>
          </w:tcPr>
          <w:p>
            <w:pPr>
              <w:spacing w:after="20" w:before="20"/>
            </w:pPr>
            <w:r/>
            <w:r>
              <w:rPr>
                <w:b/>
                <w:sz w:val="18"/>
              </w:rPr>
              <w:t>D-06  Business presentation</w:t>
            </w:r>
          </w:p>
        </w:tc>
        <w:tc>
          <w:tcPr>
            <w:tcW w:type="dxa" w:w="1701"/>
            <w:shd w:val="clear" w:color="auto" w:fill="FDF0E6"/>
          </w:tcPr>
          <w:p>
            <w:pPr>
              <w:spacing w:after="20" w:before="20"/>
            </w:pPr>
            <w:r/>
            <w:r>
              <w:rPr>
                <w:sz w:val="18"/>
              </w:rPr>
              <w:t>R / A</w:t>
            </w:r>
          </w:p>
        </w:tc>
        <w:tc>
          <w:tcPr>
            <w:tcW w:type="dxa" w:w="1701"/>
            <w:shd w:val="clear" w:color="auto" w:fill="FDF0E6"/>
          </w:tcPr>
          <w:p>
            <w:pPr>
              <w:spacing w:after="20" w:before="20"/>
            </w:pPr>
            <w:r/>
            <w:r>
              <w:rPr>
                <w:sz w:val="18"/>
              </w:rPr>
              <w:t>C</w:t>
            </w:r>
          </w:p>
        </w:tc>
        <w:tc>
          <w:tcPr>
            <w:tcW w:type="dxa" w:w="1701"/>
            <w:shd w:val="clear" w:color="auto" w:fill="FDF0E6"/>
          </w:tcPr>
          <w:p>
            <w:pPr>
              <w:spacing w:after="20" w:before="20"/>
            </w:pPr>
            <w:r/>
            <w:r>
              <w:rPr>
                <w:sz w:val="18"/>
              </w:rPr>
              <w:t>C</w:t>
            </w:r>
          </w:p>
        </w:tc>
      </w:tr>
      <w:tr>
        <w:tc>
          <w:tcPr>
            <w:tcW w:type="dxa" w:w="4309"/>
          </w:tcPr>
          <w:p>
            <w:pPr>
              <w:spacing w:after="20" w:before="20"/>
            </w:pPr>
            <w:r/>
            <w:r>
              <w:rPr>
                <w:b/>
                <w:sz w:val="18"/>
              </w:rPr>
              <w:t>D-07  Data presentation</w:t>
            </w:r>
          </w:p>
        </w:tc>
        <w:tc>
          <w:tcPr>
            <w:tcW w:type="dxa" w:w="1701"/>
          </w:tcPr>
          <w:p>
            <w:pPr>
              <w:spacing w:after="20" w:before="20"/>
            </w:pPr>
            <w:r/>
            <w:r>
              <w:rPr>
                <w:sz w:val="18"/>
              </w:rPr>
              <w:t>C</w:t>
            </w:r>
          </w:p>
        </w:tc>
        <w:tc>
          <w:tcPr>
            <w:tcW w:type="dxa" w:w="1701"/>
          </w:tcPr>
          <w:p>
            <w:pPr>
              <w:spacing w:after="20" w:before="20"/>
            </w:pPr>
            <w:r/>
            <w:r>
              <w:rPr>
                <w:sz w:val="18"/>
              </w:rPr>
              <w:t>R</w:t>
            </w:r>
          </w:p>
        </w:tc>
        <w:tc>
          <w:tcPr>
            <w:tcW w:type="dxa" w:w="1701"/>
          </w:tcPr>
          <w:p>
            <w:pPr>
              <w:spacing w:after="20" w:before="20"/>
            </w:pPr>
            <w:r/>
            <w:r>
              <w:rPr>
                <w:sz w:val="18"/>
              </w:rPr>
              <w:t>R / A</w:t>
            </w:r>
          </w:p>
        </w:tc>
      </w:tr>
      <w:tr>
        <w:tc>
          <w:tcPr>
            <w:tcW w:type="dxa" w:w="4309"/>
            <w:shd w:val="clear" w:color="auto" w:fill="FDF0E6"/>
          </w:tcPr>
          <w:p>
            <w:pPr>
              <w:spacing w:after="20" w:before="20"/>
            </w:pPr>
            <w:r/>
            <w:r>
              <w:rPr>
                <w:b/>
                <w:sz w:val="18"/>
              </w:rPr>
              <w:t>D-08  Repository &amp; README</w:t>
            </w:r>
          </w:p>
        </w:tc>
        <w:tc>
          <w:tcPr>
            <w:tcW w:type="dxa" w:w="1701"/>
            <w:shd w:val="clear" w:color="auto" w:fill="FDF0E6"/>
          </w:tcPr>
          <w:p>
            <w:pPr>
              <w:spacing w:after="20" w:before="20"/>
            </w:pPr>
            <w:r/>
            <w:r>
              <w:rPr>
                <w:sz w:val="18"/>
              </w:rPr>
              <w:t>I</w:t>
            </w:r>
          </w:p>
        </w:tc>
        <w:tc>
          <w:tcPr>
            <w:tcW w:type="dxa" w:w="1701"/>
            <w:shd w:val="clear" w:color="auto" w:fill="FDF0E6"/>
          </w:tcPr>
          <w:p>
            <w:pPr>
              <w:spacing w:after="20" w:before="20"/>
            </w:pPr>
            <w:r/>
            <w:r>
              <w:rPr>
                <w:sz w:val="18"/>
              </w:rPr>
              <w:t>R / A</w:t>
            </w:r>
          </w:p>
        </w:tc>
        <w:tc>
          <w:tcPr>
            <w:tcW w:type="dxa" w:w="1701"/>
            <w:shd w:val="clear" w:color="auto" w:fill="FDF0E6"/>
          </w:tcPr>
          <w:p>
            <w:pPr>
              <w:spacing w:after="20" w:before="20"/>
            </w:pPr>
            <w:r/>
            <w:r>
              <w:rPr>
                <w:sz w:val="18"/>
              </w:rPr>
              <w:t>C</w:t>
            </w:r>
          </w:p>
        </w:tc>
      </w:tr>
      <w:tr>
        <w:tc>
          <w:tcPr>
            <w:tcW w:type="dxa" w:w="4309"/>
          </w:tcPr>
          <w:p>
            <w:pPr>
              <w:spacing w:after="20" w:before="20"/>
            </w:pPr>
            <w:r/>
            <w:r>
              <w:rPr>
                <w:b/>
                <w:sz w:val="18"/>
              </w:rPr>
              <w:t>D-09  Limitations &amp; next steps</w:t>
            </w:r>
          </w:p>
        </w:tc>
        <w:tc>
          <w:tcPr>
            <w:tcW w:type="dxa" w:w="1701"/>
          </w:tcPr>
          <w:p>
            <w:pPr>
              <w:spacing w:after="20" w:before="20"/>
            </w:pPr>
            <w:r/>
            <w:r>
              <w:rPr>
                <w:sz w:val="18"/>
              </w:rPr>
              <w:t>A</w:t>
            </w:r>
          </w:p>
        </w:tc>
        <w:tc>
          <w:tcPr>
            <w:tcW w:type="dxa" w:w="1701"/>
          </w:tcPr>
          <w:p>
            <w:pPr>
              <w:spacing w:after="20" w:before="20"/>
            </w:pPr>
            <w:r/>
            <w:r>
              <w:rPr>
                <w:sz w:val="18"/>
              </w:rPr>
              <w:t>C</w:t>
            </w:r>
          </w:p>
        </w:tc>
        <w:tc>
          <w:tcPr>
            <w:tcW w:type="dxa" w:w="1701"/>
          </w:tcPr>
          <w:p>
            <w:pPr>
              <w:spacing w:after="20" w:before="20"/>
            </w:pPr>
            <w:r/>
            <w:r>
              <w:rPr>
                <w:sz w:val="18"/>
              </w:rPr>
              <w:t>R</w:t>
            </w:r>
          </w:p>
        </w:tc>
      </w:tr>
      <w:tr>
        <w:tc>
          <w:tcPr>
            <w:tcW w:type="dxa" w:w="4309"/>
            <w:shd w:val="clear" w:color="auto" w:fill="FDF0E6"/>
          </w:tcPr>
          <w:p>
            <w:pPr>
              <w:spacing w:after="20" w:before="20"/>
            </w:pPr>
            <w:r/>
            <w:r>
              <w:rPr>
                <w:b/>
                <w:sz w:val="18"/>
              </w:rPr>
              <w:t>Scoring rubric (marketing principles)</w:t>
            </w:r>
          </w:p>
        </w:tc>
        <w:tc>
          <w:tcPr>
            <w:tcW w:type="dxa" w:w="1701"/>
            <w:shd w:val="clear" w:color="auto" w:fill="FDF0E6"/>
          </w:tcPr>
          <w:p>
            <w:pPr>
              <w:spacing w:after="20" w:before="20"/>
            </w:pPr>
            <w:r/>
            <w:r>
              <w:rPr>
                <w:sz w:val="18"/>
              </w:rPr>
              <w:t>R / A</w:t>
            </w:r>
          </w:p>
        </w:tc>
        <w:tc>
          <w:tcPr>
            <w:tcW w:type="dxa" w:w="1701"/>
            <w:shd w:val="clear" w:color="auto" w:fill="FDF0E6"/>
          </w:tcPr>
          <w:p>
            <w:pPr>
              <w:spacing w:after="20" w:before="20"/>
            </w:pPr>
            <w:r/>
            <w:r>
              <w:rPr>
                <w:sz w:val="18"/>
              </w:rPr>
              <w:t>C</w:t>
            </w:r>
          </w:p>
        </w:tc>
        <w:tc>
          <w:tcPr>
            <w:tcW w:type="dxa" w:w="1701"/>
            <w:shd w:val="clear" w:color="auto" w:fill="FDF0E6"/>
          </w:tcPr>
          <w:p>
            <w:pPr>
              <w:spacing w:after="20" w:before="20"/>
            </w:pPr>
            <w:r/>
            <w:r>
              <w:rPr>
                <w:sz w:val="18"/>
              </w:rPr>
              <w:t>C</w:t>
            </w:r>
          </w:p>
        </w:tc>
      </w:tr>
      <w:tr>
        <w:tc>
          <w:tcPr>
            <w:tcW w:type="dxa" w:w="4309"/>
          </w:tcPr>
          <w:p>
            <w:pPr>
              <w:spacing w:after="20" w:before="20"/>
            </w:pPr>
            <w:r/>
            <w:r>
              <w:rPr>
                <w:b/>
                <w:sz w:val="18"/>
              </w:rPr>
              <w:t>Bank profile cards</w:t>
            </w:r>
          </w:p>
        </w:tc>
        <w:tc>
          <w:tcPr>
            <w:tcW w:type="dxa" w:w="1701"/>
          </w:tcPr>
          <w:p>
            <w:pPr>
              <w:spacing w:after="20" w:before="20"/>
            </w:pPr>
            <w:r/>
            <w:r>
              <w:rPr>
                <w:sz w:val="18"/>
              </w:rPr>
              <w:t>C</w:t>
            </w:r>
          </w:p>
        </w:tc>
        <w:tc>
          <w:tcPr>
            <w:tcW w:type="dxa" w:w="1701"/>
          </w:tcPr>
          <w:p>
            <w:pPr>
              <w:spacing w:after="20" w:before="20"/>
            </w:pPr>
            <w:r/>
            <w:r>
              <w:rPr>
                <w:sz w:val="18"/>
              </w:rPr>
              <w:t>C</w:t>
            </w:r>
          </w:p>
        </w:tc>
        <w:tc>
          <w:tcPr>
            <w:tcW w:type="dxa" w:w="1701"/>
          </w:tcPr>
          <w:p>
            <w:pPr>
              <w:spacing w:after="20" w:before="20"/>
            </w:pPr>
            <w:r/>
            <w:r>
              <w:rPr>
                <w:sz w:val="18"/>
              </w:rPr>
              <w:t>R / A</w:t>
            </w:r>
          </w:p>
        </w:tc>
      </w:tr>
      <w:tr>
        <w:tc>
          <w:tcPr>
            <w:tcW w:type="dxa" w:w="4309"/>
            <w:shd w:val="clear" w:color="auto" w:fill="FDF0E6"/>
          </w:tcPr>
          <w:p>
            <w:pPr>
              <w:spacing w:after="20" w:before="20"/>
            </w:pPr>
            <w:r/>
            <w:r>
              <w:rPr>
                <w:b/>
                <w:sz w:val="18"/>
              </w:rPr>
              <w:t>Generated campaign + scorecard (stretch)</w:t>
            </w:r>
          </w:p>
        </w:tc>
        <w:tc>
          <w:tcPr>
            <w:tcW w:type="dxa" w:w="1701"/>
            <w:shd w:val="clear" w:color="auto" w:fill="FDF0E6"/>
          </w:tcPr>
          <w:p>
            <w:pPr>
              <w:spacing w:after="20" w:before="20"/>
            </w:pPr>
            <w:r/>
            <w:r>
              <w:rPr>
                <w:sz w:val="18"/>
              </w:rPr>
              <w:t>C</w:t>
            </w:r>
          </w:p>
        </w:tc>
        <w:tc>
          <w:tcPr>
            <w:tcW w:type="dxa" w:w="1701"/>
            <w:shd w:val="clear" w:color="auto" w:fill="FDF0E6"/>
          </w:tcPr>
          <w:p>
            <w:pPr>
              <w:spacing w:after="20" w:before="20"/>
            </w:pPr>
            <w:r/>
            <w:r>
              <w:rPr>
                <w:sz w:val="18"/>
              </w:rPr>
              <w:t>C</w:t>
            </w:r>
          </w:p>
        </w:tc>
        <w:tc>
          <w:tcPr>
            <w:tcW w:type="dxa" w:w="1701"/>
            <w:shd w:val="clear" w:color="auto" w:fill="FDF0E6"/>
          </w:tcPr>
          <w:p>
            <w:pPr>
              <w:spacing w:after="20" w:before="20"/>
            </w:pPr>
            <w:r/>
            <w:r>
              <w:rPr>
                <w:sz w:val="18"/>
              </w:rPr>
              <w:t>R / A</w:t>
            </w:r>
          </w:p>
        </w:tc>
      </w:tr>
    </w:tbl>
    <w:p>
      <w:pPr>
        <w:spacing w:after="80"/>
      </w:pPr>
    </w:p>
    <w:p>
      <w:pPr>
        <w:pStyle w:val="Heading2"/>
      </w:pPr>
      <w:r>
        <w:rPr>
          <w:b w:val="0"/>
          <w:i w:val="0"/>
        </w:rPr>
        <w:t>3.2 Ways of working</w:t>
      </w:r>
    </w:p>
    <w:p>
      <w:pPr>
        <w:pStyle w:val="ListBullet"/>
      </w:pPr>
      <w:r>
        <w:rPr>
          <w:b/>
        </w:rPr>
        <w:t>One repository, one branch per workstream. —</w:t>
      </w:r>
      <w:r>
        <w:t xml:space="preserve"> Merged to main daily. No work sits uncommitted overnight.</w:t>
      </w:r>
    </w:p>
    <w:p>
      <w:pPr>
        <w:pStyle w:val="ListBullet"/>
      </w:pPr>
      <w:r>
        <w:rPr>
          <w:b/>
        </w:rPr>
        <w:t>Daily standup, 15 minutes, start of day. —</w:t>
      </w:r>
      <w:r>
        <w:t xml:space="preserve"> What moved, what is blocked, what changes in scope.</w:t>
      </w:r>
    </w:p>
    <w:p>
      <w:pPr>
        <w:pStyle w:val="ListBullet"/>
      </w:pPr>
      <w:r>
        <w:rPr>
          <w:b/>
        </w:rPr>
        <w:t>The schema is frozen on Day 2. —</w:t>
      </w:r>
      <w:r>
        <w:t xml:space="preserve"> After that, columns may be added but never renamed or removed without all three agreeing, because analysis code depends on them.</w:t>
      </w:r>
    </w:p>
    <w:p>
      <w:pPr>
        <w:pStyle w:val="ListBullet"/>
      </w:pPr>
      <w:r>
        <w:rPr>
          <w:b/>
        </w:rPr>
        <w:t>Sample data from Day 2. —</w:t>
      </w:r>
      <w:r>
        <w:t xml:space="preserve"> Dan publishes five hand-collected rows in the agreed format on Day 2 so Stephane can start analysis code before the full scrape exists.</w:t>
      </w:r>
    </w:p>
    <w:p>
      <w:pPr>
        <w:pStyle w:val="ListBullet"/>
      </w:pPr>
      <w:r>
        <w:rPr>
          <w:b/>
        </w:rPr>
        <w:t>Decisions are written down the day they are taken. —</w:t>
      </w:r>
      <w:r>
        <w:t xml:space="preserve"> A running decision log in the repository becomes most of D-01 and the limitations section for free.</w:t>
      </w:r>
    </w:p>
    <w:p>
      <w:r>
        <w:br w:type="page"/>
      </w:r>
    </w:p>
    <w:p>
      <w:pPr>
        <w:pStyle w:val="Heading1"/>
      </w:pPr>
      <w:r>
        <w:rPr>
          <w:b w:val="0"/>
          <w:i w:val="0"/>
        </w:rPr>
        <w:t>4. The five steps in detail</w:t>
      </w:r>
    </w:p>
    <w:p>
      <w:pPr>
        <w:pStyle w:val="Heading2"/>
      </w:pPr>
      <w:r>
        <w:rPr>
          <w:b w:val="0"/>
          <w:i w:val="0"/>
        </w:rPr>
        <w:t>4.1 Step 1 — Collect</w:t>
      </w:r>
    </w:p>
    <w:p>
      <w:pPr>
        <w:spacing w:after="120"/>
      </w:pPr>
      <w:r>
        <w:rPr>
          <w:b w:val="0"/>
          <w:i/>
          <w:color w:val="5A5A5A"/>
        </w:rPr>
        <w:t>Owner: Dan  |  Days 1–4  |  Delivers D-02</w:t>
      </w:r>
    </w:p>
    <w:p>
      <w:pPr>
        <w:pStyle w:val="ListBullet"/>
      </w:pPr>
      <w:r>
        <w:t>Read and archive robots.txt for each of the eight bank domains. Record what is allowed and disallowed for the user agent used. Any bank whose campaign pages are disallowed is dropped from scope and the drop is written into D-01 — not worked around (LC-01, LC-04).</w:t>
      </w:r>
    </w:p>
    <w:p>
      <w:pPr>
        <w:pStyle w:val="ListBullet"/>
      </w:pPr>
      <w:r>
        <w:t>Pull each sitemap and shortlist candidate campaign pages for the chosen product family (LC-02).</w:t>
      </w:r>
    </w:p>
    <w:p>
      <w:pPr>
        <w:pStyle w:val="ListBullet"/>
      </w:pPr>
      <w:r>
        <w:t>Fetch politely: rate-limited, honest user agent, each page fetched once and cached. Total request volume must stay negligible for the target site (LC-05).</w:t>
      </w:r>
    </w:p>
    <w:p>
      <w:pPr>
        <w:pStyle w:val="ListBullet"/>
      </w:pPr>
      <w:r>
        <w:t>Snapshot each page three ways — raw HTML, full-page screenshot, and the referenced image assets — with URL, timestamp and language attached (FR-03, DR-02, DR-06).</w:t>
      </w:r>
    </w:p>
    <w:p>
      <w:pPr>
        <w:pStyle w:val="ListBullet"/>
      </w:pPr>
      <w:r>
        <w:t>Render with a headless browser where pages are JavaScript-built, otherwise the layout and visual features will be wrong or empty.</w:t>
      </w:r>
    </w:p>
    <w:p>
      <w:pPr>
        <w:pStyle w:val="ListBullet"/>
      </w:pPr>
      <w:r>
        <w:t>Strip anything resembling personal data before storage (DR-09).</w:t>
      </w:r>
    </w:p>
    <w:tbl>
      <w:tblPr>
        <w:tblStyle w:val="TableGrid"/>
        <w:tblLook w:firstColumn="1" w:firstRow="1" w:lastColumn="0" w:lastRow="0" w:noHBand="0" w:noVBand="1" w:val="04A0"/>
        <w:tblLayout w:type="fixed"/>
        <w:tblW w:w="9412" w:type="dxa"/>
      </w:tblPr>
      <w:tblGrid>
        <w:gridCol w:w="9412"/>
      </w:tblGrid>
      <w:tr>
        <w:tc>
          <w:tcPr>
            <w:tcW w:type="dxa" w:w="9411"/>
            <w:shd w:val="clear" w:color="auto" w:fill="FFF3CD"/>
          </w:tcPr>
          <w:p>
            <w:pPr>
              <w:spacing w:before="60" w:after="60"/>
            </w:pPr>
            <w:r/>
            <w:r>
              <w:rPr>
                <w:b/>
                <w:sz w:val="20"/>
              </w:rPr>
              <w:t>Hard gate: no page is fetched before its robots.txt has been read and recorded. A compliance breach invalidates the delivery no matter how good the analysis is.</w:t>
            </w:r>
          </w:p>
        </w:tc>
      </w:tr>
    </w:tbl>
    <w:p>
      <w:pPr>
        <w:spacing w:after="80"/>
      </w:pPr>
    </w:p>
    <w:p>
      <w:pPr>
        <w:pStyle w:val="Heading2"/>
      </w:pPr>
      <w:r>
        <w:rPr>
          <w:b w:val="0"/>
          <w:i w:val="0"/>
        </w:rPr>
        <w:t>4.2 Step 2 — Featurise, and the bank profile</w:t>
      </w:r>
    </w:p>
    <w:p>
      <w:pPr>
        <w:spacing w:after="120"/>
      </w:pPr>
      <w:r>
        <w:rPr>
          <w:b w:val="0"/>
          <w:i/>
          <w:color w:val="5A5A5A"/>
        </w:rPr>
        <w:t>Owners: Dan (extraction), Stephane (dictionary &amp; profiles)  |  Days 2–6  |  Delivers D-03, D-04</w:t>
      </w:r>
    </w:p>
    <w:p>
      <w:r>
        <w:rPr>
          <w:b w:val="0"/>
          <w:i w:val="0"/>
        </w:rPr>
        <w:t>Every page becomes one row. Features are split by how they are produced, because that determines how much they can be trusted:</w:t>
      </w:r>
    </w:p>
    <w:tbl>
      <w:tblPr>
        <w:tblStyle w:val="TableGrid"/>
        <w:jc w:val="center"/>
        <w:tblLook w:firstColumn="1" w:firstRow="1" w:lastColumn="0" w:lastRow="0" w:noHBand="0" w:noVBand="1" w:val="04A0"/>
        <w:tblLayout w:type="fixed"/>
        <w:tblW w:w="9412" w:type="dxa"/>
      </w:tblPr>
      <w:tblGrid>
        <w:gridCol w:w="1247"/>
        <w:gridCol w:w="1587"/>
        <w:gridCol w:w="4649"/>
        <w:gridCol w:w="1927"/>
      </w:tblGrid>
      <w:tr>
        <w:tc>
          <w:tcPr>
            <w:tcW w:type="dxa" w:w="1247"/>
            <w:shd w:val="clear" w:color="auto" w:fill="FF6200"/>
          </w:tcPr>
          <w:p>
            <w:pPr>
              <w:spacing w:after="40" w:before="40"/>
            </w:pPr>
            <w:r/>
            <w:r>
              <w:rPr>
                <w:b/>
                <w:color w:val="FFFFFF"/>
                <w:sz w:val="19"/>
              </w:rPr>
              <w:t>Type</w:t>
            </w:r>
          </w:p>
        </w:tc>
        <w:tc>
          <w:tcPr>
            <w:tcW w:type="dxa" w:w="1587"/>
            <w:shd w:val="clear" w:color="auto" w:fill="FF6200"/>
          </w:tcPr>
          <w:p>
            <w:pPr>
              <w:spacing w:after="40" w:before="40"/>
            </w:pPr>
            <w:r/>
            <w:r>
              <w:rPr>
                <w:b/>
                <w:color w:val="FFFFFF"/>
                <w:sz w:val="19"/>
              </w:rPr>
              <w:t>Produced by</w:t>
            </w:r>
          </w:p>
        </w:tc>
        <w:tc>
          <w:tcPr>
            <w:tcW w:type="dxa" w:w="4649"/>
            <w:shd w:val="clear" w:color="auto" w:fill="FF6200"/>
          </w:tcPr>
          <w:p>
            <w:pPr>
              <w:spacing w:after="40" w:before="40"/>
            </w:pPr>
            <w:r/>
            <w:r>
              <w:rPr>
                <w:b/>
                <w:color w:val="FFFFFF"/>
                <w:sz w:val="19"/>
              </w:rPr>
              <w:t>Examples</w:t>
            </w:r>
          </w:p>
        </w:tc>
        <w:tc>
          <w:tcPr>
            <w:tcW w:type="dxa" w:w="1928"/>
            <w:shd w:val="clear" w:color="auto" w:fill="FF6200"/>
          </w:tcPr>
          <w:p>
            <w:pPr>
              <w:spacing w:after="40" w:before="40"/>
            </w:pPr>
            <w:r/>
            <w:r>
              <w:rPr>
                <w:b/>
                <w:color w:val="FFFFFF"/>
                <w:sz w:val="19"/>
              </w:rPr>
              <w:t>Trust</w:t>
            </w:r>
          </w:p>
        </w:tc>
      </w:tr>
      <w:tr>
        <w:tc>
          <w:tcPr>
            <w:tcW w:type="dxa" w:w="1247"/>
          </w:tcPr>
          <w:p>
            <w:pPr>
              <w:spacing w:after="20" w:before="20"/>
            </w:pPr>
            <w:r/>
            <w:r>
              <w:rPr>
                <w:b/>
                <w:sz w:val="18"/>
              </w:rPr>
              <w:t>Automatic</w:t>
            </w:r>
          </w:p>
        </w:tc>
        <w:tc>
          <w:tcPr>
            <w:tcW w:type="dxa" w:w="1587"/>
          </w:tcPr>
          <w:p>
            <w:pPr>
              <w:spacing w:after="20" w:before="20"/>
            </w:pPr>
            <w:r/>
            <w:r>
              <w:rPr>
                <w:sz w:val="18"/>
              </w:rPr>
              <w:t>Code, deterministic</w:t>
            </w:r>
          </w:p>
        </w:tc>
        <w:tc>
          <w:tcPr>
            <w:tcW w:type="dxa" w:w="4649"/>
          </w:tcPr>
          <w:p>
            <w:pPr>
              <w:spacing w:after="20" w:before="20"/>
            </w:pPr>
            <w:r/>
            <w:r>
              <w:rPr>
                <w:sz w:val="18"/>
              </w:rPr>
              <w:t>Word count, readability, number of images, extracted colour palette, brand-colour share, page height, CTA count, animated assets present</w:t>
            </w:r>
          </w:p>
        </w:tc>
        <w:tc>
          <w:tcPr>
            <w:tcW w:type="dxa" w:w="1928"/>
          </w:tcPr>
          <w:p>
            <w:pPr>
              <w:spacing w:after="20" w:before="20"/>
            </w:pPr>
            <w:r/>
            <w:r>
              <w:rPr>
                <w:sz w:val="18"/>
              </w:rPr>
              <w:t>High — reproducible exactly</w:t>
            </w:r>
          </w:p>
        </w:tc>
      </w:tr>
      <w:tr>
        <w:tc>
          <w:tcPr>
            <w:tcW w:type="dxa" w:w="1247"/>
            <w:shd w:val="clear" w:color="auto" w:fill="FDF0E6"/>
          </w:tcPr>
          <w:p>
            <w:pPr>
              <w:spacing w:after="20" w:before="20"/>
            </w:pPr>
            <w:r/>
            <w:r>
              <w:rPr>
                <w:b/>
                <w:sz w:val="18"/>
              </w:rPr>
              <w:t>Rubric-scored</w:t>
            </w:r>
          </w:p>
        </w:tc>
        <w:tc>
          <w:tcPr>
            <w:tcW w:type="dxa" w:w="1587"/>
            <w:shd w:val="clear" w:color="auto" w:fill="FDF0E6"/>
          </w:tcPr>
          <w:p>
            <w:pPr>
              <w:spacing w:after="20" w:before="20"/>
            </w:pPr>
            <w:r/>
            <w:r>
              <w:rPr>
                <w:sz w:val="18"/>
              </w:rPr>
              <w:t>A human against a written scale</w:t>
            </w:r>
          </w:p>
        </w:tc>
        <w:tc>
          <w:tcPr>
            <w:tcW w:type="dxa" w:w="4649"/>
            <w:shd w:val="clear" w:color="auto" w:fill="FDF0E6"/>
          </w:tcPr>
          <w:p>
            <w:pPr>
              <w:spacing w:after="20" w:before="20"/>
            </w:pPr>
            <w:r/>
            <w:r>
              <w:rPr>
                <w:sz w:val="18"/>
              </w:rPr>
              <w:t>Formality (1–5), benefit framing rational vs emotional, visual hierarchy clarity, persuasion levers used</w:t>
            </w:r>
          </w:p>
        </w:tc>
        <w:tc>
          <w:tcPr>
            <w:tcW w:type="dxa" w:w="1928"/>
            <w:shd w:val="clear" w:color="auto" w:fill="FDF0E6"/>
          </w:tcPr>
          <w:p>
            <w:pPr>
              <w:spacing w:after="20" w:before="20"/>
            </w:pPr>
            <w:r/>
            <w:r>
              <w:rPr>
                <w:sz w:val="18"/>
              </w:rPr>
              <w:t>Medium — report inter-rater disagreement</w:t>
            </w:r>
          </w:p>
        </w:tc>
      </w:tr>
      <w:tr>
        <w:tc>
          <w:tcPr>
            <w:tcW w:type="dxa" w:w="1247"/>
          </w:tcPr>
          <w:p>
            <w:pPr>
              <w:spacing w:after="20" w:before="20"/>
            </w:pPr>
            <w:r/>
            <w:r>
              <w:rPr>
                <w:b/>
                <w:sz w:val="18"/>
              </w:rPr>
              <w:t>Model-assisted</w:t>
            </w:r>
          </w:p>
        </w:tc>
        <w:tc>
          <w:tcPr>
            <w:tcW w:type="dxa" w:w="1587"/>
          </w:tcPr>
          <w:p>
            <w:pPr>
              <w:spacing w:after="20" w:before="20"/>
            </w:pPr>
            <w:r/>
            <w:r>
              <w:rPr>
                <w:sz w:val="18"/>
              </w:rPr>
              <w:t>LLM or vision model, prompt recorded</w:t>
            </w:r>
          </w:p>
        </w:tc>
        <w:tc>
          <w:tcPr>
            <w:tcW w:type="dxa" w:w="4649"/>
          </w:tcPr>
          <w:p>
            <w:pPr>
              <w:spacing w:after="20" w:before="20"/>
            </w:pPr>
            <w:r/>
            <w:r>
              <w:rPr>
                <w:sz w:val="18"/>
              </w:rPr>
              <w:t>Imagery subject, tone classification, value-proposition summary</w:t>
            </w:r>
          </w:p>
        </w:tc>
        <w:tc>
          <w:tcPr>
            <w:tcW w:type="dxa" w:w="1928"/>
          </w:tcPr>
          <w:p>
            <w:pPr>
              <w:spacing w:after="20" w:before="20"/>
            </w:pPr>
            <w:r/>
            <w:r>
              <w:rPr>
                <w:sz w:val="18"/>
              </w:rPr>
              <w:t>Medium — validate against human labels on a sample, report agreement</w:t>
            </w:r>
          </w:p>
        </w:tc>
      </w:tr>
    </w:tbl>
    <w:p>
      <w:pPr>
        <w:spacing w:after="80"/>
      </w:pPr>
    </w:p>
    <w:p>
      <w:r>
        <w:rPr>
          <w:b w:val="0"/>
          <w:i w:val="0"/>
        </w:rPr>
        <w:t>The bank profile is the presentable form of the dataset: one standard card per bank, generated from the rows rather than written by hand, so it stays reproducible and comparable. The template is in Appendix A. This is what makes the comparison legible to the business audience — eight cards with identical fields, side by side.</w:t>
      </w:r>
    </w:p>
    <w:p>
      <w:pPr>
        <w:pStyle w:val="Heading2"/>
      </w:pPr>
      <w:r>
        <w:rPr>
          <w:b w:val="0"/>
          <w:i w:val="0"/>
        </w:rPr>
        <w:t>4.3 Step 3 — Ground the scoring in marketing principles</w:t>
      </w:r>
    </w:p>
    <w:p>
      <w:pPr>
        <w:spacing w:after="120"/>
      </w:pPr>
      <w:r>
        <w:rPr>
          <w:b w:val="0"/>
          <w:i/>
          <w:color w:val="5A5A5A"/>
        </w:rPr>
        <w:t>Owner: Siegried  |  Days 1–5  |  Delivers the scoring rubric</w:t>
      </w:r>
    </w:p>
    <w:p>
      <w:r>
        <w:rPr>
          <w:b w:val="0"/>
          <w:i w:val="0"/>
        </w:rPr>
        <w:t>The weakness of any design comparison is that "this page feels more persuasive" is one person's taste. The fix is to score against frameworks that already exist and are recognised, so that a reviewer can disagree with the score but not with the yardstick. Siegried sources the material and converts it into a rubric with defined levels — a definition and an observable indicator for every point on every scale.</w:t>
      </w:r>
    </w:p>
    <w:tbl>
      <w:tblPr>
        <w:tblStyle w:val="TableGrid"/>
        <w:jc w:val="center"/>
        <w:tblLook w:firstColumn="1" w:firstRow="1" w:lastColumn="0" w:lastRow="0" w:noHBand="0" w:noVBand="1" w:val="04A0"/>
        <w:tblLayout w:type="fixed"/>
        <w:tblW w:w="9412" w:type="dxa"/>
      </w:tblPr>
      <w:tblGrid>
        <w:gridCol w:w="2835"/>
        <w:gridCol w:w="6577"/>
      </w:tblGrid>
      <w:tr>
        <w:tc>
          <w:tcPr>
            <w:tcW w:type="dxa" w:w="2835"/>
            <w:shd w:val="clear" w:color="auto" w:fill="FF6200"/>
          </w:tcPr>
          <w:p>
            <w:pPr>
              <w:spacing w:after="40" w:before="40"/>
            </w:pPr>
            <w:r/>
            <w:r>
              <w:rPr>
                <w:b/>
                <w:color w:val="FFFFFF"/>
                <w:sz w:val="19"/>
              </w:rPr>
              <w:t>Framework</w:t>
            </w:r>
          </w:p>
        </w:tc>
        <w:tc>
          <w:tcPr>
            <w:tcW w:type="dxa" w:w="6576"/>
            <w:shd w:val="clear" w:color="auto" w:fill="FF6200"/>
          </w:tcPr>
          <w:p>
            <w:pPr>
              <w:spacing w:after="40" w:before="40"/>
            </w:pPr>
            <w:r/>
            <w:r>
              <w:rPr>
                <w:b/>
                <w:color w:val="FFFFFF"/>
                <w:sz w:val="19"/>
              </w:rPr>
              <w:t>What it contributes to the rubric</w:t>
            </w:r>
          </w:p>
        </w:tc>
      </w:tr>
      <w:tr>
        <w:tc>
          <w:tcPr>
            <w:tcW w:type="dxa" w:w="2835"/>
          </w:tcPr>
          <w:p>
            <w:pPr>
              <w:spacing w:after="20" w:before="20"/>
            </w:pPr>
            <w:r/>
            <w:r>
              <w:rPr>
                <w:sz w:val="18"/>
              </w:rPr>
              <w:t>AIDA (Attention, Interest, Desire, Action)</w:t>
            </w:r>
          </w:p>
        </w:tc>
        <w:tc>
          <w:tcPr>
            <w:tcW w:type="dxa" w:w="6576"/>
          </w:tcPr>
          <w:p>
            <w:pPr>
              <w:spacing w:after="20" w:before="20"/>
            </w:pPr>
            <w:r/>
            <w:r>
              <w:rPr>
                <w:sz w:val="18"/>
              </w:rPr>
              <w:t>A structural checklist for a campaign page: does it do all four, in what order, and how much space does each get?</w:t>
            </w:r>
          </w:p>
        </w:tc>
      </w:tr>
      <w:tr>
        <w:tc>
          <w:tcPr>
            <w:tcW w:type="dxa" w:w="2835"/>
            <w:shd w:val="clear" w:color="auto" w:fill="FDF0E6"/>
          </w:tcPr>
          <w:p>
            <w:pPr>
              <w:spacing w:after="20" w:before="20"/>
            </w:pPr>
            <w:r/>
            <w:r>
              <w:rPr>
                <w:sz w:val="18"/>
              </w:rPr>
              <w:t>Cialdini's principles of persuasion</w:t>
            </w:r>
          </w:p>
        </w:tc>
        <w:tc>
          <w:tcPr>
            <w:tcW w:type="dxa" w:w="6576"/>
            <w:shd w:val="clear" w:color="auto" w:fill="FDF0E6"/>
          </w:tcPr>
          <w:p>
            <w:pPr>
              <w:spacing w:after="20" w:before="20"/>
            </w:pPr>
            <w:r/>
            <w:r>
              <w:rPr>
                <w:sz w:val="18"/>
              </w:rPr>
              <w:t>A closed list of persuasion levers to detect: social proof, scarcity, authority, reciprocity, commitment, liking. Turns "persuasive" into countable levers.</w:t>
            </w:r>
          </w:p>
        </w:tc>
      </w:tr>
      <w:tr>
        <w:tc>
          <w:tcPr>
            <w:tcW w:type="dxa" w:w="2835"/>
          </w:tcPr>
          <w:p>
            <w:pPr>
              <w:spacing w:after="20" w:before="20"/>
            </w:pPr>
            <w:r/>
            <w:r>
              <w:rPr>
                <w:sz w:val="18"/>
              </w:rPr>
              <w:t>Feature–advantage–benefit framing</w:t>
            </w:r>
          </w:p>
        </w:tc>
        <w:tc>
          <w:tcPr>
            <w:tcW w:type="dxa" w:w="6576"/>
          </w:tcPr>
          <w:p>
            <w:pPr>
              <w:spacing w:after="20" w:before="20"/>
            </w:pPr>
            <w:r/>
            <w:r>
              <w:rPr>
                <w:sz w:val="18"/>
              </w:rPr>
              <w:t>Distinguishes "3.2% gross annual rate" from "your money works while you sleep" — a measurable difference between traditional banks and challengers.</w:t>
            </w:r>
          </w:p>
        </w:tc>
      </w:tr>
      <w:tr>
        <w:tc>
          <w:tcPr>
            <w:tcW w:type="dxa" w:w="2835"/>
            <w:shd w:val="clear" w:color="auto" w:fill="FDF0E6"/>
          </w:tcPr>
          <w:p>
            <w:pPr>
              <w:spacing w:after="20" w:before="20"/>
            </w:pPr>
            <w:r/>
            <w:r>
              <w:rPr>
                <w:sz w:val="18"/>
              </w:rPr>
              <w:t>Value proposition framing</w:t>
            </w:r>
          </w:p>
        </w:tc>
        <w:tc>
          <w:tcPr>
            <w:tcW w:type="dxa" w:w="6576"/>
            <w:shd w:val="clear" w:color="auto" w:fill="FDF0E6"/>
          </w:tcPr>
          <w:p>
            <w:pPr>
              <w:spacing w:after="20" w:before="20"/>
            </w:pPr>
            <w:r/>
            <w:r>
              <w:rPr>
                <w:sz w:val="18"/>
              </w:rPr>
              <w:t>What is offered, to whom, against which alternative. Feeds the topics dimension of the PRD.</w:t>
            </w:r>
          </w:p>
        </w:tc>
      </w:tr>
      <w:tr>
        <w:tc>
          <w:tcPr>
            <w:tcW w:type="dxa" w:w="2835"/>
          </w:tcPr>
          <w:p>
            <w:pPr>
              <w:spacing w:after="20" w:before="20"/>
            </w:pPr>
            <w:r/>
            <w:r>
              <w:rPr>
                <w:sz w:val="18"/>
              </w:rPr>
              <w:t>Visual hierarchy &amp; F-pattern reading</w:t>
            </w:r>
          </w:p>
        </w:tc>
        <w:tc>
          <w:tcPr>
            <w:tcW w:type="dxa" w:w="6576"/>
          </w:tcPr>
          <w:p>
            <w:pPr>
              <w:spacing w:after="20" w:before="20"/>
            </w:pPr>
            <w:r/>
            <w:r>
              <w:rPr>
                <w:sz w:val="18"/>
              </w:rPr>
              <w:t>Grounds the layout and attention features: what is above the fold, what the eye reaches first, CTA prominence and contrast.</w:t>
            </w:r>
          </w:p>
        </w:tc>
      </w:tr>
      <w:tr>
        <w:tc>
          <w:tcPr>
            <w:tcW w:type="dxa" w:w="2835"/>
            <w:shd w:val="clear" w:color="auto" w:fill="FDF0E6"/>
          </w:tcPr>
          <w:p>
            <w:pPr>
              <w:spacing w:after="20" w:before="20"/>
            </w:pPr>
            <w:r/>
            <w:r>
              <w:rPr>
                <w:sz w:val="18"/>
              </w:rPr>
              <w:t>Readability and plain-language standards</w:t>
            </w:r>
          </w:p>
        </w:tc>
        <w:tc>
          <w:tcPr>
            <w:tcW w:type="dxa" w:w="6576"/>
            <w:shd w:val="clear" w:color="auto" w:fill="FDF0E6"/>
          </w:tcPr>
          <w:p>
            <w:pPr>
              <w:spacing w:after="20" w:before="20"/>
            </w:pPr>
            <w:r/>
            <w:r>
              <w:rPr>
                <w:sz w:val="18"/>
              </w:rPr>
              <w:t>Objective backing for the tone dimension, and a known issue in Belgian banking communication.</w:t>
            </w:r>
          </w:p>
        </w:tc>
      </w:tr>
    </w:tbl>
    <w:p>
      <w:pPr>
        <w:spacing w:after="80"/>
      </w:pPr>
    </w:p>
    <w:p>
      <w:pPr>
        <w:pStyle w:val="ListBullet"/>
      </w:pPr>
      <w:r>
        <w:rPr>
          <w:b/>
        </w:rPr>
        <w:t>On sourcing the material: —</w:t>
      </w:r>
      <w:r>
        <w:t xml:space="preserve"> use openly licensed or properly licensed sources — open courseware, published framework descriptions, books the team owns, free tiers of marketing training platforms. Course content is not redistributed inside the deliverables; it is cited. The same compliance posture applies here as to the scraping.</w:t>
      </w:r>
    </w:p>
    <w:p>
      <w:pPr>
        <w:pStyle w:val="ListBullet"/>
      </w:pPr>
      <w:r>
        <w:rPr>
          <w:b/>
        </w:rPr>
        <w:t>Timeboxed to two days of part-time effort. —</w:t>
      </w:r>
      <w:r>
        <w:t xml:space="preserve"> The rubric only has to be good enough to score consistently. A perfect marketing theory is not a deliverable.</w:t>
      </w:r>
    </w:p>
    <w:p>
      <w:pPr>
        <w:pStyle w:val="Heading2"/>
      </w:pPr>
      <w:r>
        <w:rPr>
          <w:b w:val="0"/>
          <w:i w:val="0"/>
        </w:rPr>
        <w:t>4.3 bis Banking-domain angles contributed by Siegried (added 14/09)</w:t>
      </w:r>
    </w:p>
    <w:p>
      <w:r>
        <w:t xml:space="preserve">Additions to the marketing-framework input for step 3, on top of AIDA / Cialdini / FAB / value-proposition framing / visual hierarchy / readability above. Full definitions and feasibility notes are in the PRD, section 11 bis. Nothing above is removed — the team picks the v1 subset at standup.</w:t>
      </w:r>
    </w:p>
    <w:p>
      <w:pPr>
        <w:pStyle w:val="ListBullet"/>
      </w:pPr>
      <w:r>
        <w:rPr>
          <w:b/>
        </w:rPr>
        <w:t xml:space="preserve">Retail vs professional targeting, bancassurance bundle vs single product, rate architecture (base vs promo bonus), self-service vs advisor/branch CTA, switching-friction framing, prominence of regulatory disclosures, “free” framing with hidden conditions, Belgian fiscal calendar — </w:t>
      </w:r>
      <w:r>
        <w:t xml:space="preserve">candidate rubric dimensions grounded in retail-banking practice rather than generic marketing theory — see PRD 11 bis for the full definitions.</w:t>
      </w:r>
    </w:p>
    <w:p>
      <w:pPr>
        <w:pStyle w:val="ListBullet"/>
      </w:pPr>
      <w:r>
        <w:rPr>
          <w:b/>
        </w:rPr>
        <w:t xml:space="preserve">ESG claim specificity — </w:t>
      </w:r>
      <w:r>
        <w:t xml:space="preserve">recalibrated to “claim backed by a reference/figure vs adjective only”.</w:t>
      </w:r>
      <w:r>
        <w:rPr>
          <w:i/>
          <w:color w:val="5A5A5A"/>
        </w:rPr>
        <w:t xml:space="preserve"> (an explicit SFDR Article 6/8/9 read from the marketing page itself was considered and dropped as unrealistic — that classification lives in regulatory docs, not campaign pages)</w:t>
      </w:r>
    </w:p>
    <w:p>
      <w:pPr>
        <w:pStyle w:val="ListBullet"/>
      </w:pPr>
      <w:r>
        <w:rPr>
          <w:b/>
        </w:rPr>
        <w:t xml:space="preserve">Loyalty/referral mention — </w:t>
      </w:r>
      <w:r>
        <w:t xml:space="preserve">kept as the public-page proxy for retention/CRM strategy.</w:t>
      </w:r>
      <w:r>
        <w:rPr>
          <w:i/>
          <w:color w:val="5A5A5A"/>
        </w:rPr>
        <w:t xml:space="preserve"> (true CRM data is out of reach entirely (behind authentication, excluded by DR-01/DR-09), not a scoping choice)</w:t>
      </w:r>
    </w:p>
    <w:p>
      <w:pPr>
        <w:pStyle w:val="ListBullet"/>
      </w:pPr>
      <w:r>
        <w:rPr>
          <w:b/>
        </w:rPr>
        <w:t xml:space="preserve">Social media sentiment — </w:t>
      </w:r>
      <w:r>
        <w:t xml:space="preserve">documented as a D-09 next step, not added to the v1 scope.</w:t>
      </w:r>
      <w:r>
        <w:rPr>
          <w:i/>
          <w:color w:val="5A5A5A"/>
        </w:rPr>
        <w:t xml:space="preserve"> (this would reopen the scope-creep risk (R-07) the plan is explicitly built to avoid — flagged here rather than folded in silently)</w:t>
      </w:r>
    </w:p>
    <w:p>
      <w:pPr>
        <w:pStyle w:val="ListBullet"/>
      </w:pPr>
      <w:r>
        <w:rPr>
          <w:b/>
        </w:rPr>
        <w:t xml:space="preserve">Second pass, same day — </w:t>
      </w:r>
      <w:r>
        <w:t xml:space="preserve">institutional-backing trust signal (state ownership, tenure), capped/tiered rate presented as headline, youth/student lifetime-value acquisition, secondary-bank vs full-replacement positioning, expat/cross-border targeting, concrete green product vs generic ESG claim, branch/ATM network cited as a selling point — full definitions in PRD 11 bis.</w:t>
      </w:r>
    </w:p>
    <w:p>
      <w:r>
        <w:rPr>
          <w:b w:val="0"/>
          <w:i/>
        </w:rPr>
        <w:t xml:space="preserve">Diminishing-returns note: likely the practical ceiling for this angle — each further dimension competes with the thin-slice principle and risk R-07 for the same limited time. The team's differentiator is expected to come from executing a smaller set of these with rigour and from the maturity of the business presentation, not from a ninth or tenth dimension.</w:t>
      </w:r>
    </w:p>
    <w:p>
      <w:pPr>
        <w:pStyle w:val="Heading2"/>
      </w:pPr>
      <w:r>
        <w:rPr>
          <w:b w:val="0"/>
          <w:i w:val="0"/>
        </w:rPr>
        <w:t>4.4 Step 4 — Compare and position</w:t>
      </w:r>
    </w:p>
    <w:p>
      <w:pPr>
        <w:spacing w:after="120"/>
      </w:pPr>
      <w:r>
        <w:rPr>
          <w:b w:val="0"/>
          <w:i/>
          <w:color w:val="5A5A5A"/>
        </w:rPr>
        <w:t>Owner: Stephane  |  Days 5–8  |  Delivers D-05</w:t>
      </w:r>
    </w:p>
    <w:p>
      <w:pPr>
        <w:pStyle w:val="ListBullet"/>
      </w:pPr>
      <w:r>
        <w:t>ING versus each competitor, feature by feature: where ING is typical of its group and where it is an outlier (FR-09).</w:t>
      </w:r>
    </w:p>
    <w:p>
      <w:pPr>
        <w:pStyle w:val="ListBullet"/>
      </w:pPr>
      <w:r>
        <w:t>Traditional versus challenger: does the split the stakeholders assume actually appear in the data, and on which dimensions? This answers BO-02 directly.</w:t>
      </w:r>
    </w:p>
    <w:p>
      <w:pPr>
        <w:pStyle w:val="ListBullet"/>
      </w:pPr>
      <w:r>
        <w:t>Similarity grouping: cluster or distance the banks on the feature set and show which banks communicate alike — including whether ING lands with the traditional cluster or between the two (BO-03).</w:t>
      </w:r>
    </w:p>
    <w:p>
      <w:pPr>
        <w:pStyle w:val="ListBullet"/>
      </w:pPr>
      <w:r>
        <w:t>Verify the five deck observations in PRD section 2.4 one by one, with evidence, and say plainly where the eyeball impression does not hold (FR-14).</w:t>
      </w:r>
    </w:p>
    <w:p>
      <w:pPr>
        <w:pStyle w:val="ListBullet"/>
      </w:pPr>
      <w:r>
        <w:t>Small sample means descriptive, not inferential. Sample sizes on every chart; no significance claims.</w:t>
      </w:r>
    </w:p>
    <w:p>
      <w:pPr>
        <w:pStyle w:val="Heading2"/>
      </w:pPr>
      <w:r>
        <w:rPr>
          <w:b w:val="0"/>
          <w:i w:val="0"/>
        </w:rPr>
        <w:t>4.5 Step 5 — LLM campaign generation (stretch)</w:t>
      </w:r>
    </w:p>
    <w:p>
      <w:pPr>
        <w:spacing w:after="120"/>
      </w:pPr>
      <w:r>
        <w:rPr>
          <w:b w:val="0"/>
          <w:i/>
          <w:color w:val="5A5A5A"/>
        </w:rPr>
        <w:t>Owner: Stephane  |  Days 7–8, only if the Day 6 gate passes  |  Delivers the generated campaign + scorecard</w:t>
      </w:r>
    </w:p>
    <w:p>
      <w:r>
        <w:rPr>
          <w:b w:val="0"/>
          <w:i w:val="0"/>
        </w:rPr>
        <w:t>Attempted only after the comparator chain is complete. The point is not to produce pretty copy — it is to demonstrate that the feature framework is specific enough to drive and then measure a generation.</w:t>
      </w:r>
    </w:p>
    <w:tbl>
      <w:tblPr>
        <w:tblStyle w:val="TableGrid"/>
        <w:jc w:val="center"/>
        <w:tblLook w:firstColumn="1" w:firstRow="1" w:lastColumn="0" w:lastRow="0" w:noHBand="0" w:noVBand="1" w:val="04A0"/>
        <w:tblLayout w:type="fixed"/>
        <w:tblW w:w="9412" w:type="dxa"/>
      </w:tblPr>
      <w:tblGrid>
        <w:gridCol w:w="1701"/>
        <w:gridCol w:w="7711"/>
      </w:tblGrid>
      <w:tr>
        <w:tc>
          <w:tcPr>
            <w:tcW w:type="dxa" w:w="1701"/>
            <w:shd w:val="clear" w:color="auto" w:fill="FF6200"/>
          </w:tcPr>
          <w:p>
            <w:pPr>
              <w:spacing w:after="40" w:before="40"/>
            </w:pPr>
            <w:r/>
            <w:r>
              <w:rPr>
                <w:b/>
                <w:color w:val="FFFFFF"/>
                <w:sz w:val="19"/>
              </w:rPr>
              <w:t>Element</w:t>
            </w:r>
          </w:p>
        </w:tc>
        <w:tc>
          <w:tcPr>
            <w:tcW w:type="dxa" w:w="7710"/>
            <w:shd w:val="clear" w:color="auto" w:fill="FF6200"/>
          </w:tcPr>
          <w:p>
            <w:pPr>
              <w:spacing w:after="40" w:before="40"/>
            </w:pPr>
            <w:r/>
            <w:r>
              <w:rPr>
                <w:b/>
                <w:color w:val="FFFFFF"/>
                <w:sz w:val="19"/>
              </w:rPr>
              <w:t>Definition</w:t>
            </w:r>
          </w:p>
        </w:tc>
      </w:tr>
      <w:tr>
        <w:tc>
          <w:tcPr>
            <w:tcW w:type="dxa" w:w="1701"/>
          </w:tcPr>
          <w:p>
            <w:pPr>
              <w:spacing w:after="20" w:before="20"/>
            </w:pPr>
            <w:r/>
            <w:r>
              <w:rPr>
                <w:sz w:val="18"/>
              </w:rPr>
              <w:t>Input</w:t>
            </w:r>
          </w:p>
        </w:tc>
        <w:tc>
          <w:tcPr>
            <w:tcW w:type="dxa" w:w="7710"/>
          </w:tcPr>
          <w:p>
            <w:pPr>
              <w:spacing w:after="20" w:before="20"/>
            </w:pPr>
            <w:r/>
            <w:r>
              <w:rPr>
                <w:sz w:val="18"/>
              </w:rPr>
              <w:t>Target product (the chosen family), target bank (ING), the ING profile card, the competitor profile cards, and the scoring rubric.</w:t>
            </w:r>
          </w:p>
        </w:tc>
      </w:tr>
      <w:tr>
        <w:tc>
          <w:tcPr>
            <w:tcW w:type="dxa" w:w="1701"/>
            <w:shd w:val="clear" w:color="auto" w:fill="FDF0E6"/>
          </w:tcPr>
          <w:p>
            <w:pPr>
              <w:spacing w:after="20" w:before="20"/>
            </w:pPr>
            <w:r/>
            <w:r>
              <w:rPr>
                <w:sz w:val="18"/>
              </w:rPr>
              <w:t>The criteria</w:t>
            </w:r>
          </w:p>
        </w:tc>
        <w:tc>
          <w:tcPr>
            <w:tcW w:type="dxa" w:w="7710"/>
            <w:shd w:val="clear" w:color="auto" w:fill="FDF0E6"/>
          </w:tcPr>
          <w:p>
            <w:pPr>
              <w:spacing w:after="20" w:before="20"/>
            </w:pPr>
            <w:r/>
            <w:r>
              <w:rPr>
                <w:sz w:val="18"/>
              </w:rPr>
              <w:t>An explicit target expressed in the project's own features — e.g. "ING tone of voice, but challenger-style visual density: word count in the bottom quartile, one hero image, two persuasion levers, CTA above the fold."</w:t>
            </w:r>
          </w:p>
        </w:tc>
      </w:tr>
      <w:tr>
        <w:tc>
          <w:tcPr>
            <w:tcW w:type="dxa" w:w="1701"/>
          </w:tcPr>
          <w:p>
            <w:pPr>
              <w:spacing w:after="20" w:before="20"/>
            </w:pPr>
            <w:r/>
            <w:r>
              <w:rPr>
                <w:sz w:val="18"/>
              </w:rPr>
              <w:t>Two variants</w:t>
            </w:r>
          </w:p>
        </w:tc>
        <w:tc>
          <w:tcPr>
            <w:tcW w:type="dxa" w:w="7710"/>
          </w:tcPr>
          <w:p>
            <w:pPr>
              <w:spacing w:after="20" w:before="20"/>
            </w:pPr>
            <w:r/>
            <w:r>
              <w:rPr>
                <w:sz w:val="18"/>
              </w:rPr>
              <w:t>A) On-brand: an ING campaign optimised against the rubric.  B) Challenger-style: the same offer built with the patterns observed at Revolut, N26 and bunq. The contrast is the insight.</w:t>
            </w:r>
          </w:p>
        </w:tc>
      </w:tr>
      <w:tr>
        <w:tc>
          <w:tcPr>
            <w:tcW w:type="dxa" w:w="1701"/>
            <w:shd w:val="clear" w:color="auto" w:fill="FDF0E6"/>
          </w:tcPr>
          <w:p>
            <w:pPr>
              <w:spacing w:after="20" w:before="20"/>
            </w:pPr>
            <w:r/>
            <w:r>
              <w:rPr>
                <w:sz w:val="18"/>
              </w:rPr>
              <w:t>Output</w:t>
            </w:r>
          </w:p>
        </w:tc>
        <w:tc>
          <w:tcPr>
            <w:tcW w:type="dxa" w:w="7710"/>
            <w:shd w:val="clear" w:color="auto" w:fill="FDF0E6"/>
          </w:tcPr>
          <w:p>
            <w:pPr>
              <w:spacing w:after="20" w:before="20"/>
            </w:pPr>
            <w:r/>
            <w:r>
              <w:rPr>
                <w:sz w:val="18"/>
              </w:rPr>
              <w:t>Headline, subheading, body copy, call to action, colour and layout specification, and an image brief — not a finished creative.</w:t>
            </w:r>
          </w:p>
        </w:tc>
      </w:tr>
      <w:tr>
        <w:tc>
          <w:tcPr>
            <w:tcW w:type="dxa" w:w="1701"/>
          </w:tcPr>
          <w:p>
            <w:pPr>
              <w:spacing w:after="20" w:before="20"/>
            </w:pPr>
            <w:r/>
            <w:r>
              <w:rPr>
                <w:sz w:val="18"/>
              </w:rPr>
              <w:t>Evaluation</w:t>
            </w:r>
          </w:p>
        </w:tc>
        <w:tc>
          <w:tcPr>
            <w:tcW w:type="dxa" w:w="7710"/>
          </w:tcPr>
          <w:p>
            <w:pPr>
              <w:spacing w:after="20" w:before="20"/>
            </w:pPr>
            <w:r/>
            <w:r>
              <w:rPr>
                <w:sz w:val="18"/>
              </w:rPr>
              <w:t>Score both variants with the same extractor used on the real pages, and plot them against the eight banks. Show whether the generation landed where it was asked to.</w:t>
            </w:r>
          </w:p>
        </w:tc>
      </w:tr>
      <w:tr>
        <w:tc>
          <w:tcPr>
            <w:tcW w:type="dxa" w:w="1701"/>
            <w:shd w:val="clear" w:color="auto" w:fill="FDF0E6"/>
          </w:tcPr>
          <w:p>
            <w:pPr>
              <w:spacing w:after="20" w:before="20"/>
            </w:pPr>
            <w:r/>
            <w:r>
              <w:rPr>
                <w:sz w:val="18"/>
              </w:rPr>
              <w:t>Guardrails</w:t>
            </w:r>
          </w:p>
        </w:tc>
        <w:tc>
          <w:tcPr>
            <w:tcW w:type="dxa" w:w="7710"/>
            <w:shd w:val="clear" w:color="auto" w:fill="FDF0E6"/>
          </w:tcPr>
          <w:p>
            <w:pPr>
              <w:spacing w:after="20" w:before="20"/>
            </w:pPr>
            <w:r/>
            <w:r>
              <w:rPr>
                <w:sz w:val="18"/>
              </w:rPr>
              <w:t>Clearly labelled synthetic. No invented rates, prices or product terms — placeholders only. No competitor brand assets reused. Legal and risk disclaimers flagged as required but not drafted. Human review before anything is shown.</w:t>
            </w:r>
          </w:p>
        </w:tc>
      </w:tr>
    </w:tbl>
    <w:p>
      <w:pPr>
        <w:spacing w:after="80"/>
      </w:pPr>
    </w:p>
    <w:tbl>
      <w:tblPr>
        <w:tblStyle w:val="TableGrid"/>
        <w:tblLook w:firstColumn="1" w:firstRow="1" w:lastColumn="0" w:lastRow="0" w:noHBand="0" w:noVBand="1" w:val="04A0"/>
        <w:tblLayout w:type="fixed"/>
        <w:tblW w:w="9412" w:type="dxa"/>
      </w:tblPr>
      <w:tblGrid>
        <w:gridCol w:w="9412"/>
      </w:tblGrid>
      <w:tr>
        <w:tc>
          <w:tcPr>
            <w:tcW w:type="dxa" w:w="9411"/>
            <w:shd w:val="clear" w:color="auto" w:fill="FFF3CD"/>
          </w:tcPr>
          <w:p>
            <w:pPr>
              <w:spacing w:before="60" w:after="60"/>
            </w:pPr>
            <w:r/>
            <w:r>
              <w:rPr>
                <w:b/>
                <w:sz w:val="20"/>
              </w:rPr>
              <w:t>If the Day 6 gate fails, this step is dropped in full and the criteria plus the prompt design are presented as "next step", not demonstrated. That is a planned outcome, not a failure.</w:t>
            </w:r>
          </w:p>
        </w:tc>
      </w:tr>
    </w:tbl>
    <w:p>
      <w:pPr>
        <w:spacing w:after="80"/>
      </w:pPr>
    </w:p>
    <w:p>
      <w:r>
        <w:br w:type="page"/>
      </w:r>
    </w:p>
    <w:p>
      <w:pPr>
        <w:pStyle w:val="Heading1"/>
      </w:pPr>
      <w:r>
        <w:rPr>
          <w:b w:val="0"/>
          <w:i w:val="0"/>
        </w:rPr>
        <w:t>5. Schedule — 10 working days</w:t>
      </w:r>
    </w:p>
    <w:p>
      <w:r>
        <w:rPr>
          <w:b w:val="0"/>
          <w:i/>
          <w:color w:val="5A5A5A"/>
          <w:sz w:val="19"/>
        </w:rPr>
        <w:t>Mon 14 – Fri 25 September 2026. Highlighted rows are checkpoints.</w:t>
      </w:r>
    </w:p>
    <w:tbl>
      <w:tblPr>
        <w:tblStyle w:val="TableGrid"/>
        <w:jc w:val="center"/>
        <w:tblLook w:firstColumn="1" w:firstRow="1" w:lastColumn="0" w:lastRow="0" w:noHBand="0" w:noVBand="1" w:val="04A0"/>
        <w:tblLayout w:type="fixed"/>
        <w:tblW w:w="9412" w:type="dxa"/>
      </w:tblPr>
      <w:tblGrid>
        <w:gridCol w:w="453"/>
        <w:gridCol w:w="1077"/>
        <w:gridCol w:w="1984"/>
        <w:gridCol w:w="1871"/>
        <w:gridCol w:w="2097"/>
        <w:gridCol w:w="1927"/>
      </w:tblGrid>
      <w:tr>
        <w:tc>
          <w:tcPr>
            <w:tcW w:type="dxa" w:w="454"/>
            <w:shd w:val="clear" w:color="auto" w:fill="FF6200"/>
          </w:tcPr>
          <w:p>
            <w:pPr>
              <w:spacing w:after="40" w:before="40"/>
            </w:pPr>
            <w:r/>
            <w:r>
              <w:rPr>
                <w:b/>
                <w:color w:val="FFFFFF"/>
                <w:sz w:val="19"/>
              </w:rPr>
              <w:t>#</w:t>
            </w:r>
          </w:p>
        </w:tc>
        <w:tc>
          <w:tcPr>
            <w:tcW w:type="dxa" w:w="1077"/>
            <w:shd w:val="clear" w:color="auto" w:fill="FF6200"/>
          </w:tcPr>
          <w:p>
            <w:pPr>
              <w:spacing w:after="40" w:before="40"/>
            </w:pPr>
            <w:r/>
            <w:r>
              <w:rPr>
                <w:b/>
                <w:color w:val="FFFFFF"/>
                <w:sz w:val="19"/>
              </w:rPr>
              <w:t>Date</w:t>
            </w:r>
          </w:p>
        </w:tc>
        <w:tc>
          <w:tcPr>
            <w:tcW w:type="dxa" w:w="1984"/>
            <w:shd w:val="clear" w:color="auto" w:fill="FF6200"/>
          </w:tcPr>
          <w:p>
            <w:pPr>
              <w:spacing w:after="40" w:before="40"/>
            </w:pPr>
            <w:r/>
            <w:r>
              <w:rPr>
                <w:b/>
                <w:color w:val="FFFFFF"/>
                <w:sz w:val="19"/>
              </w:rPr>
              <w:t>Siegried</w:t>
            </w:r>
          </w:p>
        </w:tc>
        <w:tc>
          <w:tcPr>
            <w:tcW w:type="dxa" w:w="1871"/>
            <w:shd w:val="clear" w:color="auto" w:fill="FF6200"/>
          </w:tcPr>
          <w:p>
            <w:pPr>
              <w:spacing w:after="40" w:before="40"/>
            </w:pPr>
            <w:r/>
            <w:r>
              <w:rPr>
                <w:b/>
                <w:color w:val="FFFFFF"/>
                <w:sz w:val="19"/>
              </w:rPr>
              <w:t>Dan</w:t>
            </w:r>
          </w:p>
        </w:tc>
        <w:tc>
          <w:tcPr>
            <w:tcW w:type="dxa" w:w="2098"/>
            <w:shd w:val="clear" w:color="auto" w:fill="FF6200"/>
          </w:tcPr>
          <w:p>
            <w:pPr>
              <w:spacing w:after="40" w:before="40"/>
            </w:pPr>
            <w:r/>
            <w:r>
              <w:rPr>
                <w:b/>
                <w:color w:val="FFFFFF"/>
                <w:sz w:val="19"/>
              </w:rPr>
              <w:t>Stephane</w:t>
            </w:r>
          </w:p>
        </w:tc>
        <w:tc>
          <w:tcPr>
            <w:tcW w:type="dxa" w:w="1928"/>
            <w:shd w:val="clear" w:color="auto" w:fill="FF6200"/>
          </w:tcPr>
          <w:p>
            <w:pPr>
              <w:spacing w:after="40" w:before="40"/>
            </w:pPr>
            <w:r/>
            <w:r>
              <w:rPr>
                <w:b/>
                <w:color w:val="FFFFFF"/>
                <w:sz w:val="19"/>
              </w:rPr>
              <w:t>Output by end of day</w:t>
            </w:r>
          </w:p>
        </w:tc>
      </w:tr>
      <w:tr>
        <w:tc>
          <w:tcPr>
            <w:tcW w:type="dxa" w:w="454"/>
          </w:tcPr>
          <w:p>
            <w:pPr>
              <w:spacing w:after="20" w:before="20"/>
            </w:pPr>
            <w:r/>
            <w:r>
              <w:rPr>
                <w:b/>
                <w:sz w:val="17"/>
              </w:rPr>
              <w:t>1</w:t>
            </w:r>
          </w:p>
        </w:tc>
        <w:tc>
          <w:tcPr>
            <w:tcW w:type="dxa" w:w="1077"/>
          </w:tcPr>
          <w:p>
            <w:pPr>
              <w:spacing w:after="20" w:before="20"/>
            </w:pPr>
            <w:r/>
            <w:r>
              <w:rPr>
                <w:sz w:val="17"/>
              </w:rPr>
              <w:t>Mon 14 Sep</w:t>
            </w:r>
          </w:p>
        </w:tc>
        <w:tc>
          <w:tcPr>
            <w:tcW w:type="dxa" w:w="1984"/>
          </w:tcPr>
          <w:p>
            <w:pPr>
              <w:spacing w:after="20" w:before="20"/>
            </w:pPr>
            <w:r/>
            <w:r>
              <w:rPr>
                <w:sz w:val="17"/>
              </w:rPr>
              <w:t>Frame scope: banks, product family, language. Start compliance review.</w:t>
            </w:r>
          </w:p>
        </w:tc>
        <w:tc>
          <w:tcPr>
            <w:tcW w:type="dxa" w:w="1871"/>
          </w:tcPr>
          <w:p>
            <w:pPr>
              <w:spacing w:after="20" w:before="20"/>
            </w:pPr>
            <w:r/>
            <w:r>
              <w:rPr>
                <w:sz w:val="17"/>
              </w:rPr>
              <w:t>robots.txt + sitemaps for all 8 domains.</w:t>
            </w:r>
          </w:p>
        </w:tc>
        <w:tc>
          <w:tcPr>
            <w:tcW w:type="dxa" w:w="2098"/>
          </w:tcPr>
          <w:p>
            <w:pPr>
              <w:spacing w:after="20" w:before="20"/>
            </w:pPr>
            <w:r/>
            <w:r>
              <w:rPr>
                <w:sz w:val="17"/>
              </w:rPr>
              <w:t>Draft feature dictionary v0.</w:t>
            </w:r>
          </w:p>
        </w:tc>
        <w:tc>
          <w:tcPr>
            <w:tcW w:type="dxa" w:w="1928"/>
          </w:tcPr>
          <w:p>
            <w:pPr>
              <w:spacing w:after="20" w:before="20"/>
            </w:pPr>
            <w:r/>
            <w:r>
              <w:rPr>
                <w:sz w:val="17"/>
              </w:rPr>
              <w:t>Scope decision + compliance findings</w:t>
            </w:r>
          </w:p>
        </w:tc>
      </w:tr>
      <w:tr>
        <w:tc>
          <w:tcPr>
            <w:tcW w:type="dxa" w:w="454"/>
            <w:shd w:val="clear" w:color="auto" w:fill="FDF0E6"/>
          </w:tcPr>
          <w:p>
            <w:pPr>
              <w:spacing w:after="20" w:before="20"/>
            </w:pPr>
            <w:r/>
            <w:r>
              <w:rPr>
                <w:b/>
                <w:sz w:val="17"/>
              </w:rPr>
              <w:t>2</w:t>
            </w:r>
          </w:p>
        </w:tc>
        <w:tc>
          <w:tcPr>
            <w:tcW w:type="dxa" w:w="1077"/>
            <w:shd w:val="clear" w:color="auto" w:fill="FDF0E6"/>
          </w:tcPr>
          <w:p>
            <w:pPr>
              <w:spacing w:after="20" w:before="20"/>
            </w:pPr>
            <w:r/>
            <w:r>
              <w:rPr>
                <w:sz w:val="17"/>
              </w:rPr>
              <w:t>Tue 15 Sep</w:t>
            </w:r>
          </w:p>
        </w:tc>
        <w:tc>
          <w:tcPr>
            <w:tcW w:type="dxa" w:w="1984"/>
            <w:shd w:val="clear" w:color="auto" w:fill="FDF0E6"/>
          </w:tcPr>
          <w:p>
            <w:pPr>
              <w:spacing w:after="20" w:before="20"/>
            </w:pPr>
            <w:r/>
            <w:r>
              <w:rPr>
                <w:sz w:val="17"/>
              </w:rPr>
              <w:t>Source marketing frameworks; start rubric.</w:t>
            </w:r>
          </w:p>
        </w:tc>
        <w:tc>
          <w:tcPr>
            <w:tcW w:type="dxa" w:w="1871"/>
            <w:shd w:val="clear" w:color="auto" w:fill="FDF0E6"/>
          </w:tcPr>
          <w:p>
            <w:pPr>
              <w:spacing w:after="20" w:before="20"/>
            </w:pPr>
            <w:r/>
            <w:r>
              <w:rPr>
                <w:sz w:val="17"/>
              </w:rPr>
              <w:t>Hand-collect 5 sample rows; agree schema.</w:t>
            </w:r>
          </w:p>
        </w:tc>
        <w:tc>
          <w:tcPr>
            <w:tcW w:type="dxa" w:w="2098"/>
            <w:shd w:val="clear" w:color="auto" w:fill="FDF0E6"/>
          </w:tcPr>
          <w:p>
            <w:pPr>
              <w:spacing w:after="20" w:before="20"/>
            </w:pPr>
            <w:r/>
            <w:r>
              <w:rPr>
                <w:sz w:val="17"/>
              </w:rPr>
              <w:t>Freeze schema with Dan; analysis skeleton on sample.</w:t>
            </w:r>
          </w:p>
        </w:tc>
        <w:tc>
          <w:tcPr>
            <w:tcW w:type="dxa" w:w="1928"/>
            <w:shd w:val="clear" w:color="auto" w:fill="FDF0E6"/>
          </w:tcPr>
          <w:p>
            <w:pPr>
              <w:spacing w:after="20" w:before="20"/>
            </w:pPr>
            <w:r/>
            <w:r>
              <w:rPr>
                <w:sz w:val="17"/>
              </w:rPr>
              <w:t>SCHEMA FROZEN + sample data</w:t>
            </w:r>
          </w:p>
        </w:tc>
      </w:tr>
      <w:tr>
        <w:tc>
          <w:tcPr>
            <w:tcW w:type="dxa" w:w="454"/>
          </w:tcPr>
          <w:p>
            <w:pPr>
              <w:spacing w:after="20" w:before="20"/>
            </w:pPr>
            <w:r/>
            <w:r>
              <w:rPr>
                <w:b/>
                <w:sz w:val="17"/>
              </w:rPr>
              <w:t>3</w:t>
            </w:r>
          </w:p>
        </w:tc>
        <w:tc>
          <w:tcPr>
            <w:tcW w:type="dxa" w:w="1077"/>
          </w:tcPr>
          <w:p>
            <w:pPr>
              <w:spacing w:after="20" w:before="20"/>
            </w:pPr>
            <w:r/>
            <w:r>
              <w:rPr>
                <w:sz w:val="17"/>
              </w:rPr>
              <w:t>Wed 16 Sep</w:t>
            </w:r>
          </w:p>
        </w:tc>
        <w:tc>
          <w:tcPr>
            <w:tcW w:type="dxa" w:w="1984"/>
          </w:tcPr>
          <w:p>
            <w:pPr>
              <w:spacing w:after="20" w:before="20"/>
            </w:pPr>
            <w:r/>
            <w:r>
              <w:rPr>
                <w:sz w:val="17"/>
              </w:rPr>
              <w:t>Rubric v1; write D-01 compliance note.</w:t>
            </w:r>
          </w:p>
        </w:tc>
        <w:tc>
          <w:tcPr>
            <w:tcW w:type="dxa" w:w="1871"/>
          </w:tcPr>
          <w:p>
            <w:pPr>
              <w:spacing w:after="20" w:before="20"/>
            </w:pPr>
            <w:r/>
            <w:r>
              <w:rPr>
                <w:sz w:val="17"/>
              </w:rPr>
              <w:t>Scraper running on 3 banks; snapshot store.</w:t>
            </w:r>
          </w:p>
        </w:tc>
        <w:tc>
          <w:tcPr>
            <w:tcW w:type="dxa" w:w="2098"/>
          </w:tcPr>
          <w:p>
            <w:pPr>
              <w:spacing w:after="20" w:before="20"/>
            </w:pPr>
            <w:r/>
            <w:r>
              <w:rPr>
                <w:sz w:val="17"/>
              </w:rPr>
              <w:t>Automatic feature extraction on samples.</w:t>
            </w:r>
          </w:p>
        </w:tc>
        <w:tc>
          <w:tcPr>
            <w:tcW w:type="dxa" w:w="1928"/>
          </w:tcPr>
          <w:p>
            <w:pPr>
              <w:spacing w:after="20" w:before="20"/>
            </w:pPr>
            <w:r/>
            <w:r>
              <w:rPr>
                <w:sz w:val="17"/>
              </w:rPr>
              <w:t>First real snapshots</w:t>
            </w:r>
          </w:p>
        </w:tc>
      </w:tr>
      <w:tr>
        <w:tc>
          <w:tcPr>
            <w:tcW w:type="dxa" w:w="454"/>
            <w:shd w:val="clear" w:color="auto" w:fill="FDF0E6"/>
          </w:tcPr>
          <w:p>
            <w:pPr>
              <w:spacing w:after="20" w:before="20"/>
            </w:pPr>
            <w:r/>
            <w:r>
              <w:rPr>
                <w:b/>
                <w:sz w:val="17"/>
              </w:rPr>
              <w:t>4</w:t>
            </w:r>
          </w:p>
        </w:tc>
        <w:tc>
          <w:tcPr>
            <w:tcW w:type="dxa" w:w="1077"/>
            <w:shd w:val="clear" w:color="auto" w:fill="FDF0E6"/>
          </w:tcPr>
          <w:p>
            <w:pPr>
              <w:spacing w:after="20" w:before="20"/>
            </w:pPr>
            <w:r/>
            <w:r>
              <w:rPr>
                <w:sz w:val="17"/>
              </w:rPr>
              <w:t>Thu 17 Sep</w:t>
            </w:r>
          </w:p>
        </w:tc>
        <w:tc>
          <w:tcPr>
            <w:tcW w:type="dxa" w:w="1984"/>
            <w:shd w:val="clear" w:color="auto" w:fill="FDF0E6"/>
          </w:tcPr>
          <w:p>
            <w:pPr>
              <w:spacing w:after="20" w:before="20"/>
            </w:pPr>
            <w:r/>
            <w:r>
              <w:rPr>
                <w:sz w:val="17"/>
              </w:rPr>
              <w:t>Rubric v1 tested on 2 pages.</w:t>
            </w:r>
          </w:p>
        </w:tc>
        <w:tc>
          <w:tcPr>
            <w:tcW w:type="dxa" w:w="1871"/>
            <w:shd w:val="clear" w:color="auto" w:fill="FDF0E6"/>
          </w:tcPr>
          <w:p>
            <w:pPr>
              <w:spacing w:after="20" w:before="20"/>
            </w:pPr>
            <w:r/>
            <w:r>
              <w:rPr>
                <w:sz w:val="17"/>
              </w:rPr>
              <w:t>All in-scope banks collected.</w:t>
            </w:r>
          </w:p>
        </w:tc>
        <w:tc>
          <w:tcPr>
            <w:tcW w:type="dxa" w:w="2098"/>
            <w:shd w:val="clear" w:color="auto" w:fill="FDF0E6"/>
          </w:tcPr>
          <w:p>
            <w:pPr>
              <w:spacing w:after="20" w:before="20"/>
            </w:pPr>
            <w:r/>
            <w:r>
              <w:rPr>
                <w:sz w:val="17"/>
              </w:rPr>
              <w:t>Extraction over full snapshot set.</w:t>
            </w:r>
          </w:p>
        </w:tc>
        <w:tc>
          <w:tcPr>
            <w:tcW w:type="dxa" w:w="1928"/>
            <w:shd w:val="clear" w:color="auto" w:fill="FDF0E6"/>
          </w:tcPr>
          <w:p>
            <w:pPr>
              <w:spacing w:after="20" w:before="20"/>
            </w:pPr>
            <w:r/>
            <w:r>
              <w:rPr>
                <w:sz w:val="17"/>
              </w:rPr>
              <w:t>Collection complete (D-02)</w:t>
            </w:r>
          </w:p>
        </w:tc>
      </w:tr>
      <w:tr>
        <w:tc>
          <w:tcPr>
            <w:tcW w:type="dxa" w:w="454"/>
            <w:shd w:val="clear" w:color="auto" w:fill="FFF3CD"/>
          </w:tcPr>
          <w:p>
            <w:pPr>
              <w:spacing w:after="20" w:before="20"/>
            </w:pPr>
            <w:r/>
            <w:r>
              <w:rPr>
                <w:b/>
                <w:sz w:val="17"/>
              </w:rPr>
              <w:t>5</w:t>
            </w:r>
          </w:p>
        </w:tc>
        <w:tc>
          <w:tcPr>
            <w:tcW w:type="dxa" w:w="1077"/>
            <w:shd w:val="clear" w:color="auto" w:fill="FFF3CD"/>
          </w:tcPr>
          <w:p>
            <w:pPr>
              <w:spacing w:after="20" w:before="20"/>
            </w:pPr>
            <w:r/>
            <w:r>
              <w:rPr>
                <w:sz w:val="17"/>
              </w:rPr>
              <w:t>Fri 18 Sep</w:t>
            </w:r>
          </w:p>
        </w:tc>
        <w:tc>
          <w:tcPr>
            <w:tcW w:type="dxa" w:w="1984"/>
            <w:shd w:val="clear" w:color="auto" w:fill="FFF3CD"/>
          </w:tcPr>
          <w:p>
            <w:pPr>
              <w:spacing w:after="20" w:before="20"/>
            </w:pPr>
            <w:r/>
            <w:r>
              <w:rPr>
                <w:sz w:val="17"/>
              </w:rPr>
              <w:t>Stakeholder checkpoint; joint rubric scoring session.</w:t>
            </w:r>
          </w:p>
        </w:tc>
        <w:tc>
          <w:tcPr>
            <w:tcW w:type="dxa" w:w="1871"/>
            <w:shd w:val="clear" w:color="auto" w:fill="FFF3CD"/>
          </w:tcPr>
          <w:p>
            <w:pPr>
              <w:spacing w:after="20" w:before="20"/>
            </w:pPr>
            <w:r/>
            <w:r>
              <w:rPr>
                <w:sz w:val="17"/>
              </w:rPr>
              <w:t>Dataset v1 + data quality report.</w:t>
            </w:r>
          </w:p>
        </w:tc>
        <w:tc>
          <w:tcPr>
            <w:tcW w:type="dxa" w:w="2098"/>
            <w:shd w:val="clear" w:color="auto" w:fill="FFF3CD"/>
          </w:tcPr>
          <w:p>
            <w:pPr>
              <w:spacing w:after="20" w:before="20"/>
            </w:pPr>
            <w:r/>
            <w:r>
              <w:rPr>
                <w:sz w:val="17"/>
              </w:rPr>
              <w:t>Dataset v1 loaded; first comparison charts.</w:t>
            </w:r>
          </w:p>
        </w:tc>
        <w:tc>
          <w:tcPr>
            <w:tcW w:type="dxa" w:w="1928"/>
            <w:shd w:val="clear" w:color="auto" w:fill="FFF3CD"/>
          </w:tcPr>
          <w:p>
            <w:pPr>
              <w:spacing w:after="20" w:before="20"/>
            </w:pPr>
            <w:r/>
            <w:r>
              <w:rPr>
                <w:sz w:val="17"/>
              </w:rPr>
              <w:t>CHECKPOINT: dataset v1 (D-04)</w:t>
            </w:r>
          </w:p>
        </w:tc>
      </w:tr>
      <w:tr>
        <w:tc>
          <w:tcPr>
            <w:tcW w:type="dxa" w:w="454"/>
            <w:shd w:val="clear" w:color="auto" w:fill="FFF3CD"/>
          </w:tcPr>
          <w:p>
            <w:pPr>
              <w:spacing w:after="20" w:before="20"/>
            </w:pPr>
            <w:r/>
            <w:r>
              <w:rPr>
                <w:b/>
                <w:sz w:val="17"/>
              </w:rPr>
              <w:t>6</w:t>
            </w:r>
          </w:p>
        </w:tc>
        <w:tc>
          <w:tcPr>
            <w:tcW w:type="dxa" w:w="1077"/>
            <w:shd w:val="clear" w:color="auto" w:fill="FFF3CD"/>
          </w:tcPr>
          <w:p>
            <w:pPr>
              <w:spacing w:after="20" w:before="20"/>
            </w:pPr>
            <w:r/>
            <w:r>
              <w:rPr>
                <w:sz w:val="17"/>
              </w:rPr>
              <w:t>Mon 21 Sep</w:t>
            </w:r>
          </w:p>
        </w:tc>
        <w:tc>
          <w:tcPr>
            <w:tcW w:type="dxa" w:w="1984"/>
            <w:shd w:val="clear" w:color="auto" w:fill="FFF3CD"/>
          </w:tcPr>
          <w:p>
            <w:pPr>
              <w:spacing w:after="20" w:before="20"/>
            </w:pPr>
            <w:r/>
            <w:r>
              <w:rPr>
                <w:sz w:val="17"/>
              </w:rPr>
              <w:t>Scores consolidated; bias review of ING rows.</w:t>
            </w:r>
          </w:p>
        </w:tc>
        <w:tc>
          <w:tcPr>
            <w:tcW w:type="dxa" w:w="1871"/>
            <w:shd w:val="clear" w:color="auto" w:fill="FFF3CD"/>
          </w:tcPr>
          <w:p>
            <w:pPr>
              <w:spacing w:after="20" w:before="20"/>
            </w:pPr>
            <w:r/>
            <w:r>
              <w:rPr>
                <w:sz w:val="17"/>
              </w:rPr>
              <w:t>Extraction hardened; pipeline re-run test.</w:t>
            </w:r>
          </w:p>
        </w:tc>
        <w:tc>
          <w:tcPr>
            <w:tcW w:type="dxa" w:w="2098"/>
            <w:shd w:val="clear" w:color="auto" w:fill="FFF3CD"/>
          </w:tcPr>
          <w:p>
            <w:pPr>
              <w:spacing w:after="20" w:before="20"/>
            </w:pPr>
            <w:r/>
            <w:r>
              <w:rPr>
                <w:sz w:val="17"/>
              </w:rPr>
              <w:t>Bank profile cards for all banks.</w:t>
            </w:r>
          </w:p>
        </w:tc>
        <w:tc>
          <w:tcPr>
            <w:tcW w:type="dxa" w:w="1928"/>
            <w:shd w:val="clear" w:color="auto" w:fill="FFF3CD"/>
          </w:tcPr>
          <w:p>
            <w:pPr>
              <w:spacing w:after="20" w:before="20"/>
            </w:pPr>
            <w:r/>
            <w:r>
              <w:rPr>
                <w:sz w:val="17"/>
              </w:rPr>
              <w:t>GATE: end-to-end chain works?</w:t>
            </w:r>
          </w:p>
        </w:tc>
      </w:tr>
      <w:tr>
        <w:tc>
          <w:tcPr>
            <w:tcW w:type="dxa" w:w="454"/>
          </w:tcPr>
          <w:p>
            <w:pPr>
              <w:spacing w:after="20" w:before="20"/>
            </w:pPr>
            <w:r/>
            <w:r>
              <w:rPr>
                <w:b/>
                <w:sz w:val="17"/>
              </w:rPr>
              <w:t>7</w:t>
            </w:r>
          </w:p>
        </w:tc>
        <w:tc>
          <w:tcPr>
            <w:tcW w:type="dxa" w:w="1077"/>
          </w:tcPr>
          <w:p>
            <w:pPr>
              <w:spacing w:after="20" w:before="20"/>
            </w:pPr>
            <w:r/>
            <w:r>
              <w:rPr>
                <w:sz w:val="17"/>
              </w:rPr>
              <w:t>Tue 22 Sep</w:t>
            </w:r>
          </w:p>
        </w:tc>
        <w:tc>
          <w:tcPr>
            <w:tcW w:type="dxa" w:w="1984"/>
          </w:tcPr>
          <w:p>
            <w:pPr>
              <w:spacing w:after="20" w:before="20"/>
            </w:pPr>
            <w:r/>
            <w:r>
              <w:rPr>
                <w:sz w:val="17"/>
              </w:rPr>
              <w:t>Insights and recommendations drafted.</w:t>
            </w:r>
          </w:p>
        </w:tc>
        <w:tc>
          <w:tcPr>
            <w:tcW w:type="dxa" w:w="1871"/>
          </w:tcPr>
          <w:p>
            <w:pPr>
              <w:spacing w:after="20" w:before="20"/>
            </w:pPr>
            <w:r/>
            <w:r>
              <w:rPr>
                <w:sz w:val="17"/>
              </w:rPr>
              <w:t>Reproducibility check; README.</w:t>
            </w:r>
          </w:p>
        </w:tc>
        <w:tc>
          <w:tcPr>
            <w:tcW w:type="dxa" w:w="2098"/>
          </w:tcPr>
          <w:p>
            <w:pPr>
              <w:spacing w:after="20" w:before="20"/>
            </w:pPr>
            <w:r/>
            <w:r>
              <w:rPr>
                <w:sz w:val="17"/>
              </w:rPr>
              <w:t>Full comparison + positioning. Stretch: generation criteria.</w:t>
            </w:r>
          </w:p>
        </w:tc>
        <w:tc>
          <w:tcPr>
            <w:tcW w:type="dxa" w:w="1928"/>
          </w:tcPr>
          <w:p>
            <w:pPr>
              <w:spacing w:after="20" w:before="20"/>
            </w:pPr>
            <w:r/>
            <w:r>
              <w:rPr>
                <w:sz w:val="17"/>
              </w:rPr>
              <w:t>Analysis complete (D-05)</w:t>
            </w:r>
          </w:p>
        </w:tc>
      </w:tr>
      <w:tr>
        <w:tc>
          <w:tcPr>
            <w:tcW w:type="dxa" w:w="454"/>
            <w:shd w:val="clear" w:color="auto" w:fill="FDF0E6"/>
          </w:tcPr>
          <w:p>
            <w:pPr>
              <w:spacing w:after="20" w:before="20"/>
            </w:pPr>
            <w:r/>
            <w:r>
              <w:rPr>
                <w:b/>
                <w:sz w:val="17"/>
              </w:rPr>
              <w:t>8</w:t>
            </w:r>
          </w:p>
        </w:tc>
        <w:tc>
          <w:tcPr>
            <w:tcW w:type="dxa" w:w="1077"/>
            <w:shd w:val="clear" w:color="auto" w:fill="FDF0E6"/>
          </w:tcPr>
          <w:p>
            <w:pPr>
              <w:spacing w:after="20" w:before="20"/>
            </w:pPr>
            <w:r/>
            <w:r>
              <w:rPr>
                <w:sz w:val="17"/>
              </w:rPr>
              <w:t>Wed 23 Sep</w:t>
            </w:r>
          </w:p>
        </w:tc>
        <w:tc>
          <w:tcPr>
            <w:tcW w:type="dxa" w:w="1984"/>
            <w:shd w:val="clear" w:color="auto" w:fill="FDF0E6"/>
          </w:tcPr>
          <w:p>
            <w:pPr>
              <w:spacing w:after="20" w:before="20"/>
            </w:pPr>
            <w:r/>
            <w:r>
              <w:rPr>
                <w:sz w:val="17"/>
              </w:rPr>
              <w:t>Business deck structure + narrative.</w:t>
            </w:r>
          </w:p>
        </w:tc>
        <w:tc>
          <w:tcPr>
            <w:tcW w:type="dxa" w:w="1871"/>
            <w:shd w:val="clear" w:color="auto" w:fill="FDF0E6"/>
          </w:tcPr>
          <w:p>
            <w:pPr>
              <w:spacing w:after="20" w:before="20"/>
            </w:pPr>
            <w:r/>
            <w:r>
              <w:rPr>
                <w:sz w:val="17"/>
              </w:rPr>
              <w:t>Repo tidy, dataset export (D-08).</w:t>
            </w:r>
          </w:p>
        </w:tc>
        <w:tc>
          <w:tcPr>
            <w:tcW w:type="dxa" w:w="2098"/>
            <w:shd w:val="clear" w:color="auto" w:fill="FDF0E6"/>
          </w:tcPr>
          <w:p>
            <w:pPr>
              <w:spacing w:after="20" w:before="20"/>
            </w:pPr>
            <w:r/>
            <w:r>
              <w:rPr>
                <w:sz w:val="17"/>
              </w:rPr>
              <w:t>Stretch: generate both variants and score them.</w:t>
            </w:r>
          </w:p>
        </w:tc>
        <w:tc>
          <w:tcPr>
            <w:tcW w:type="dxa" w:w="1928"/>
            <w:shd w:val="clear" w:color="auto" w:fill="FDF0E6"/>
          </w:tcPr>
          <w:p>
            <w:pPr>
              <w:spacing w:after="20" w:before="20"/>
            </w:pPr>
            <w:r/>
            <w:r>
              <w:rPr>
                <w:sz w:val="17"/>
              </w:rPr>
              <w:t>Stretch outcome known</w:t>
            </w:r>
          </w:p>
        </w:tc>
      </w:tr>
      <w:tr>
        <w:tc>
          <w:tcPr>
            <w:tcW w:type="dxa" w:w="454"/>
            <w:shd w:val="clear" w:color="auto" w:fill="FFF3CD"/>
          </w:tcPr>
          <w:p>
            <w:pPr>
              <w:spacing w:after="20" w:before="20"/>
            </w:pPr>
            <w:r/>
            <w:r>
              <w:rPr>
                <w:b/>
                <w:sz w:val="17"/>
              </w:rPr>
              <w:t>9</w:t>
            </w:r>
          </w:p>
        </w:tc>
        <w:tc>
          <w:tcPr>
            <w:tcW w:type="dxa" w:w="1077"/>
            <w:shd w:val="clear" w:color="auto" w:fill="FFF3CD"/>
          </w:tcPr>
          <w:p>
            <w:pPr>
              <w:spacing w:after="20" w:before="20"/>
            </w:pPr>
            <w:r/>
            <w:r>
              <w:rPr>
                <w:sz w:val="17"/>
              </w:rPr>
              <w:t>Thu 24 Sep</w:t>
            </w:r>
          </w:p>
        </w:tc>
        <w:tc>
          <w:tcPr>
            <w:tcW w:type="dxa" w:w="1984"/>
            <w:shd w:val="clear" w:color="auto" w:fill="FFF3CD"/>
          </w:tcPr>
          <w:p>
            <w:pPr>
              <w:spacing w:after="20" w:before="20"/>
            </w:pPr>
            <w:r/>
            <w:r>
              <w:rPr>
                <w:sz w:val="17"/>
              </w:rPr>
              <w:t>Business deck complete (D-06).</w:t>
            </w:r>
          </w:p>
        </w:tc>
        <w:tc>
          <w:tcPr>
            <w:tcW w:type="dxa" w:w="1871"/>
            <w:shd w:val="clear" w:color="auto" w:fill="FFF3CD"/>
          </w:tcPr>
          <w:p>
            <w:pPr>
              <w:spacing w:after="20" w:before="20"/>
            </w:pPr>
            <w:r/>
            <w:r>
              <w:rPr>
                <w:sz w:val="17"/>
              </w:rPr>
              <w:t>Data deck: pipeline section.</w:t>
            </w:r>
          </w:p>
        </w:tc>
        <w:tc>
          <w:tcPr>
            <w:tcW w:type="dxa" w:w="2098"/>
            <w:shd w:val="clear" w:color="auto" w:fill="FFF3CD"/>
          </w:tcPr>
          <w:p>
            <w:pPr>
              <w:spacing w:after="20" w:before="20"/>
            </w:pPr>
            <w:r/>
            <w:r>
              <w:rPr>
                <w:sz w:val="17"/>
              </w:rPr>
              <w:t>Data deck: method and findings (D-07).</w:t>
            </w:r>
          </w:p>
        </w:tc>
        <w:tc>
          <w:tcPr>
            <w:tcW w:type="dxa" w:w="1928"/>
            <w:shd w:val="clear" w:color="auto" w:fill="FFF3CD"/>
          </w:tcPr>
          <w:p>
            <w:pPr>
              <w:spacing w:after="20" w:before="20"/>
            </w:pPr>
            <w:r/>
            <w:r>
              <w:rPr>
                <w:sz w:val="17"/>
              </w:rPr>
              <w:t>DRY RUN, both decks</w:t>
            </w:r>
          </w:p>
        </w:tc>
      </w:tr>
      <w:tr>
        <w:tc>
          <w:tcPr>
            <w:tcW w:type="dxa" w:w="454"/>
            <w:shd w:val="clear" w:color="auto" w:fill="FFF3CD"/>
          </w:tcPr>
          <w:p>
            <w:pPr>
              <w:spacing w:after="20" w:before="20"/>
            </w:pPr>
            <w:r/>
            <w:r>
              <w:rPr>
                <w:b/>
                <w:sz w:val="17"/>
              </w:rPr>
              <w:t>10</w:t>
            </w:r>
          </w:p>
        </w:tc>
        <w:tc>
          <w:tcPr>
            <w:tcW w:type="dxa" w:w="1077"/>
            <w:shd w:val="clear" w:color="auto" w:fill="FFF3CD"/>
          </w:tcPr>
          <w:p>
            <w:pPr>
              <w:spacing w:after="20" w:before="20"/>
            </w:pPr>
            <w:r/>
            <w:r>
              <w:rPr>
                <w:sz w:val="17"/>
              </w:rPr>
              <w:t>Fri 25 Sep</w:t>
            </w:r>
          </w:p>
        </w:tc>
        <w:tc>
          <w:tcPr>
            <w:tcW w:type="dxa" w:w="1984"/>
            <w:shd w:val="clear" w:color="auto" w:fill="FFF3CD"/>
          </w:tcPr>
          <w:p>
            <w:pPr>
              <w:spacing w:after="20" w:before="20"/>
            </w:pPr>
            <w:r/>
            <w:r>
              <w:rPr>
                <w:sz w:val="17"/>
              </w:rPr>
              <w:t>Deliver business session.</w:t>
            </w:r>
          </w:p>
        </w:tc>
        <w:tc>
          <w:tcPr>
            <w:tcW w:type="dxa" w:w="1871"/>
            <w:shd w:val="clear" w:color="auto" w:fill="FFF3CD"/>
          </w:tcPr>
          <w:p>
            <w:pPr>
              <w:spacing w:after="20" w:before="20"/>
            </w:pPr>
            <w:r/>
            <w:r>
              <w:rPr>
                <w:sz w:val="17"/>
              </w:rPr>
              <w:t>Deliver technical section.</w:t>
            </w:r>
          </w:p>
        </w:tc>
        <w:tc>
          <w:tcPr>
            <w:tcW w:type="dxa" w:w="2098"/>
            <w:shd w:val="clear" w:color="auto" w:fill="FFF3CD"/>
          </w:tcPr>
          <w:p>
            <w:pPr>
              <w:spacing w:after="20" w:before="20"/>
            </w:pPr>
            <w:r/>
            <w:r>
              <w:rPr>
                <w:sz w:val="17"/>
              </w:rPr>
              <w:t>Deliver method and findings.</w:t>
            </w:r>
          </w:p>
        </w:tc>
        <w:tc>
          <w:tcPr>
            <w:tcW w:type="dxa" w:w="1928"/>
            <w:shd w:val="clear" w:color="auto" w:fill="FFF3CD"/>
          </w:tcPr>
          <w:p>
            <w:pPr>
              <w:spacing w:after="20" w:before="20"/>
            </w:pPr>
            <w:r/>
            <w:r>
              <w:rPr>
                <w:sz w:val="17"/>
              </w:rPr>
              <w:t>FINAL DELIVERY</w:t>
            </w:r>
          </w:p>
        </w:tc>
      </w:tr>
    </w:tbl>
    <w:p>
      <w:pPr>
        <w:spacing w:after="80"/>
      </w:pPr>
    </w:p>
    <w:p>
      <w:pPr>
        <w:pStyle w:val="Heading2"/>
      </w:pPr>
      <w:r>
        <w:rPr>
          <w:b w:val="0"/>
          <w:i w:val="0"/>
        </w:rPr>
        <w:t>5.1 Milestones</w:t>
      </w:r>
    </w:p>
    <w:tbl>
      <w:tblPr>
        <w:tblStyle w:val="TableGrid"/>
        <w:jc w:val="center"/>
        <w:tblLook w:firstColumn="1" w:firstRow="1" w:lastColumn="0" w:lastRow="0" w:noHBand="0" w:noVBand="1" w:val="04A0"/>
        <w:tblLayout w:type="fixed"/>
        <w:tblW w:w="9412" w:type="dxa"/>
      </w:tblPr>
      <w:tblGrid>
        <w:gridCol w:w="2268"/>
        <w:gridCol w:w="1247"/>
        <w:gridCol w:w="5896"/>
      </w:tblGrid>
      <w:tr>
        <w:tc>
          <w:tcPr>
            <w:tcW w:type="dxa" w:w="2268"/>
            <w:shd w:val="clear" w:color="auto" w:fill="FF6200"/>
          </w:tcPr>
          <w:p>
            <w:pPr>
              <w:spacing w:after="40" w:before="40"/>
            </w:pPr>
            <w:r/>
            <w:r>
              <w:rPr>
                <w:b/>
                <w:color w:val="FFFFFF"/>
                <w:sz w:val="19"/>
              </w:rPr>
              <w:t>Milestone</w:t>
            </w:r>
          </w:p>
        </w:tc>
        <w:tc>
          <w:tcPr>
            <w:tcW w:type="dxa" w:w="1247"/>
            <w:shd w:val="clear" w:color="auto" w:fill="FF6200"/>
          </w:tcPr>
          <w:p>
            <w:pPr>
              <w:spacing w:after="40" w:before="40"/>
            </w:pPr>
            <w:r/>
            <w:r>
              <w:rPr>
                <w:b/>
                <w:color w:val="FFFFFF"/>
                <w:sz w:val="19"/>
              </w:rPr>
              <w:t>When</w:t>
            </w:r>
          </w:p>
        </w:tc>
        <w:tc>
          <w:tcPr>
            <w:tcW w:type="dxa" w:w="5896"/>
            <w:shd w:val="clear" w:color="auto" w:fill="FF6200"/>
          </w:tcPr>
          <w:p>
            <w:pPr>
              <w:spacing w:after="40" w:before="40"/>
            </w:pPr>
            <w:r/>
            <w:r>
              <w:rPr>
                <w:b/>
                <w:color w:val="FFFFFF"/>
                <w:sz w:val="19"/>
              </w:rPr>
              <w:t>Definition of done</w:t>
            </w:r>
          </w:p>
        </w:tc>
      </w:tr>
      <w:tr>
        <w:tc>
          <w:tcPr>
            <w:tcW w:type="dxa" w:w="2268"/>
          </w:tcPr>
          <w:p>
            <w:pPr>
              <w:spacing w:after="20" w:before="20"/>
            </w:pPr>
            <w:r/>
            <w:r>
              <w:rPr>
                <w:b/>
                <w:sz w:val="18"/>
              </w:rPr>
              <w:t>M1 – Scope and compliance fixed</w:t>
            </w:r>
          </w:p>
        </w:tc>
        <w:tc>
          <w:tcPr>
            <w:tcW w:type="dxa" w:w="1247"/>
          </w:tcPr>
          <w:p>
            <w:pPr>
              <w:spacing w:after="20" w:before="20"/>
            </w:pPr>
            <w:r/>
            <w:r>
              <w:rPr>
                <w:sz w:val="18"/>
              </w:rPr>
              <w:t>End of Day 1</w:t>
            </w:r>
          </w:p>
        </w:tc>
        <w:tc>
          <w:tcPr>
            <w:tcW w:type="dxa" w:w="5896"/>
          </w:tcPr>
          <w:p>
            <w:pPr>
              <w:spacing w:after="20" w:before="20"/>
            </w:pPr>
            <w:r/>
            <w:r>
              <w:rPr>
                <w:sz w:val="18"/>
              </w:rPr>
              <w:t>Banks, product family and language chosen and written down; robots.txt findings recorded for every domain; any bank excluded on compliance grounds is named.</w:t>
            </w:r>
          </w:p>
        </w:tc>
      </w:tr>
      <w:tr>
        <w:tc>
          <w:tcPr>
            <w:tcW w:type="dxa" w:w="2268"/>
            <w:shd w:val="clear" w:color="auto" w:fill="FDF0E6"/>
          </w:tcPr>
          <w:p>
            <w:pPr>
              <w:spacing w:after="20" w:before="20"/>
            </w:pPr>
            <w:r/>
            <w:r>
              <w:rPr>
                <w:b/>
                <w:sz w:val="18"/>
              </w:rPr>
              <w:t>M2 – Schema frozen</w:t>
            </w:r>
          </w:p>
        </w:tc>
        <w:tc>
          <w:tcPr>
            <w:tcW w:type="dxa" w:w="1247"/>
            <w:shd w:val="clear" w:color="auto" w:fill="FDF0E6"/>
          </w:tcPr>
          <w:p>
            <w:pPr>
              <w:spacing w:after="20" w:before="20"/>
            </w:pPr>
            <w:r/>
            <w:r>
              <w:rPr>
                <w:sz w:val="18"/>
              </w:rPr>
              <w:t>End of Day 2</w:t>
            </w:r>
          </w:p>
        </w:tc>
        <w:tc>
          <w:tcPr>
            <w:tcW w:type="dxa" w:w="5896"/>
            <w:shd w:val="clear" w:color="auto" w:fill="FDF0E6"/>
          </w:tcPr>
          <w:p>
            <w:pPr>
              <w:spacing w:after="20" w:before="20"/>
            </w:pPr>
            <w:r/>
            <w:r>
              <w:rPr>
                <w:sz w:val="18"/>
              </w:rPr>
              <w:t>Dataset columns agreed by all three; five sample rows exist in that format; analysis work can start without waiting for the scraper.</w:t>
            </w:r>
          </w:p>
        </w:tc>
      </w:tr>
      <w:tr>
        <w:tc>
          <w:tcPr>
            <w:tcW w:type="dxa" w:w="2268"/>
          </w:tcPr>
          <w:p>
            <w:pPr>
              <w:spacing w:after="20" w:before="20"/>
            </w:pPr>
            <w:r/>
            <w:r>
              <w:rPr>
                <w:b/>
                <w:sz w:val="18"/>
              </w:rPr>
              <w:t>M3 – Collection complete</w:t>
            </w:r>
          </w:p>
        </w:tc>
        <w:tc>
          <w:tcPr>
            <w:tcW w:type="dxa" w:w="1247"/>
          </w:tcPr>
          <w:p>
            <w:pPr>
              <w:spacing w:after="20" w:before="20"/>
            </w:pPr>
            <w:r/>
            <w:r>
              <w:rPr>
                <w:sz w:val="18"/>
              </w:rPr>
              <w:t>End of Day 4</w:t>
            </w:r>
          </w:p>
        </w:tc>
        <w:tc>
          <w:tcPr>
            <w:tcW w:type="dxa" w:w="5896"/>
          </w:tcPr>
          <w:p>
            <w:pPr>
              <w:spacing w:after="20" w:before="20"/>
            </w:pPr>
            <w:r/>
            <w:r>
              <w:rPr>
                <w:sz w:val="18"/>
              </w:rPr>
              <w:t>Every in-scope page snapshotted with HTML, screenshot, assets and provenance. Re-running collection is no longer on the critical path.</w:t>
            </w:r>
          </w:p>
        </w:tc>
      </w:tr>
      <w:tr>
        <w:tc>
          <w:tcPr>
            <w:tcW w:type="dxa" w:w="2268"/>
            <w:shd w:val="clear" w:color="auto" w:fill="FDF0E6"/>
          </w:tcPr>
          <w:p>
            <w:pPr>
              <w:spacing w:after="20" w:before="20"/>
            </w:pPr>
            <w:r/>
            <w:r>
              <w:rPr>
                <w:b/>
                <w:sz w:val="18"/>
              </w:rPr>
              <w:t>M4 – Dataset v1</w:t>
            </w:r>
          </w:p>
        </w:tc>
        <w:tc>
          <w:tcPr>
            <w:tcW w:type="dxa" w:w="1247"/>
            <w:shd w:val="clear" w:color="auto" w:fill="FDF0E6"/>
          </w:tcPr>
          <w:p>
            <w:pPr>
              <w:spacing w:after="20" w:before="20"/>
            </w:pPr>
            <w:r/>
            <w:r>
              <w:rPr>
                <w:sz w:val="18"/>
              </w:rPr>
              <w:t>End of Day 5</w:t>
            </w:r>
          </w:p>
        </w:tc>
        <w:tc>
          <w:tcPr>
            <w:tcW w:type="dxa" w:w="5896"/>
            <w:shd w:val="clear" w:color="auto" w:fill="FDF0E6"/>
          </w:tcPr>
          <w:p>
            <w:pPr>
              <w:spacing w:after="20" w:before="20"/>
            </w:pPr>
            <w:r/>
            <w:r>
              <w:rPr>
                <w:sz w:val="18"/>
              </w:rPr>
              <w:t>One row per page, all automatic features populated, missing values explained. Comparison work can proceed.</w:t>
            </w:r>
          </w:p>
        </w:tc>
      </w:tr>
      <w:tr>
        <w:tc>
          <w:tcPr>
            <w:tcW w:type="dxa" w:w="2268"/>
          </w:tcPr>
          <w:p>
            <w:pPr>
              <w:spacing w:after="20" w:before="20"/>
            </w:pPr>
            <w:r/>
            <w:r>
              <w:rPr>
                <w:b/>
                <w:sz w:val="18"/>
              </w:rPr>
              <w:t>M5 – MVP gate</w:t>
            </w:r>
          </w:p>
        </w:tc>
        <w:tc>
          <w:tcPr>
            <w:tcW w:type="dxa" w:w="1247"/>
          </w:tcPr>
          <w:p>
            <w:pPr>
              <w:spacing w:after="20" w:before="20"/>
            </w:pPr>
            <w:r/>
            <w:r>
              <w:rPr>
                <w:sz w:val="18"/>
              </w:rPr>
              <w:t>End of Day 6</w:t>
            </w:r>
          </w:p>
        </w:tc>
        <w:tc>
          <w:tcPr>
            <w:tcW w:type="dxa" w:w="5896"/>
          </w:tcPr>
          <w:p>
            <w:pPr>
              <w:spacing w:after="20" w:before="20"/>
            </w:pPr>
            <w:r/>
            <w:r>
              <w:rPr>
                <w:sz w:val="18"/>
              </w:rPr>
              <w:t>See section 6.</w:t>
            </w:r>
          </w:p>
        </w:tc>
      </w:tr>
      <w:tr>
        <w:tc>
          <w:tcPr>
            <w:tcW w:type="dxa" w:w="2268"/>
            <w:shd w:val="clear" w:color="auto" w:fill="FDF0E6"/>
          </w:tcPr>
          <w:p>
            <w:pPr>
              <w:spacing w:after="20" w:before="20"/>
            </w:pPr>
            <w:r/>
            <w:r>
              <w:rPr>
                <w:b/>
                <w:sz w:val="18"/>
              </w:rPr>
              <w:t>M6 – Analysis complete</w:t>
            </w:r>
          </w:p>
        </w:tc>
        <w:tc>
          <w:tcPr>
            <w:tcW w:type="dxa" w:w="1247"/>
            <w:shd w:val="clear" w:color="auto" w:fill="FDF0E6"/>
          </w:tcPr>
          <w:p>
            <w:pPr>
              <w:spacing w:after="20" w:before="20"/>
            </w:pPr>
            <w:r/>
            <w:r>
              <w:rPr>
                <w:sz w:val="18"/>
              </w:rPr>
              <w:t>End of Day 7</w:t>
            </w:r>
          </w:p>
        </w:tc>
        <w:tc>
          <w:tcPr>
            <w:tcW w:type="dxa" w:w="5896"/>
            <w:shd w:val="clear" w:color="auto" w:fill="FDF0E6"/>
          </w:tcPr>
          <w:p>
            <w:pPr>
              <w:spacing w:after="20" w:before="20"/>
            </w:pPr>
            <w:r/>
            <w:r>
              <w:rPr>
                <w:sz w:val="18"/>
              </w:rPr>
              <w:t>ING positioned, banks grouped, deck hypotheses verified, at least three traceable insights written.</w:t>
            </w:r>
          </w:p>
        </w:tc>
      </w:tr>
      <w:tr>
        <w:tc>
          <w:tcPr>
            <w:tcW w:type="dxa" w:w="2268"/>
          </w:tcPr>
          <w:p>
            <w:pPr>
              <w:spacing w:after="20" w:before="20"/>
            </w:pPr>
            <w:r/>
            <w:r>
              <w:rPr>
                <w:b/>
                <w:sz w:val="18"/>
              </w:rPr>
              <w:t>M7 – Dry run passed</w:t>
            </w:r>
          </w:p>
        </w:tc>
        <w:tc>
          <w:tcPr>
            <w:tcW w:type="dxa" w:w="1247"/>
          </w:tcPr>
          <w:p>
            <w:pPr>
              <w:spacing w:after="20" w:before="20"/>
            </w:pPr>
            <w:r/>
            <w:r>
              <w:rPr>
                <w:sz w:val="18"/>
              </w:rPr>
              <w:t>End of Day 9</w:t>
            </w:r>
          </w:p>
        </w:tc>
        <w:tc>
          <w:tcPr>
            <w:tcW w:type="dxa" w:w="5896"/>
          </w:tcPr>
          <w:p>
            <w:pPr>
              <w:spacing w:after="20" w:before="20"/>
            </w:pPr>
            <w:r/>
            <w:r>
              <w:rPr>
                <w:sz w:val="18"/>
              </w:rPr>
              <w:t>Both decks presented start to finish to the team; every claim traced to a feature and a source page; timing checked.</w:t>
            </w:r>
          </w:p>
        </w:tc>
      </w:tr>
      <w:tr>
        <w:tc>
          <w:tcPr>
            <w:tcW w:type="dxa" w:w="2268"/>
            <w:shd w:val="clear" w:color="auto" w:fill="FDF0E6"/>
          </w:tcPr>
          <w:p>
            <w:pPr>
              <w:spacing w:after="20" w:before="20"/>
            </w:pPr>
            <w:r/>
            <w:r>
              <w:rPr>
                <w:b/>
                <w:sz w:val="18"/>
              </w:rPr>
              <w:t>M8 – Delivered</w:t>
            </w:r>
          </w:p>
        </w:tc>
        <w:tc>
          <w:tcPr>
            <w:tcW w:type="dxa" w:w="1247"/>
            <w:shd w:val="clear" w:color="auto" w:fill="FDF0E6"/>
          </w:tcPr>
          <w:p>
            <w:pPr>
              <w:spacing w:after="20" w:before="20"/>
            </w:pPr>
            <w:r/>
            <w:r>
              <w:rPr>
                <w:sz w:val="18"/>
              </w:rPr>
              <w:t>Day 10</w:t>
            </w:r>
          </w:p>
        </w:tc>
        <w:tc>
          <w:tcPr>
            <w:tcW w:type="dxa" w:w="5896"/>
            <w:shd w:val="clear" w:color="auto" w:fill="FDF0E6"/>
          </w:tcPr>
          <w:p>
            <w:pPr>
              <w:spacing w:after="20" w:before="20"/>
            </w:pPr>
            <w:r/>
            <w:r>
              <w:rPr>
                <w:sz w:val="18"/>
              </w:rPr>
              <w:t>Both sessions delivered; repository re-runs from scratch.</w:t>
            </w:r>
          </w:p>
        </w:tc>
      </w:tr>
    </w:tbl>
    <w:p>
      <w:pPr>
        <w:spacing w:after="80"/>
      </w:pPr>
    </w:p>
    <w:p>
      <w:pPr>
        <w:pStyle w:val="Heading2"/>
      </w:pPr>
      <w:r>
        <w:rPr>
          <w:b w:val="0"/>
          <w:i w:val="0"/>
        </w:rPr>
        <w:t>5.2 Meeting cadence</w:t>
      </w:r>
    </w:p>
    <w:p>
      <w:pPr>
        <w:pStyle w:val="ListBullet"/>
      </w:pPr>
      <w:r>
        <w:rPr>
          <w:b/>
        </w:rPr>
        <w:t>Daily standup —</w:t>
      </w:r>
      <w:r>
        <w:t xml:space="preserve"> 15 minutes at the start of each day. Blockers and scope changes only.</w:t>
      </w:r>
    </w:p>
    <w:p>
      <w:pPr>
        <w:pStyle w:val="ListBullet"/>
      </w:pPr>
      <w:r>
        <w:rPr>
          <w:b/>
        </w:rPr>
        <w:t>Rubric scoring session —</w:t>
      </w:r>
      <w:r>
        <w:t xml:space="preserve"> Day 5, all three, 90 minutes. Everyone scores the same two pages independently, then the disagreements are discussed and the rubric is tightened. This is what makes the scoring defensible.</w:t>
      </w:r>
    </w:p>
    <w:p>
      <w:pPr>
        <w:pStyle w:val="ListBullet"/>
      </w:pPr>
      <w:r>
        <w:rPr>
          <w:b/>
        </w:rPr>
        <w:t>Stakeholder checkpoint —</w:t>
      </w:r>
      <w:r>
        <w:t xml:space="preserve"> Day 5, Siegried. Confirm scope, show dataset v1, and close the open questions carried in PRD section 17.</w:t>
      </w:r>
    </w:p>
    <w:p>
      <w:pPr>
        <w:pStyle w:val="ListBullet"/>
      </w:pPr>
      <w:r>
        <w:rPr>
          <w:b/>
        </w:rPr>
        <w:t>Gate review —</w:t>
      </w:r>
      <w:r>
        <w:t xml:space="preserve"> Day 6, end of day, all three. Thirty minutes, one decision (section 6).</w:t>
      </w:r>
    </w:p>
    <w:p>
      <w:pPr>
        <w:pStyle w:val="ListBullet"/>
      </w:pPr>
      <w:r>
        <w:rPr>
          <w:b/>
        </w:rPr>
        <w:t>Dry run —</w:t>
      </w:r>
      <w:r>
        <w:t xml:space="preserve"> Day 9, all three, both decks, full length.</w:t>
      </w:r>
    </w:p>
    <w:p>
      <w:pPr>
        <w:pStyle w:val="Heading1"/>
      </w:pPr>
      <w:r>
        <w:rPr>
          <w:b w:val="0"/>
          <w:i w:val="0"/>
        </w:rPr>
        <w:t>6. The Day 6 gate</w:t>
      </w:r>
    </w:p>
    <w:p>
      <w:r>
        <w:rPr>
          <w:b w:val="0"/>
          <w:i w:val="0"/>
        </w:rPr>
        <w:t>At the end of Day 6 the team asks one question: does the chain run end to end — from a URL to a scored, comparable row, to a bank profile, for every bank in scope?</w:t>
      </w:r>
    </w:p>
    <w:tbl>
      <w:tblPr>
        <w:tblStyle w:val="TableGrid"/>
        <w:jc w:val="center"/>
        <w:tblLook w:firstColumn="1" w:firstRow="1" w:lastColumn="0" w:lastRow="0" w:noHBand="0" w:noVBand="1" w:val="04A0"/>
        <w:tblLayout w:type="fixed"/>
        <w:tblW w:w="9412" w:type="dxa"/>
      </w:tblPr>
      <w:tblGrid>
        <w:gridCol w:w="2268"/>
        <w:gridCol w:w="7144"/>
      </w:tblGrid>
      <w:tr>
        <w:tc>
          <w:tcPr>
            <w:tcW w:type="dxa" w:w="2268"/>
            <w:shd w:val="clear" w:color="auto" w:fill="FF6200"/>
          </w:tcPr>
          <w:p>
            <w:pPr>
              <w:spacing w:after="40" w:before="40"/>
            </w:pPr>
            <w:r/>
            <w:r>
              <w:rPr>
                <w:b/>
                <w:color w:val="FFFFFF"/>
                <w:sz w:val="19"/>
              </w:rPr>
              <w:t>If the answer is</w:t>
            </w:r>
          </w:p>
        </w:tc>
        <w:tc>
          <w:tcPr>
            <w:tcW w:type="dxa" w:w="7143"/>
            <w:shd w:val="clear" w:color="auto" w:fill="FF6200"/>
          </w:tcPr>
          <w:p>
            <w:pPr>
              <w:spacing w:after="40" w:before="40"/>
            </w:pPr>
            <w:r/>
            <w:r>
              <w:rPr>
                <w:b/>
                <w:color w:val="FFFFFF"/>
                <w:sz w:val="19"/>
              </w:rPr>
              <w:t>Then</w:t>
            </w:r>
          </w:p>
        </w:tc>
      </w:tr>
      <w:tr>
        <w:tc>
          <w:tcPr>
            <w:tcW w:type="dxa" w:w="2268"/>
          </w:tcPr>
          <w:p>
            <w:pPr>
              <w:spacing w:after="20" w:before="20"/>
            </w:pPr>
            <w:r/>
            <w:r>
              <w:rPr>
                <w:sz w:val="18"/>
              </w:rPr>
              <w:t>YES</w:t>
            </w:r>
          </w:p>
        </w:tc>
        <w:tc>
          <w:tcPr>
            <w:tcW w:type="dxa" w:w="7143"/>
          </w:tcPr>
          <w:p>
            <w:pPr>
              <w:spacing w:after="20" w:before="20"/>
            </w:pPr>
            <w:r/>
            <w:r>
              <w:rPr>
                <w:sz w:val="18"/>
              </w:rPr>
              <w:t>Days 7–8 attempt the LLM generation stretch. Stephane moves to generation; Siegried and Dan take over the remaining analysis and documentation so the comparator keeps progressing in parallel.</w:t>
            </w:r>
          </w:p>
        </w:tc>
      </w:tr>
      <w:tr>
        <w:tc>
          <w:tcPr>
            <w:tcW w:type="dxa" w:w="2268"/>
            <w:shd w:val="clear" w:color="auto" w:fill="FDF0E6"/>
          </w:tcPr>
          <w:p>
            <w:pPr>
              <w:spacing w:after="20" w:before="20"/>
            </w:pPr>
            <w:r/>
            <w:r>
              <w:rPr>
                <w:sz w:val="18"/>
              </w:rPr>
              <w:t>NO</w:t>
            </w:r>
          </w:p>
        </w:tc>
        <w:tc>
          <w:tcPr>
            <w:tcW w:type="dxa" w:w="7143"/>
            <w:shd w:val="clear" w:color="auto" w:fill="FDF0E6"/>
          </w:tcPr>
          <w:p>
            <w:pPr>
              <w:spacing w:after="20" w:before="20"/>
            </w:pPr>
            <w:r/>
            <w:r>
              <w:rPr>
                <w:sz w:val="18"/>
              </w:rPr>
              <w:t>The stretch is dropped immediately and without debate. Days 7–8 are spent completing and hardening the comparator. The generation idea is presented as a designed-but-not-built next step, with the criteria and prompt structure shown.</w:t>
            </w:r>
          </w:p>
        </w:tc>
      </w:tr>
      <w:tr>
        <w:tc>
          <w:tcPr>
            <w:tcW w:type="dxa" w:w="2268"/>
          </w:tcPr>
          <w:p>
            <w:pPr>
              <w:spacing w:after="20" w:before="20"/>
            </w:pPr>
            <w:r/>
            <w:r>
              <w:rPr>
                <w:sz w:val="18"/>
              </w:rPr>
              <w:t>PARTIALLY — chain works for some banks only</w:t>
            </w:r>
          </w:p>
        </w:tc>
        <w:tc>
          <w:tcPr>
            <w:tcW w:type="dxa" w:w="7143"/>
          </w:tcPr>
          <w:p>
            <w:pPr>
              <w:spacing w:after="20" w:before="20"/>
            </w:pPr>
            <w:r/>
            <w:r>
              <w:rPr>
                <w:sz w:val="18"/>
              </w:rPr>
              <w:t>Cut scope, not quality: drop the failing banks from the analysis, document why in D-01, and finish the comparator on what remains. The stretch is still dropped.</w:t>
            </w:r>
          </w:p>
        </w:tc>
      </w:tr>
    </w:tbl>
    <w:p>
      <w:pPr>
        <w:spacing w:after="80"/>
      </w:pPr>
    </w:p>
    <w:p>
      <w:r>
        <w:rPr>
          <w:b w:val="0"/>
          <w:i/>
        </w:rPr>
        <w:t>The value of deciding this in advance is that it removes the temptation to keep a half-built generator alive at the cost of the committed deliverable. The stakeholders asked for a coherent, complete piece of work on a limited scope — a broken demo attached to an incomplete comparator is worse than no demo.</w:t>
      </w:r>
    </w:p>
    <w:p>
      <w:pPr>
        <w:pStyle w:val="Heading1"/>
      </w:pPr>
      <w:r>
        <w:rPr>
          <w:b w:val="0"/>
          <w:i w:val="0"/>
        </w:rPr>
        <w:t>7. Dependencies and critical path</w:t>
      </w:r>
    </w:p>
    <w:p>
      <w:r>
        <w:rPr>
          <w:b w:val="0"/>
          <w:i w:val="0"/>
        </w:rPr>
        <w:t>The critical path is: scope → compliance clearance → collection → dataset → analysis → decks. Everything else can slip a day without hurting the delivery.</w:t>
      </w:r>
    </w:p>
    <w:tbl>
      <w:tblPr>
        <w:tblStyle w:val="TableGrid"/>
        <w:jc w:val="center"/>
        <w:tblLook w:firstColumn="1" w:firstRow="1" w:lastColumn="0" w:lastRow="0" w:noHBand="0" w:noVBand="1" w:val="04A0"/>
        <w:tblLayout w:type="fixed"/>
        <w:tblW w:w="9412" w:type="dxa"/>
      </w:tblPr>
      <w:tblGrid>
        <w:gridCol w:w="2268"/>
        <w:gridCol w:w="2381"/>
        <w:gridCol w:w="4762"/>
      </w:tblGrid>
      <w:tr>
        <w:tc>
          <w:tcPr>
            <w:tcW w:type="dxa" w:w="2268"/>
            <w:shd w:val="clear" w:color="auto" w:fill="FF6200"/>
          </w:tcPr>
          <w:p>
            <w:pPr>
              <w:spacing w:after="40" w:before="40"/>
            </w:pPr>
            <w:r/>
            <w:r>
              <w:rPr>
                <w:b/>
                <w:color w:val="FFFFFF"/>
                <w:sz w:val="19"/>
              </w:rPr>
              <w:t>Dependency</w:t>
            </w:r>
          </w:p>
        </w:tc>
        <w:tc>
          <w:tcPr>
            <w:tcW w:type="dxa" w:w="2381"/>
            <w:shd w:val="clear" w:color="auto" w:fill="FF6200"/>
          </w:tcPr>
          <w:p>
            <w:pPr>
              <w:spacing w:after="40" w:before="40"/>
            </w:pPr>
            <w:r/>
            <w:r>
              <w:rPr>
                <w:b/>
                <w:color w:val="FFFFFF"/>
                <w:sz w:val="19"/>
              </w:rPr>
              <w:t>Blocks</w:t>
            </w:r>
          </w:p>
        </w:tc>
        <w:tc>
          <w:tcPr>
            <w:tcW w:type="dxa" w:w="4762"/>
            <w:shd w:val="clear" w:color="auto" w:fill="FF6200"/>
          </w:tcPr>
          <w:p>
            <w:pPr>
              <w:spacing w:after="40" w:before="40"/>
            </w:pPr>
            <w:r/>
            <w:r>
              <w:rPr>
                <w:b/>
                <w:color w:val="FFFFFF"/>
                <w:sz w:val="19"/>
              </w:rPr>
              <w:t>How it is de-risked</w:t>
            </w:r>
          </w:p>
        </w:tc>
      </w:tr>
      <w:tr>
        <w:tc>
          <w:tcPr>
            <w:tcW w:type="dxa" w:w="2268"/>
          </w:tcPr>
          <w:p>
            <w:pPr>
              <w:spacing w:after="20" w:before="20"/>
            </w:pPr>
            <w:r/>
            <w:r>
              <w:rPr>
                <w:b/>
                <w:sz w:val="18"/>
              </w:rPr>
              <w:t>Compliance clearance per bank</w:t>
            </w:r>
          </w:p>
        </w:tc>
        <w:tc>
          <w:tcPr>
            <w:tcW w:type="dxa" w:w="2381"/>
          </w:tcPr>
          <w:p>
            <w:pPr>
              <w:spacing w:after="20" w:before="20"/>
            </w:pPr>
            <w:r/>
            <w:r>
              <w:rPr>
                <w:sz w:val="18"/>
              </w:rPr>
              <w:t>All collection for that bank</w:t>
            </w:r>
          </w:p>
        </w:tc>
        <w:tc>
          <w:tcPr>
            <w:tcW w:type="dxa" w:w="4762"/>
          </w:tcPr>
          <w:p>
            <w:pPr>
              <w:spacing w:after="20" w:before="20"/>
            </w:pPr>
            <w:r/>
            <w:r>
              <w:rPr>
                <w:sz w:val="18"/>
              </w:rPr>
              <w:t>Done on Day 1 for all eight domains at once, before any scraping effort is invested.</w:t>
            </w:r>
          </w:p>
        </w:tc>
      </w:tr>
      <w:tr>
        <w:tc>
          <w:tcPr>
            <w:tcW w:type="dxa" w:w="2268"/>
            <w:shd w:val="clear" w:color="auto" w:fill="FDF0E6"/>
          </w:tcPr>
          <w:p>
            <w:pPr>
              <w:spacing w:after="20" w:before="20"/>
            </w:pPr>
            <w:r/>
            <w:r>
              <w:rPr>
                <w:b/>
                <w:sz w:val="18"/>
              </w:rPr>
              <w:t>Frozen schema</w:t>
            </w:r>
          </w:p>
        </w:tc>
        <w:tc>
          <w:tcPr>
            <w:tcW w:type="dxa" w:w="2381"/>
            <w:shd w:val="clear" w:color="auto" w:fill="FDF0E6"/>
          </w:tcPr>
          <w:p>
            <w:pPr>
              <w:spacing w:after="20" w:before="20"/>
            </w:pPr>
            <w:r/>
            <w:r>
              <w:rPr>
                <w:sz w:val="18"/>
              </w:rPr>
              <w:t>Analysis and profile code</w:t>
            </w:r>
          </w:p>
        </w:tc>
        <w:tc>
          <w:tcPr>
            <w:tcW w:type="dxa" w:w="4762"/>
            <w:shd w:val="clear" w:color="auto" w:fill="FDF0E6"/>
          </w:tcPr>
          <w:p>
            <w:pPr>
              <w:spacing w:after="20" w:before="20"/>
            </w:pPr>
            <w:r/>
            <w:r>
              <w:rPr>
                <w:sz w:val="18"/>
              </w:rPr>
              <w:t>Frozen Day 2 with five hand-made sample rows, so analysis never waits for the scraper.</w:t>
            </w:r>
          </w:p>
        </w:tc>
      </w:tr>
      <w:tr>
        <w:tc>
          <w:tcPr>
            <w:tcW w:type="dxa" w:w="2268"/>
          </w:tcPr>
          <w:p>
            <w:pPr>
              <w:spacing w:after="20" w:before="20"/>
            </w:pPr>
            <w:r/>
            <w:r>
              <w:rPr>
                <w:b/>
                <w:sz w:val="18"/>
              </w:rPr>
              <w:t>Collection complete</w:t>
            </w:r>
          </w:p>
        </w:tc>
        <w:tc>
          <w:tcPr>
            <w:tcW w:type="dxa" w:w="2381"/>
          </w:tcPr>
          <w:p>
            <w:pPr>
              <w:spacing w:after="20" w:before="20"/>
            </w:pPr>
            <w:r/>
            <w:r>
              <w:rPr>
                <w:sz w:val="18"/>
              </w:rPr>
              <w:t>Dataset, therefore all analysis</w:t>
            </w:r>
          </w:p>
        </w:tc>
        <w:tc>
          <w:tcPr>
            <w:tcW w:type="dxa" w:w="4762"/>
          </w:tcPr>
          <w:p>
            <w:pPr>
              <w:spacing w:after="20" w:before="20"/>
            </w:pPr>
            <w:r/>
            <w:r>
              <w:rPr>
                <w:sz w:val="18"/>
              </w:rPr>
              <w:t>Thin slice first: one page per bank by Day 3, extra pages only after. A partial collection still yields a complete analysis.</w:t>
            </w:r>
          </w:p>
        </w:tc>
      </w:tr>
      <w:tr>
        <w:tc>
          <w:tcPr>
            <w:tcW w:type="dxa" w:w="2268"/>
            <w:shd w:val="clear" w:color="auto" w:fill="FDF0E6"/>
          </w:tcPr>
          <w:p>
            <w:pPr>
              <w:spacing w:after="20" w:before="20"/>
            </w:pPr>
            <w:r/>
            <w:r>
              <w:rPr>
                <w:b/>
                <w:sz w:val="18"/>
              </w:rPr>
              <w:t>Rubric v1</w:t>
            </w:r>
          </w:p>
        </w:tc>
        <w:tc>
          <w:tcPr>
            <w:tcW w:type="dxa" w:w="2381"/>
            <w:shd w:val="clear" w:color="auto" w:fill="FDF0E6"/>
          </w:tcPr>
          <w:p>
            <w:pPr>
              <w:spacing w:after="20" w:before="20"/>
            </w:pPr>
            <w:r/>
            <w:r>
              <w:rPr>
                <w:sz w:val="18"/>
              </w:rPr>
              <w:t>Rubric-scored features</w:t>
            </w:r>
          </w:p>
        </w:tc>
        <w:tc>
          <w:tcPr>
            <w:tcW w:type="dxa" w:w="4762"/>
            <w:shd w:val="clear" w:color="auto" w:fill="FDF0E6"/>
          </w:tcPr>
          <w:p>
            <w:pPr>
              <w:spacing w:after="20" w:before="20"/>
            </w:pPr>
            <w:r/>
            <w:r>
              <w:rPr>
                <w:sz w:val="18"/>
              </w:rPr>
              <w:t>Automatic features are extracted independently, so a late rubric delays part of the dataset, not all of it.</w:t>
            </w:r>
          </w:p>
        </w:tc>
      </w:tr>
      <w:tr>
        <w:tc>
          <w:tcPr>
            <w:tcW w:type="dxa" w:w="2268"/>
          </w:tcPr>
          <w:p>
            <w:pPr>
              <w:spacing w:after="20" w:before="20"/>
            </w:pPr>
            <w:r/>
            <w:r>
              <w:rPr>
                <w:b/>
                <w:sz w:val="18"/>
              </w:rPr>
              <w:t>Dataset v1</w:t>
            </w:r>
          </w:p>
        </w:tc>
        <w:tc>
          <w:tcPr>
            <w:tcW w:type="dxa" w:w="2381"/>
          </w:tcPr>
          <w:p>
            <w:pPr>
              <w:spacing w:after="20" w:before="20"/>
            </w:pPr>
            <w:r/>
            <w:r>
              <w:rPr>
                <w:sz w:val="18"/>
              </w:rPr>
              <w:t>Profiles, comparison, generation</w:t>
            </w:r>
          </w:p>
        </w:tc>
        <w:tc>
          <w:tcPr>
            <w:tcW w:type="dxa" w:w="4762"/>
          </w:tcPr>
          <w:p>
            <w:pPr>
              <w:spacing w:after="20" w:before="20"/>
            </w:pPr>
            <w:r/>
            <w:r>
              <w:rPr>
                <w:sz w:val="18"/>
              </w:rPr>
              <w:t>Milestone M4 on Day 5 leaves two days of buffer before the gate.</w:t>
            </w:r>
          </w:p>
        </w:tc>
      </w:tr>
      <w:tr>
        <w:tc>
          <w:tcPr>
            <w:tcW w:type="dxa" w:w="2268"/>
            <w:shd w:val="clear" w:color="auto" w:fill="FDF0E6"/>
          </w:tcPr>
          <w:p>
            <w:pPr>
              <w:spacing w:after="20" w:before="20"/>
            </w:pPr>
            <w:r/>
            <w:r>
              <w:rPr>
                <w:b/>
                <w:sz w:val="18"/>
              </w:rPr>
              <w:t>Gate outcome</w:t>
            </w:r>
          </w:p>
        </w:tc>
        <w:tc>
          <w:tcPr>
            <w:tcW w:type="dxa" w:w="2381"/>
            <w:shd w:val="clear" w:color="auto" w:fill="FDF0E6"/>
          </w:tcPr>
          <w:p>
            <w:pPr>
              <w:spacing w:after="20" w:before="20"/>
            </w:pPr>
            <w:r/>
            <w:r>
              <w:rPr>
                <w:sz w:val="18"/>
              </w:rPr>
              <w:t>Days 7–8 plan for two people</w:t>
            </w:r>
          </w:p>
        </w:tc>
        <w:tc>
          <w:tcPr>
            <w:tcW w:type="dxa" w:w="4762"/>
            <w:shd w:val="clear" w:color="auto" w:fill="FDF0E6"/>
          </w:tcPr>
          <w:p>
            <w:pPr>
              <w:spacing w:after="20" w:before="20"/>
            </w:pPr>
            <w:r/>
            <w:r>
              <w:rPr>
                <w:sz w:val="18"/>
              </w:rPr>
              <w:t>Both branches are pre-planned, so no replanning time is lost on Day 7.</w:t>
            </w:r>
          </w:p>
        </w:tc>
      </w:tr>
    </w:tbl>
    <w:p>
      <w:pPr>
        <w:spacing w:after="80"/>
      </w:pPr>
    </w:p>
    <w:p>
      <w:pPr>
        <w:pStyle w:val="Heading1"/>
      </w:pPr>
      <w:r>
        <w:rPr>
          <w:b w:val="0"/>
          <w:i w:val="0"/>
        </w:rPr>
        <w:t>8. Risks specific to this plan</w:t>
      </w:r>
    </w:p>
    <w:p>
      <w:r>
        <w:rPr>
          <w:b w:val="0"/>
          <w:i w:val="0"/>
        </w:rPr>
        <w:t>Project risks that come from the ten-day constraint and the team shape. Analytical risks are covered in PRD section 16.</w:t>
      </w:r>
    </w:p>
    <w:tbl>
      <w:tblPr>
        <w:tblStyle w:val="TableGrid"/>
        <w:jc w:val="center"/>
        <w:tblLook w:firstColumn="1" w:firstRow="1" w:lastColumn="0" w:lastRow="0" w:noHBand="0" w:noVBand="1" w:val="04A0"/>
        <w:tblLayout w:type="fixed"/>
        <w:tblW w:w="9412" w:type="dxa"/>
      </w:tblPr>
      <w:tblGrid>
        <w:gridCol w:w="680"/>
        <w:gridCol w:w="2381"/>
        <w:gridCol w:w="4989"/>
        <w:gridCol w:w="1360"/>
      </w:tblGrid>
      <w:tr>
        <w:tc>
          <w:tcPr>
            <w:tcW w:type="dxa" w:w="680"/>
            <w:shd w:val="clear" w:color="auto" w:fill="FF6200"/>
          </w:tcPr>
          <w:p>
            <w:pPr>
              <w:spacing w:after="40" w:before="40"/>
            </w:pPr>
            <w:r/>
            <w:r>
              <w:rPr>
                <w:b/>
                <w:color w:val="FFFFFF"/>
                <w:sz w:val="19"/>
              </w:rPr>
              <w:t>ID</w:t>
            </w:r>
          </w:p>
        </w:tc>
        <w:tc>
          <w:tcPr>
            <w:tcW w:type="dxa" w:w="2381"/>
            <w:shd w:val="clear" w:color="auto" w:fill="FF6200"/>
          </w:tcPr>
          <w:p>
            <w:pPr>
              <w:spacing w:after="40" w:before="40"/>
            </w:pPr>
            <w:r/>
            <w:r>
              <w:rPr>
                <w:b/>
                <w:color w:val="FFFFFF"/>
                <w:sz w:val="19"/>
              </w:rPr>
              <w:t>Risk</w:t>
            </w:r>
          </w:p>
        </w:tc>
        <w:tc>
          <w:tcPr>
            <w:tcW w:type="dxa" w:w="4989"/>
            <w:shd w:val="clear" w:color="auto" w:fill="FF6200"/>
          </w:tcPr>
          <w:p>
            <w:pPr>
              <w:spacing w:after="40" w:before="40"/>
            </w:pPr>
            <w:r/>
            <w:r>
              <w:rPr>
                <w:b/>
                <w:color w:val="FFFFFF"/>
                <w:sz w:val="19"/>
              </w:rPr>
              <w:t>Mitigation</w:t>
            </w:r>
          </w:p>
        </w:tc>
        <w:tc>
          <w:tcPr>
            <w:tcW w:type="dxa" w:w="1361"/>
            <w:shd w:val="clear" w:color="auto" w:fill="FF6200"/>
          </w:tcPr>
          <w:p>
            <w:pPr>
              <w:spacing w:after="40" w:before="40"/>
            </w:pPr>
            <w:r/>
            <w:r>
              <w:rPr>
                <w:b/>
                <w:color w:val="FFFFFF"/>
                <w:sz w:val="19"/>
              </w:rPr>
              <w:t>Owner</w:t>
            </w:r>
          </w:p>
        </w:tc>
      </w:tr>
      <w:tr>
        <w:tc>
          <w:tcPr>
            <w:tcW w:type="dxa" w:w="680"/>
          </w:tcPr>
          <w:p>
            <w:pPr>
              <w:spacing w:after="20" w:before="20"/>
            </w:pPr>
            <w:r/>
            <w:r>
              <w:rPr>
                <w:b/>
                <w:sz w:val="18"/>
              </w:rPr>
              <w:t>P-01</w:t>
            </w:r>
          </w:p>
        </w:tc>
        <w:tc>
          <w:tcPr>
            <w:tcW w:type="dxa" w:w="2381"/>
          </w:tcPr>
          <w:p>
            <w:pPr>
              <w:spacing w:after="20" w:before="20"/>
            </w:pPr>
            <w:r/>
            <w:r>
              <w:rPr>
                <w:sz w:val="18"/>
              </w:rPr>
              <w:t>A bank disallows collection, discovered late</w:t>
            </w:r>
          </w:p>
        </w:tc>
        <w:tc>
          <w:tcPr>
            <w:tcW w:type="dxa" w:w="4989"/>
          </w:tcPr>
          <w:p>
            <w:pPr>
              <w:spacing w:after="20" w:before="20"/>
            </w:pPr>
            <w:r/>
            <w:r>
              <w:rPr>
                <w:sz w:val="18"/>
              </w:rPr>
              <w:t>All robots.txt checked on Day 1, before any effort is invested in that bank.</w:t>
            </w:r>
          </w:p>
        </w:tc>
        <w:tc>
          <w:tcPr>
            <w:tcW w:type="dxa" w:w="1361"/>
          </w:tcPr>
          <w:p>
            <w:pPr>
              <w:spacing w:after="20" w:before="20"/>
            </w:pPr>
            <w:r/>
            <w:r>
              <w:rPr>
                <w:sz w:val="18"/>
              </w:rPr>
              <w:t>Dan</w:t>
            </w:r>
          </w:p>
        </w:tc>
      </w:tr>
      <w:tr>
        <w:tc>
          <w:tcPr>
            <w:tcW w:type="dxa" w:w="680"/>
            <w:shd w:val="clear" w:color="auto" w:fill="FDF0E6"/>
          </w:tcPr>
          <w:p>
            <w:pPr>
              <w:spacing w:after="20" w:before="20"/>
            </w:pPr>
            <w:r/>
            <w:r>
              <w:rPr>
                <w:b/>
                <w:sz w:val="18"/>
              </w:rPr>
              <w:t>P-02</w:t>
            </w:r>
          </w:p>
        </w:tc>
        <w:tc>
          <w:tcPr>
            <w:tcW w:type="dxa" w:w="2381"/>
            <w:shd w:val="clear" w:color="auto" w:fill="FDF0E6"/>
          </w:tcPr>
          <w:p>
            <w:pPr>
              <w:spacing w:after="20" w:before="20"/>
            </w:pPr>
            <w:r/>
            <w:r>
              <w:rPr>
                <w:sz w:val="18"/>
              </w:rPr>
              <w:t>Scraping consumes the whole first week</w:t>
            </w:r>
          </w:p>
        </w:tc>
        <w:tc>
          <w:tcPr>
            <w:tcW w:type="dxa" w:w="4989"/>
            <w:shd w:val="clear" w:color="auto" w:fill="FDF0E6"/>
          </w:tcPr>
          <w:p>
            <w:pPr>
              <w:spacing w:after="20" w:before="20"/>
            </w:pPr>
            <w:r/>
            <w:r>
              <w:rPr>
                <w:sz w:val="18"/>
              </w:rPr>
              <w:t>Timeboxed: one page per bank by Day 3. If a site resists, it is dropped, not fought.</w:t>
            </w:r>
          </w:p>
        </w:tc>
        <w:tc>
          <w:tcPr>
            <w:tcW w:type="dxa" w:w="1361"/>
            <w:shd w:val="clear" w:color="auto" w:fill="FDF0E6"/>
          </w:tcPr>
          <w:p>
            <w:pPr>
              <w:spacing w:after="20" w:before="20"/>
            </w:pPr>
            <w:r/>
            <w:r>
              <w:rPr>
                <w:sz w:val="18"/>
              </w:rPr>
              <w:t>Dan</w:t>
            </w:r>
          </w:p>
        </w:tc>
      </w:tr>
      <w:tr>
        <w:tc>
          <w:tcPr>
            <w:tcW w:type="dxa" w:w="680"/>
          </w:tcPr>
          <w:p>
            <w:pPr>
              <w:spacing w:after="20" w:before="20"/>
            </w:pPr>
            <w:r/>
            <w:r>
              <w:rPr>
                <w:b/>
                <w:sz w:val="18"/>
              </w:rPr>
              <w:t>P-03</w:t>
            </w:r>
          </w:p>
        </w:tc>
        <w:tc>
          <w:tcPr>
            <w:tcW w:type="dxa" w:w="2381"/>
          </w:tcPr>
          <w:p>
            <w:pPr>
              <w:spacing w:after="20" w:before="20"/>
            </w:pPr>
            <w:r/>
            <w:r>
              <w:rPr>
                <w:sz w:val="18"/>
              </w:rPr>
              <w:t>The stretch goal quietly eats the committed work</w:t>
            </w:r>
          </w:p>
        </w:tc>
        <w:tc>
          <w:tcPr>
            <w:tcW w:type="dxa" w:w="4989"/>
          </w:tcPr>
          <w:p>
            <w:pPr>
              <w:spacing w:after="20" w:before="20"/>
            </w:pPr>
            <w:r/>
            <w:r>
              <w:rPr>
                <w:sz w:val="18"/>
              </w:rPr>
              <w:t>The Day 6 gate, decided by the whole team, and the stretch owner is the person whose committed work finishes first.</w:t>
            </w:r>
          </w:p>
        </w:tc>
        <w:tc>
          <w:tcPr>
            <w:tcW w:type="dxa" w:w="1361"/>
          </w:tcPr>
          <w:p>
            <w:pPr>
              <w:spacing w:after="20" w:before="20"/>
            </w:pPr>
            <w:r/>
            <w:r>
              <w:rPr>
                <w:sz w:val="18"/>
              </w:rPr>
              <w:t>Siegried</w:t>
            </w:r>
          </w:p>
        </w:tc>
      </w:tr>
      <w:tr>
        <w:tc>
          <w:tcPr>
            <w:tcW w:type="dxa" w:w="680"/>
            <w:shd w:val="clear" w:color="auto" w:fill="FDF0E6"/>
          </w:tcPr>
          <w:p>
            <w:pPr>
              <w:spacing w:after="20" w:before="20"/>
            </w:pPr>
            <w:r/>
            <w:r>
              <w:rPr>
                <w:b/>
                <w:sz w:val="18"/>
              </w:rPr>
              <w:t>P-04</w:t>
            </w:r>
          </w:p>
        </w:tc>
        <w:tc>
          <w:tcPr>
            <w:tcW w:type="dxa" w:w="2381"/>
            <w:shd w:val="clear" w:color="auto" w:fill="FDF0E6"/>
          </w:tcPr>
          <w:p>
            <w:pPr>
              <w:spacing w:after="20" w:before="20"/>
            </w:pPr>
            <w:r/>
            <w:r>
              <w:rPr>
                <w:sz w:val="18"/>
              </w:rPr>
              <w:t>Schema churn forces analysis to be rewritten</w:t>
            </w:r>
          </w:p>
        </w:tc>
        <w:tc>
          <w:tcPr>
            <w:tcW w:type="dxa" w:w="4989"/>
            <w:shd w:val="clear" w:color="auto" w:fill="FDF0E6"/>
          </w:tcPr>
          <w:p>
            <w:pPr>
              <w:spacing w:after="20" w:before="20"/>
            </w:pPr>
            <w:r/>
            <w:r>
              <w:rPr>
                <w:sz w:val="18"/>
              </w:rPr>
              <w:t>Schema frozen Day 2; additions allowed, renames and removals only by unanimous agreement.</w:t>
            </w:r>
          </w:p>
        </w:tc>
        <w:tc>
          <w:tcPr>
            <w:tcW w:type="dxa" w:w="1361"/>
            <w:shd w:val="clear" w:color="auto" w:fill="FDF0E6"/>
          </w:tcPr>
          <w:p>
            <w:pPr>
              <w:spacing w:after="20" w:before="20"/>
            </w:pPr>
            <w:r/>
            <w:r>
              <w:rPr>
                <w:sz w:val="18"/>
              </w:rPr>
              <w:t>Stephane</w:t>
            </w:r>
          </w:p>
        </w:tc>
      </w:tr>
      <w:tr>
        <w:tc>
          <w:tcPr>
            <w:tcW w:type="dxa" w:w="680"/>
          </w:tcPr>
          <w:p>
            <w:pPr>
              <w:spacing w:after="20" w:before="20"/>
            </w:pPr>
            <w:r/>
            <w:r>
              <w:rPr>
                <w:b/>
                <w:sz w:val="18"/>
              </w:rPr>
              <w:t>P-05</w:t>
            </w:r>
          </w:p>
        </w:tc>
        <w:tc>
          <w:tcPr>
            <w:tcW w:type="dxa" w:w="2381"/>
          </w:tcPr>
          <w:p>
            <w:pPr>
              <w:spacing w:after="20" w:before="20"/>
            </w:pPr>
            <w:r/>
            <w:r>
              <w:rPr>
                <w:sz w:val="18"/>
              </w:rPr>
              <w:t>Rubric scoring turns into three different opinions</w:t>
            </w:r>
          </w:p>
        </w:tc>
        <w:tc>
          <w:tcPr>
            <w:tcW w:type="dxa" w:w="4989"/>
          </w:tcPr>
          <w:p>
            <w:pPr>
              <w:spacing w:after="20" w:before="20"/>
            </w:pPr>
            <w:r/>
            <w:r>
              <w:rPr>
                <w:sz w:val="18"/>
              </w:rPr>
              <w:t>Joint scoring session on Day 5; disagreement measured and reported rather than hidden.</w:t>
            </w:r>
          </w:p>
        </w:tc>
        <w:tc>
          <w:tcPr>
            <w:tcW w:type="dxa" w:w="1361"/>
          </w:tcPr>
          <w:p>
            <w:pPr>
              <w:spacing w:after="20" w:before="20"/>
            </w:pPr>
            <w:r/>
            <w:r>
              <w:rPr>
                <w:sz w:val="18"/>
              </w:rPr>
              <w:t>Siegried</w:t>
            </w:r>
          </w:p>
        </w:tc>
      </w:tr>
      <w:tr>
        <w:tc>
          <w:tcPr>
            <w:tcW w:type="dxa" w:w="680"/>
            <w:shd w:val="clear" w:color="auto" w:fill="FDF0E6"/>
          </w:tcPr>
          <w:p>
            <w:pPr>
              <w:spacing w:after="20" w:before="20"/>
            </w:pPr>
            <w:r/>
            <w:r>
              <w:rPr>
                <w:b/>
                <w:sz w:val="18"/>
              </w:rPr>
              <w:t>P-06</w:t>
            </w:r>
          </w:p>
        </w:tc>
        <w:tc>
          <w:tcPr>
            <w:tcW w:type="dxa" w:w="2381"/>
            <w:shd w:val="clear" w:color="auto" w:fill="FDF0E6"/>
          </w:tcPr>
          <w:p>
            <w:pPr>
              <w:spacing w:after="20" w:before="20"/>
            </w:pPr>
            <w:r/>
            <w:r>
              <w:rPr>
                <w:sz w:val="18"/>
              </w:rPr>
              <w:t>Single points of failure — one person ill for two days</w:t>
            </w:r>
          </w:p>
        </w:tc>
        <w:tc>
          <w:tcPr>
            <w:tcW w:type="dxa" w:w="4989"/>
            <w:shd w:val="clear" w:color="auto" w:fill="FDF0E6"/>
          </w:tcPr>
          <w:p>
            <w:pPr>
              <w:spacing w:after="20" w:before="20"/>
            </w:pPr>
            <w:r/>
            <w:r>
              <w:rPr>
                <w:sz w:val="18"/>
              </w:rPr>
              <w:t>Daily merges to main, a README kept current, and a written decision log mean any workstream can be picked up by another member.</w:t>
            </w:r>
          </w:p>
        </w:tc>
        <w:tc>
          <w:tcPr>
            <w:tcW w:type="dxa" w:w="1361"/>
            <w:shd w:val="clear" w:color="auto" w:fill="FDF0E6"/>
          </w:tcPr>
          <w:p>
            <w:pPr>
              <w:spacing w:after="20" w:before="20"/>
            </w:pPr>
            <w:r/>
            <w:r>
              <w:rPr>
                <w:sz w:val="18"/>
              </w:rPr>
              <w:t>Siegried</w:t>
            </w:r>
          </w:p>
        </w:tc>
      </w:tr>
      <w:tr>
        <w:tc>
          <w:tcPr>
            <w:tcW w:type="dxa" w:w="680"/>
          </w:tcPr>
          <w:p>
            <w:pPr>
              <w:spacing w:after="20" w:before="20"/>
            </w:pPr>
            <w:r/>
            <w:r>
              <w:rPr>
                <w:b/>
                <w:sz w:val="18"/>
              </w:rPr>
              <w:t>P-07</w:t>
            </w:r>
          </w:p>
        </w:tc>
        <w:tc>
          <w:tcPr>
            <w:tcW w:type="dxa" w:w="2381"/>
          </w:tcPr>
          <w:p>
            <w:pPr>
              <w:spacing w:after="20" w:before="20"/>
            </w:pPr>
            <w:r/>
            <w:r>
              <w:rPr>
                <w:sz w:val="18"/>
              </w:rPr>
              <w:t>Both decks left to the last two days</w:t>
            </w:r>
          </w:p>
        </w:tc>
        <w:tc>
          <w:tcPr>
            <w:tcW w:type="dxa" w:w="4989"/>
          </w:tcPr>
          <w:p>
            <w:pPr>
              <w:spacing w:after="20" w:before="20"/>
            </w:pPr>
            <w:r/>
            <w:r>
              <w:rPr>
                <w:sz w:val="18"/>
              </w:rPr>
              <w:t>Deck skeletons created on Day 3 and filled as results arrive, not written at the end.</w:t>
            </w:r>
          </w:p>
        </w:tc>
        <w:tc>
          <w:tcPr>
            <w:tcW w:type="dxa" w:w="1361"/>
          </w:tcPr>
          <w:p>
            <w:pPr>
              <w:spacing w:after="20" w:before="20"/>
            </w:pPr>
            <w:r/>
            <w:r>
              <w:rPr>
                <w:sz w:val="18"/>
              </w:rPr>
              <w:t>Siegried</w:t>
            </w:r>
          </w:p>
        </w:tc>
      </w:tr>
      <w:tr>
        <w:tc>
          <w:tcPr>
            <w:tcW w:type="dxa" w:w="680"/>
            <w:shd w:val="clear" w:color="auto" w:fill="FDF0E6"/>
          </w:tcPr>
          <w:p>
            <w:pPr>
              <w:spacing w:after="20" w:before="20"/>
            </w:pPr>
            <w:r/>
            <w:r>
              <w:rPr>
                <w:b/>
                <w:sz w:val="18"/>
              </w:rPr>
              <w:t>P-08</w:t>
            </w:r>
          </w:p>
        </w:tc>
        <w:tc>
          <w:tcPr>
            <w:tcW w:type="dxa" w:w="2381"/>
            <w:shd w:val="clear" w:color="auto" w:fill="FDF0E6"/>
          </w:tcPr>
          <w:p>
            <w:pPr>
              <w:spacing w:after="20" w:before="20"/>
            </w:pPr>
            <w:r/>
            <w:r>
              <w:rPr>
                <w:sz w:val="18"/>
              </w:rPr>
              <w:t>The generated campaign looks impressive and gets over-claimed</w:t>
            </w:r>
          </w:p>
        </w:tc>
        <w:tc>
          <w:tcPr>
            <w:tcW w:type="dxa" w:w="4989"/>
            <w:shd w:val="clear" w:color="auto" w:fill="FDF0E6"/>
          </w:tcPr>
          <w:p>
            <w:pPr>
              <w:spacing w:after="20" w:before="20"/>
            </w:pPr>
            <w:r/>
            <w:r>
              <w:rPr>
                <w:sz w:val="18"/>
              </w:rPr>
              <w:t>It is always presented next to its feature scorecard and labelled synthetic; no claim about real-world performance is made.</w:t>
            </w:r>
          </w:p>
        </w:tc>
        <w:tc>
          <w:tcPr>
            <w:tcW w:type="dxa" w:w="1361"/>
            <w:shd w:val="clear" w:color="auto" w:fill="FDF0E6"/>
          </w:tcPr>
          <w:p>
            <w:pPr>
              <w:spacing w:after="20" w:before="20"/>
            </w:pPr>
            <w:r/>
            <w:r>
              <w:rPr>
                <w:sz w:val="18"/>
              </w:rPr>
              <w:t>Stephane</w:t>
            </w:r>
          </w:p>
        </w:tc>
      </w:tr>
    </w:tbl>
    <w:p>
      <w:pPr>
        <w:spacing w:after="80"/>
      </w:pPr>
    </w:p>
    <w:p>
      <w:pPr>
        <w:pStyle w:val="Heading1"/>
      </w:pPr>
      <w:r>
        <w:rPr>
          <w:b w:val="0"/>
          <w:i w:val="0"/>
        </w:rPr>
        <w:t>9. Decisions needed in the first two days</w:t>
      </w:r>
    </w:p>
    <w:tbl>
      <w:tblPr>
        <w:tblStyle w:val="TableGrid"/>
        <w:jc w:val="center"/>
        <w:tblLook w:firstColumn="1" w:firstRow="1" w:lastColumn="0" w:lastRow="0" w:noHBand="0" w:noVBand="1" w:val="04A0"/>
        <w:tblLayout w:type="fixed"/>
        <w:tblW w:w="9412" w:type="dxa"/>
      </w:tblPr>
      <w:tblGrid>
        <w:gridCol w:w="510"/>
        <w:gridCol w:w="2835"/>
        <w:gridCol w:w="1077"/>
        <w:gridCol w:w="1474"/>
        <w:gridCol w:w="3515"/>
      </w:tblGrid>
      <w:tr>
        <w:tc>
          <w:tcPr>
            <w:tcW w:type="dxa" w:w="510"/>
            <w:shd w:val="clear" w:color="auto" w:fill="FF6200"/>
          </w:tcPr>
          <w:p>
            <w:pPr>
              <w:spacing w:after="40" w:before="40"/>
            </w:pPr>
            <w:r/>
            <w:r>
              <w:rPr>
                <w:b/>
                <w:color w:val="FFFFFF"/>
                <w:sz w:val="19"/>
              </w:rPr>
              <w:t>#</w:t>
            </w:r>
          </w:p>
        </w:tc>
        <w:tc>
          <w:tcPr>
            <w:tcW w:type="dxa" w:w="2835"/>
            <w:shd w:val="clear" w:color="auto" w:fill="FF6200"/>
          </w:tcPr>
          <w:p>
            <w:pPr>
              <w:spacing w:after="40" w:before="40"/>
            </w:pPr>
            <w:r/>
            <w:r>
              <w:rPr>
                <w:b/>
                <w:color w:val="FFFFFF"/>
                <w:sz w:val="19"/>
              </w:rPr>
              <w:t>Decision</w:t>
            </w:r>
          </w:p>
        </w:tc>
        <w:tc>
          <w:tcPr>
            <w:tcW w:type="dxa" w:w="1077"/>
            <w:shd w:val="clear" w:color="auto" w:fill="FF6200"/>
          </w:tcPr>
          <w:p>
            <w:pPr>
              <w:spacing w:after="40" w:before="40"/>
            </w:pPr>
            <w:r/>
            <w:r>
              <w:rPr>
                <w:b/>
                <w:color w:val="FFFFFF"/>
                <w:sz w:val="19"/>
              </w:rPr>
              <w:t>Needed by</w:t>
            </w:r>
          </w:p>
        </w:tc>
        <w:tc>
          <w:tcPr>
            <w:tcW w:type="dxa" w:w="1474"/>
            <w:shd w:val="clear" w:color="auto" w:fill="FF6200"/>
          </w:tcPr>
          <w:p>
            <w:pPr>
              <w:spacing w:after="40" w:before="40"/>
            </w:pPr>
            <w:r/>
            <w:r>
              <w:rPr>
                <w:b/>
                <w:color w:val="FFFFFF"/>
                <w:sz w:val="19"/>
              </w:rPr>
              <w:t>Owner</w:t>
            </w:r>
          </w:p>
        </w:tc>
        <w:tc>
          <w:tcPr>
            <w:tcW w:type="dxa" w:w="3515"/>
            <w:shd w:val="clear" w:color="auto" w:fill="FF6200"/>
          </w:tcPr>
          <w:p>
            <w:pPr>
              <w:spacing w:after="40" w:before="40"/>
            </w:pPr>
            <w:r/>
            <w:r>
              <w:rPr>
                <w:b/>
                <w:color w:val="FFFFFF"/>
                <w:sz w:val="19"/>
              </w:rPr>
              <w:t>Default if unresolved</w:t>
            </w:r>
          </w:p>
        </w:tc>
      </w:tr>
      <w:tr>
        <w:tc>
          <w:tcPr>
            <w:tcW w:type="dxa" w:w="510"/>
          </w:tcPr>
          <w:p>
            <w:pPr>
              <w:spacing w:after="20" w:before="20"/>
            </w:pPr>
            <w:r/>
            <w:r>
              <w:rPr>
                <w:b/>
                <w:sz w:val="18"/>
              </w:rPr>
              <w:t>1</w:t>
            </w:r>
          </w:p>
        </w:tc>
        <w:tc>
          <w:tcPr>
            <w:tcW w:type="dxa" w:w="2835"/>
          </w:tcPr>
          <w:p>
            <w:pPr>
              <w:spacing w:after="20" w:before="20"/>
            </w:pPr>
            <w:r/>
            <w:r>
              <w:rPr>
                <w:sz w:val="18"/>
              </w:rPr>
              <w:t>Which product family anchors the comparison</w:t>
            </w:r>
          </w:p>
        </w:tc>
        <w:tc>
          <w:tcPr>
            <w:tcW w:type="dxa" w:w="1077"/>
          </w:tcPr>
          <w:p>
            <w:pPr>
              <w:spacing w:after="20" w:before="20"/>
            </w:pPr>
            <w:r/>
            <w:r>
              <w:rPr>
                <w:sz w:val="18"/>
              </w:rPr>
              <w:t>Day 1</w:t>
            </w:r>
          </w:p>
        </w:tc>
        <w:tc>
          <w:tcPr>
            <w:tcW w:type="dxa" w:w="1474"/>
          </w:tcPr>
          <w:p>
            <w:pPr>
              <w:spacing w:after="20" w:before="20"/>
            </w:pPr>
            <w:r/>
            <w:r>
              <w:rPr>
                <w:sz w:val="18"/>
              </w:rPr>
              <w:t>Siegried</w:t>
            </w:r>
          </w:p>
        </w:tc>
        <w:tc>
          <w:tcPr>
            <w:tcW w:type="dxa" w:w="3515"/>
          </w:tcPr>
          <w:p>
            <w:pPr>
              <w:spacing w:after="20" w:before="20"/>
            </w:pPr>
            <w:r/>
            <w:r>
              <w:rPr>
                <w:sz w:val="18"/>
              </w:rPr>
              <w:t>Term accounts — every bank runs one in September.</w:t>
            </w:r>
          </w:p>
        </w:tc>
      </w:tr>
      <w:tr>
        <w:tc>
          <w:tcPr>
            <w:tcW w:type="dxa" w:w="510"/>
            <w:shd w:val="clear" w:color="auto" w:fill="FDF0E6"/>
          </w:tcPr>
          <w:p>
            <w:pPr>
              <w:spacing w:after="20" w:before="20"/>
            </w:pPr>
            <w:r/>
            <w:r>
              <w:rPr>
                <w:b/>
                <w:sz w:val="18"/>
              </w:rPr>
              <w:t>2</w:t>
            </w:r>
          </w:p>
        </w:tc>
        <w:tc>
          <w:tcPr>
            <w:tcW w:type="dxa" w:w="2835"/>
            <w:shd w:val="clear" w:color="auto" w:fill="FDF0E6"/>
          </w:tcPr>
          <w:p>
            <w:pPr>
              <w:spacing w:after="20" w:before="20"/>
            </w:pPr>
            <w:r/>
            <w:r>
              <w:rPr>
                <w:sz w:val="18"/>
              </w:rPr>
              <w:t>Which language is the reference</w:t>
            </w:r>
          </w:p>
        </w:tc>
        <w:tc>
          <w:tcPr>
            <w:tcW w:type="dxa" w:w="1077"/>
            <w:shd w:val="clear" w:color="auto" w:fill="FDF0E6"/>
          </w:tcPr>
          <w:p>
            <w:pPr>
              <w:spacing w:after="20" w:before="20"/>
            </w:pPr>
            <w:r/>
            <w:r>
              <w:rPr>
                <w:sz w:val="18"/>
              </w:rPr>
              <w:t>Day 1</w:t>
            </w:r>
          </w:p>
        </w:tc>
        <w:tc>
          <w:tcPr>
            <w:tcW w:type="dxa" w:w="1474"/>
            <w:shd w:val="clear" w:color="auto" w:fill="FDF0E6"/>
          </w:tcPr>
          <w:p>
            <w:pPr>
              <w:spacing w:after="20" w:before="20"/>
            </w:pPr>
            <w:r/>
            <w:r>
              <w:rPr>
                <w:sz w:val="18"/>
              </w:rPr>
              <w:t>Siegried</w:t>
            </w:r>
          </w:p>
        </w:tc>
        <w:tc>
          <w:tcPr>
            <w:tcW w:type="dxa" w:w="3515"/>
            <w:shd w:val="clear" w:color="auto" w:fill="FDF0E6"/>
          </w:tcPr>
          <w:p>
            <w:pPr>
              <w:spacing w:after="20" w:before="20"/>
            </w:pPr>
            <w:r/>
            <w:r>
              <w:rPr>
                <w:sz w:val="18"/>
              </w:rPr>
              <w:t>One language used for all banks; the choice is recorded.</w:t>
            </w:r>
          </w:p>
        </w:tc>
      </w:tr>
      <w:tr>
        <w:tc>
          <w:tcPr>
            <w:tcW w:type="dxa" w:w="510"/>
          </w:tcPr>
          <w:p>
            <w:pPr>
              <w:spacing w:after="20" w:before="20"/>
            </w:pPr>
            <w:r/>
            <w:r>
              <w:rPr>
                <w:b/>
                <w:sz w:val="18"/>
              </w:rPr>
              <w:t>3</w:t>
            </w:r>
          </w:p>
        </w:tc>
        <w:tc>
          <w:tcPr>
            <w:tcW w:type="dxa" w:w="2835"/>
          </w:tcPr>
          <w:p>
            <w:pPr>
              <w:spacing w:after="20" w:before="20"/>
            </w:pPr>
            <w:r/>
            <w:r>
              <w:rPr>
                <w:sz w:val="18"/>
              </w:rPr>
              <w:t>How many banks in the thin slice</w:t>
            </w:r>
          </w:p>
        </w:tc>
        <w:tc>
          <w:tcPr>
            <w:tcW w:type="dxa" w:w="1077"/>
          </w:tcPr>
          <w:p>
            <w:pPr>
              <w:spacing w:after="20" w:before="20"/>
            </w:pPr>
            <w:r/>
            <w:r>
              <w:rPr>
                <w:sz w:val="18"/>
              </w:rPr>
              <w:t>Day 1</w:t>
            </w:r>
          </w:p>
        </w:tc>
        <w:tc>
          <w:tcPr>
            <w:tcW w:type="dxa" w:w="1474"/>
          </w:tcPr>
          <w:p>
            <w:pPr>
              <w:spacing w:after="20" w:before="20"/>
            </w:pPr>
            <w:r/>
            <w:r>
              <w:rPr>
                <w:sz w:val="18"/>
              </w:rPr>
              <w:t>All</w:t>
            </w:r>
          </w:p>
        </w:tc>
        <w:tc>
          <w:tcPr>
            <w:tcW w:type="dxa" w:w="3515"/>
          </w:tcPr>
          <w:p>
            <w:pPr>
              <w:spacing w:after="20" w:before="20"/>
            </w:pPr>
            <w:r/>
            <w:r>
              <w:rPr>
                <w:sz w:val="18"/>
              </w:rPr>
              <w:t>Four: ING, two traditional peers, one neobank — the minimum that answers the traditional-vs-challenger question.</w:t>
            </w:r>
          </w:p>
        </w:tc>
      </w:tr>
      <w:tr>
        <w:tc>
          <w:tcPr>
            <w:tcW w:type="dxa" w:w="510"/>
            <w:shd w:val="clear" w:color="auto" w:fill="FDF0E6"/>
          </w:tcPr>
          <w:p>
            <w:pPr>
              <w:spacing w:after="20" w:before="20"/>
            </w:pPr>
            <w:r/>
            <w:r>
              <w:rPr>
                <w:b/>
                <w:sz w:val="18"/>
              </w:rPr>
              <w:t>4</w:t>
            </w:r>
          </w:p>
        </w:tc>
        <w:tc>
          <w:tcPr>
            <w:tcW w:type="dxa" w:w="2835"/>
            <w:shd w:val="clear" w:color="auto" w:fill="FDF0E6"/>
          </w:tcPr>
          <w:p>
            <w:pPr>
              <w:spacing w:after="20" w:before="20"/>
            </w:pPr>
            <w:r/>
            <w:r>
              <w:rPr>
                <w:sz w:val="18"/>
              </w:rPr>
              <w:t>Is Belfius in scope</w:t>
            </w:r>
          </w:p>
        </w:tc>
        <w:tc>
          <w:tcPr>
            <w:tcW w:type="dxa" w:w="1077"/>
            <w:shd w:val="clear" w:color="auto" w:fill="FDF0E6"/>
          </w:tcPr>
          <w:p>
            <w:pPr>
              <w:spacing w:after="20" w:before="20"/>
            </w:pPr>
            <w:r/>
            <w:r>
              <w:rPr>
                <w:sz w:val="18"/>
              </w:rPr>
              <w:t>Day 1</w:t>
            </w:r>
          </w:p>
        </w:tc>
        <w:tc>
          <w:tcPr>
            <w:tcW w:type="dxa" w:w="1474"/>
            <w:shd w:val="clear" w:color="auto" w:fill="FDF0E6"/>
          </w:tcPr>
          <w:p>
            <w:pPr>
              <w:spacing w:after="20" w:before="20"/>
            </w:pPr>
            <w:r/>
            <w:r>
              <w:rPr>
                <w:sz w:val="18"/>
              </w:rPr>
              <w:t>Siegried</w:t>
            </w:r>
          </w:p>
        </w:tc>
        <w:tc>
          <w:tcPr>
            <w:tcW w:type="dxa" w:w="3515"/>
            <w:shd w:val="clear" w:color="auto" w:fill="FDF0E6"/>
          </w:tcPr>
          <w:p>
            <w:pPr>
              <w:spacing w:after="20" w:before="20"/>
            </w:pPr>
            <w:r/>
            <w:r>
              <w:rPr>
                <w:sz w:val="18"/>
              </w:rPr>
              <w:t>Optional; included only if collection is straightforward.</w:t>
            </w:r>
          </w:p>
        </w:tc>
      </w:tr>
      <w:tr>
        <w:tc>
          <w:tcPr>
            <w:tcW w:type="dxa" w:w="510"/>
          </w:tcPr>
          <w:p>
            <w:pPr>
              <w:spacing w:after="20" w:before="20"/>
            </w:pPr>
            <w:r/>
            <w:r>
              <w:rPr>
                <w:b/>
                <w:sz w:val="18"/>
              </w:rPr>
              <w:t>5</w:t>
            </w:r>
          </w:p>
        </w:tc>
        <w:tc>
          <w:tcPr>
            <w:tcW w:type="dxa" w:w="2835"/>
          </w:tcPr>
          <w:p>
            <w:pPr>
              <w:spacing w:after="20" w:before="20"/>
            </w:pPr>
            <w:r/>
            <w:r>
              <w:rPr>
                <w:sz w:val="18"/>
              </w:rPr>
              <w:t>Dataset schema and file format</w:t>
            </w:r>
          </w:p>
        </w:tc>
        <w:tc>
          <w:tcPr>
            <w:tcW w:type="dxa" w:w="1077"/>
          </w:tcPr>
          <w:p>
            <w:pPr>
              <w:spacing w:after="20" w:before="20"/>
            </w:pPr>
            <w:r/>
            <w:r>
              <w:rPr>
                <w:sz w:val="18"/>
              </w:rPr>
              <w:t>Day 2</w:t>
            </w:r>
          </w:p>
        </w:tc>
        <w:tc>
          <w:tcPr>
            <w:tcW w:type="dxa" w:w="1474"/>
          </w:tcPr>
          <w:p>
            <w:pPr>
              <w:spacing w:after="20" w:before="20"/>
            </w:pPr>
            <w:r/>
            <w:r>
              <w:rPr>
                <w:sz w:val="18"/>
              </w:rPr>
              <w:t>Dan + Stephane</w:t>
            </w:r>
          </w:p>
        </w:tc>
        <w:tc>
          <w:tcPr>
            <w:tcW w:type="dxa" w:w="3515"/>
          </w:tcPr>
          <w:p>
            <w:pPr>
              <w:spacing w:after="20" w:before="20"/>
            </w:pPr>
            <w:r/>
            <w:r>
              <w:rPr>
                <w:sz w:val="18"/>
              </w:rPr>
              <w:t>One CSV, one row per page, provenance columns first.</w:t>
            </w:r>
          </w:p>
        </w:tc>
      </w:tr>
      <w:tr>
        <w:tc>
          <w:tcPr>
            <w:tcW w:type="dxa" w:w="510"/>
            <w:shd w:val="clear" w:color="auto" w:fill="FDF0E6"/>
          </w:tcPr>
          <w:p>
            <w:pPr>
              <w:spacing w:after="20" w:before="20"/>
            </w:pPr>
            <w:r/>
            <w:r>
              <w:rPr>
                <w:b/>
                <w:sz w:val="18"/>
              </w:rPr>
              <w:t>6</w:t>
            </w:r>
          </w:p>
        </w:tc>
        <w:tc>
          <w:tcPr>
            <w:tcW w:type="dxa" w:w="2835"/>
            <w:shd w:val="clear" w:color="auto" w:fill="FDF0E6"/>
          </w:tcPr>
          <w:p>
            <w:pPr>
              <w:spacing w:after="20" w:before="20"/>
            </w:pPr>
            <w:r/>
            <w:r>
              <w:rPr>
                <w:sz w:val="18"/>
              </w:rPr>
              <w:t>Which LLM for model-assisted features and generation</w:t>
            </w:r>
          </w:p>
        </w:tc>
        <w:tc>
          <w:tcPr>
            <w:tcW w:type="dxa" w:w="1077"/>
            <w:shd w:val="clear" w:color="auto" w:fill="FDF0E6"/>
          </w:tcPr>
          <w:p>
            <w:pPr>
              <w:spacing w:after="20" w:before="20"/>
            </w:pPr>
            <w:r/>
            <w:r>
              <w:rPr>
                <w:sz w:val="18"/>
              </w:rPr>
              <w:t>Day 2</w:t>
            </w:r>
          </w:p>
        </w:tc>
        <w:tc>
          <w:tcPr>
            <w:tcW w:type="dxa" w:w="1474"/>
            <w:shd w:val="clear" w:color="auto" w:fill="FDF0E6"/>
          </w:tcPr>
          <w:p>
            <w:pPr>
              <w:spacing w:after="20" w:before="20"/>
            </w:pPr>
            <w:r/>
            <w:r>
              <w:rPr>
                <w:sz w:val="18"/>
              </w:rPr>
              <w:t>Stephane</w:t>
            </w:r>
          </w:p>
        </w:tc>
        <w:tc>
          <w:tcPr>
            <w:tcW w:type="dxa" w:w="3515"/>
            <w:shd w:val="clear" w:color="auto" w:fill="FDF0E6"/>
          </w:tcPr>
          <w:p>
            <w:pPr>
              <w:spacing w:after="20" w:before="20"/>
            </w:pPr>
            <w:r/>
            <w:r>
              <w:rPr>
                <w:sz w:val="18"/>
              </w:rPr>
              <w:t>One model, version recorded, prompts stored in the repository.</w:t>
            </w:r>
          </w:p>
        </w:tc>
      </w:tr>
      <w:tr>
        <w:tc>
          <w:tcPr>
            <w:tcW w:type="dxa" w:w="510"/>
          </w:tcPr>
          <w:p>
            <w:pPr>
              <w:spacing w:after="20" w:before="20"/>
            </w:pPr>
            <w:r/>
            <w:r>
              <w:rPr>
                <w:b/>
                <w:sz w:val="18"/>
              </w:rPr>
              <w:t>7</w:t>
            </w:r>
          </w:p>
        </w:tc>
        <w:tc>
          <w:tcPr>
            <w:tcW w:type="dxa" w:w="2835"/>
          </w:tcPr>
          <w:p>
            <w:pPr>
              <w:spacing w:after="20" w:before="20"/>
            </w:pPr>
            <w:r/>
            <w:r>
              <w:rPr>
                <w:sz w:val="18"/>
              </w:rPr>
              <w:t>Repository visibility — public or internal</w:t>
            </w:r>
          </w:p>
        </w:tc>
        <w:tc>
          <w:tcPr>
            <w:tcW w:type="dxa" w:w="1077"/>
          </w:tcPr>
          <w:p>
            <w:pPr>
              <w:spacing w:after="20" w:before="20"/>
            </w:pPr>
            <w:r/>
            <w:r>
              <w:rPr>
                <w:sz w:val="18"/>
              </w:rPr>
              <w:t>Day 2</w:t>
            </w:r>
          </w:p>
        </w:tc>
        <w:tc>
          <w:tcPr>
            <w:tcW w:type="dxa" w:w="1474"/>
          </w:tcPr>
          <w:p>
            <w:pPr>
              <w:spacing w:after="20" w:before="20"/>
            </w:pPr>
            <w:r/>
            <w:r>
              <w:rPr>
                <w:sz w:val="18"/>
              </w:rPr>
              <w:t>Siegried</w:t>
            </w:r>
          </w:p>
        </w:tc>
        <w:tc>
          <w:tcPr>
            <w:tcW w:type="dxa" w:w="3515"/>
          </w:tcPr>
          <w:p>
            <w:pPr>
              <w:spacing w:after="20" w:before="20"/>
            </w:pPr>
            <w:r/>
            <w:r>
              <w:rPr>
                <w:sz w:val="18"/>
              </w:rPr>
              <w:t>Internal, given third-party brand assets are stored.</w:t>
            </w:r>
          </w:p>
        </w:tc>
      </w:tr>
    </w:tbl>
    <w:p>
      <w:pPr>
        <w:spacing w:after="80"/>
      </w:pPr>
    </w:p>
    <w:p>
      <w:r>
        <w:br w:type="page"/>
      </w:r>
    </w:p>
    <w:p>
      <w:pPr>
        <w:pStyle w:val="Heading1"/>
      </w:pPr>
      <w:r>
        <w:rPr>
          <w:b w:val="0"/>
          <w:i w:val="0"/>
        </w:rPr>
        <w:t>Appendix A — Bank profile card template</w:t>
      </w:r>
    </w:p>
    <w:p>
      <w:r>
        <w:rPr>
          <w:b w:val="0"/>
          <w:i w:val="0"/>
        </w:rPr>
        <w:t>One card per bank, generated from the dataset. Identical fields for every bank, so the cards can be laid side by side in the business deck.</w:t>
      </w:r>
    </w:p>
    <w:tbl>
      <w:tblPr>
        <w:tblStyle w:val="TableGrid"/>
        <w:jc w:val="center"/>
        <w:tblLook w:firstColumn="1" w:firstRow="1" w:lastColumn="0" w:lastRow="0" w:noHBand="0" w:noVBand="1" w:val="04A0"/>
        <w:tblLayout w:type="fixed"/>
        <w:tblW w:w="9412" w:type="dxa"/>
      </w:tblPr>
      <w:tblGrid>
        <w:gridCol w:w="1814"/>
        <w:gridCol w:w="5556"/>
        <w:gridCol w:w="2041"/>
      </w:tblGrid>
      <w:tr>
        <w:tc>
          <w:tcPr>
            <w:tcW w:type="dxa" w:w="1814"/>
            <w:shd w:val="clear" w:color="auto" w:fill="FF6200"/>
          </w:tcPr>
          <w:p>
            <w:pPr>
              <w:spacing w:after="40" w:before="40"/>
            </w:pPr>
            <w:r/>
            <w:r>
              <w:rPr>
                <w:b/>
                <w:color w:val="FFFFFF"/>
                <w:sz w:val="19"/>
              </w:rPr>
              <w:t>Field</w:t>
            </w:r>
          </w:p>
        </w:tc>
        <w:tc>
          <w:tcPr>
            <w:tcW w:type="dxa" w:w="5556"/>
            <w:shd w:val="clear" w:color="auto" w:fill="FF6200"/>
          </w:tcPr>
          <w:p>
            <w:pPr>
              <w:spacing w:after="40" w:before="40"/>
            </w:pPr>
            <w:r/>
            <w:r>
              <w:rPr>
                <w:b/>
                <w:color w:val="FFFFFF"/>
                <w:sz w:val="19"/>
              </w:rPr>
              <w:t>Content</w:t>
            </w:r>
          </w:p>
        </w:tc>
        <w:tc>
          <w:tcPr>
            <w:tcW w:type="dxa" w:w="2041"/>
            <w:shd w:val="clear" w:color="auto" w:fill="FF6200"/>
          </w:tcPr>
          <w:p>
            <w:pPr>
              <w:spacing w:after="40" w:before="40"/>
            </w:pPr>
            <w:r/>
            <w:r>
              <w:rPr>
                <w:b/>
                <w:color w:val="FFFFFF"/>
                <w:sz w:val="19"/>
              </w:rPr>
              <w:t>Source</w:t>
            </w:r>
          </w:p>
        </w:tc>
      </w:tr>
      <w:tr>
        <w:tc>
          <w:tcPr>
            <w:tcW w:type="dxa" w:w="1814"/>
          </w:tcPr>
          <w:p>
            <w:pPr>
              <w:spacing w:after="20" w:before="20"/>
            </w:pPr>
            <w:r/>
            <w:r>
              <w:rPr>
                <w:b/>
                <w:sz w:val="18"/>
              </w:rPr>
              <w:t>Identity</w:t>
            </w:r>
          </w:p>
        </w:tc>
        <w:tc>
          <w:tcPr>
            <w:tcW w:type="dxa" w:w="5556"/>
          </w:tcPr>
          <w:p>
            <w:pPr>
              <w:spacing w:after="20" w:before="20"/>
            </w:pPr>
            <w:r/>
            <w:r>
              <w:rPr>
                <w:sz w:val="18"/>
              </w:rPr>
              <w:t>Bank name, category (traditional / challenger), pages analysed, capture date.</w:t>
            </w:r>
          </w:p>
        </w:tc>
        <w:tc>
          <w:tcPr>
            <w:tcW w:type="dxa" w:w="2041"/>
          </w:tcPr>
          <w:p>
            <w:pPr>
              <w:spacing w:after="20" w:before="20"/>
            </w:pPr>
            <w:r/>
            <w:r>
              <w:rPr>
                <w:sz w:val="18"/>
              </w:rPr>
              <w:t>Provenance columns</w:t>
            </w:r>
          </w:p>
        </w:tc>
      </w:tr>
      <w:tr>
        <w:tc>
          <w:tcPr>
            <w:tcW w:type="dxa" w:w="1814"/>
            <w:shd w:val="clear" w:color="auto" w:fill="FDF0E6"/>
          </w:tcPr>
          <w:p>
            <w:pPr>
              <w:spacing w:after="20" w:before="20"/>
            </w:pPr>
            <w:r/>
            <w:r>
              <w:rPr>
                <w:b/>
                <w:sz w:val="18"/>
              </w:rPr>
              <w:t>Palette</w:t>
            </w:r>
          </w:p>
        </w:tc>
        <w:tc>
          <w:tcPr>
            <w:tcW w:type="dxa" w:w="5556"/>
            <w:shd w:val="clear" w:color="auto" w:fill="FDF0E6"/>
          </w:tcPr>
          <w:p>
            <w:pPr>
              <w:spacing w:after="20" w:before="20"/>
            </w:pPr>
            <w:r/>
            <w:r>
              <w:rPr>
                <w:sz w:val="18"/>
              </w:rPr>
              <w:t>Dominant colours, brand-colour share, number of accent colours, where the accent appears (text / icons / imagery).</w:t>
            </w:r>
          </w:p>
        </w:tc>
        <w:tc>
          <w:tcPr>
            <w:tcW w:type="dxa" w:w="2041"/>
            <w:shd w:val="clear" w:color="auto" w:fill="FDF0E6"/>
          </w:tcPr>
          <w:p>
            <w:pPr>
              <w:spacing w:after="20" w:before="20"/>
            </w:pPr>
            <w:r/>
            <w:r>
              <w:rPr>
                <w:sz w:val="18"/>
              </w:rPr>
              <w:t>Automatic</w:t>
            </w:r>
          </w:p>
        </w:tc>
      </w:tr>
      <w:tr>
        <w:tc>
          <w:tcPr>
            <w:tcW w:type="dxa" w:w="1814"/>
          </w:tcPr>
          <w:p>
            <w:pPr>
              <w:spacing w:after="20" w:before="20"/>
            </w:pPr>
            <w:r/>
            <w:r>
              <w:rPr>
                <w:b/>
                <w:sz w:val="18"/>
              </w:rPr>
              <w:t>Imagery signature</w:t>
            </w:r>
          </w:p>
        </w:tc>
        <w:tc>
          <w:tcPr>
            <w:tcW w:type="dxa" w:w="5556"/>
          </w:tcPr>
          <w:p>
            <w:pPr>
              <w:spacing w:after="20" w:before="20"/>
            </w:pPr>
            <w:r/>
            <w:r>
              <w:rPr>
                <w:sz w:val="18"/>
              </w:rPr>
              <w:t>Photo, illustration or 3D; people present; lifestyle or product; static or animated.</w:t>
            </w:r>
          </w:p>
        </w:tc>
        <w:tc>
          <w:tcPr>
            <w:tcW w:type="dxa" w:w="2041"/>
          </w:tcPr>
          <w:p>
            <w:pPr>
              <w:spacing w:after="20" w:before="20"/>
            </w:pPr>
            <w:r/>
            <w:r>
              <w:rPr>
                <w:sz w:val="18"/>
              </w:rPr>
              <w:t>Automatic + model-assisted</w:t>
            </w:r>
          </w:p>
        </w:tc>
      </w:tr>
      <w:tr>
        <w:tc>
          <w:tcPr>
            <w:tcW w:type="dxa" w:w="1814"/>
            <w:shd w:val="clear" w:color="auto" w:fill="FDF0E6"/>
          </w:tcPr>
          <w:p>
            <w:pPr>
              <w:spacing w:after="20" w:before="20"/>
            </w:pPr>
            <w:r/>
            <w:r>
              <w:rPr>
                <w:b/>
                <w:sz w:val="18"/>
              </w:rPr>
              <w:t>Layout archetype</w:t>
            </w:r>
          </w:p>
        </w:tc>
        <w:tc>
          <w:tcPr>
            <w:tcW w:type="dxa" w:w="5556"/>
            <w:shd w:val="clear" w:color="auto" w:fill="FDF0E6"/>
          </w:tcPr>
          <w:p>
            <w:pPr>
              <w:spacing w:after="20" w:before="20"/>
            </w:pPr>
            <w:r/>
            <w:r>
              <w:rPr>
                <w:sz w:val="18"/>
              </w:rPr>
              <w:t>Hero image or not; text and image adjacent or stacked; page length; elements above the fold.</w:t>
            </w:r>
          </w:p>
        </w:tc>
        <w:tc>
          <w:tcPr>
            <w:tcW w:type="dxa" w:w="2041"/>
            <w:shd w:val="clear" w:color="auto" w:fill="FDF0E6"/>
          </w:tcPr>
          <w:p>
            <w:pPr>
              <w:spacing w:after="20" w:before="20"/>
            </w:pPr>
            <w:r/>
            <w:r>
              <w:rPr>
                <w:sz w:val="18"/>
              </w:rPr>
              <w:t>Automatic</w:t>
            </w:r>
          </w:p>
        </w:tc>
      </w:tr>
      <w:tr>
        <w:tc>
          <w:tcPr>
            <w:tcW w:type="dxa" w:w="1814"/>
          </w:tcPr>
          <w:p>
            <w:pPr>
              <w:spacing w:after="20" w:before="20"/>
            </w:pPr>
            <w:r/>
            <w:r>
              <w:rPr>
                <w:b/>
                <w:sz w:val="18"/>
              </w:rPr>
              <w:t>Tone</w:t>
            </w:r>
          </w:p>
        </w:tc>
        <w:tc>
          <w:tcPr>
            <w:tcW w:type="dxa" w:w="5556"/>
          </w:tcPr>
          <w:p>
            <w:pPr>
              <w:spacing w:after="20" w:before="20"/>
            </w:pPr>
            <w:r/>
            <w:r>
              <w:rPr>
                <w:sz w:val="18"/>
              </w:rPr>
              <w:t>Word count, readability, formality score, address form, urgency markers.</w:t>
            </w:r>
          </w:p>
        </w:tc>
        <w:tc>
          <w:tcPr>
            <w:tcW w:type="dxa" w:w="2041"/>
          </w:tcPr>
          <w:p>
            <w:pPr>
              <w:spacing w:after="20" w:before="20"/>
            </w:pPr>
            <w:r/>
            <w:r>
              <w:rPr>
                <w:sz w:val="18"/>
              </w:rPr>
              <w:t>Automatic + rubric</w:t>
            </w:r>
          </w:p>
        </w:tc>
      </w:tr>
      <w:tr>
        <w:tc>
          <w:tcPr>
            <w:tcW w:type="dxa" w:w="1814"/>
            <w:shd w:val="clear" w:color="auto" w:fill="FDF0E6"/>
          </w:tcPr>
          <w:p>
            <w:pPr>
              <w:spacing w:after="20" w:before="20"/>
            </w:pPr>
            <w:r/>
            <w:r>
              <w:rPr>
                <w:b/>
                <w:sz w:val="18"/>
              </w:rPr>
              <w:t>Value proposition</w:t>
            </w:r>
          </w:p>
        </w:tc>
        <w:tc>
          <w:tcPr>
            <w:tcW w:type="dxa" w:w="5556"/>
            <w:shd w:val="clear" w:color="auto" w:fill="FDF0E6"/>
          </w:tcPr>
          <w:p>
            <w:pPr>
              <w:spacing w:after="20" w:before="20"/>
            </w:pPr>
            <w:r/>
            <w:r>
              <w:rPr>
                <w:sz w:val="18"/>
              </w:rPr>
              <w:t>What is offered, how it is framed (rational or emotional), whether a rate or price is shown and how prominently.</w:t>
            </w:r>
          </w:p>
        </w:tc>
        <w:tc>
          <w:tcPr>
            <w:tcW w:type="dxa" w:w="2041"/>
            <w:shd w:val="clear" w:color="auto" w:fill="FDF0E6"/>
          </w:tcPr>
          <w:p>
            <w:pPr>
              <w:spacing w:after="20" w:before="20"/>
            </w:pPr>
            <w:r/>
            <w:r>
              <w:rPr>
                <w:sz w:val="18"/>
              </w:rPr>
              <w:t>Rubric + model-assisted</w:t>
            </w:r>
          </w:p>
        </w:tc>
      </w:tr>
      <w:tr>
        <w:tc>
          <w:tcPr>
            <w:tcW w:type="dxa" w:w="1814"/>
          </w:tcPr>
          <w:p>
            <w:pPr>
              <w:spacing w:after="20" w:before="20"/>
            </w:pPr>
            <w:r/>
            <w:r>
              <w:rPr>
                <w:b/>
                <w:sz w:val="18"/>
              </w:rPr>
              <w:t>Persuasion levers</w:t>
            </w:r>
          </w:p>
        </w:tc>
        <w:tc>
          <w:tcPr>
            <w:tcW w:type="dxa" w:w="5556"/>
          </w:tcPr>
          <w:p>
            <w:pPr>
              <w:spacing w:after="20" w:before="20"/>
            </w:pPr>
            <w:r/>
            <w:r>
              <w:rPr>
                <w:sz w:val="18"/>
              </w:rPr>
              <w:t>Which of the Cialdini levers appear, and how many.</w:t>
            </w:r>
          </w:p>
        </w:tc>
        <w:tc>
          <w:tcPr>
            <w:tcW w:type="dxa" w:w="2041"/>
          </w:tcPr>
          <w:p>
            <w:pPr>
              <w:spacing w:after="20" w:before="20"/>
            </w:pPr>
            <w:r/>
            <w:r>
              <w:rPr>
                <w:sz w:val="18"/>
              </w:rPr>
              <w:t>Rubric</w:t>
            </w:r>
          </w:p>
        </w:tc>
      </w:tr>
      <w:tr>
        <w:tc>
          <w:tcPr>
            <w:tcW w:type="dxa" w:w="1814"/>
            <w:shd w:val="clear" w:color="auto" w:fill="FDF0E6"/>
          </w:tcPr>
          <w:p>
            <w:pPr>
              <w:spacing w:after="20" w:before="20"/>
            </w:pPr>
            <w:r/>
            <w:r>
              <w:rPr>
                <w:b/>
                <w:sz w:val="18"/>
              </w:rPr>
              <w:t>AIDA coverage</w:t>
            </w:r>
          </w:p>
        </w:tc>
        <w:tc>
          <w:tcPr>
            <w:tcW w:type="dxa" w:w="5556"/>
            <w:shd w:val="clear" w:color="auto" w:fill="FDF0E6"/>
          </w:tcPr>
          <w:p>
            <w:pPr>
              <w:spacing w:after="20" w:before="20"/>
            </w:pPr>
            <w:r/>
            <w:r>
              <w:rPr>
                <w:sz w:val="18"/>
              </w:rPr>
              <w:t>Which of the four stages the page covers, and the space each receives.</w:t>
            </w:r>
          </w:p>
        </w:tc>
        <w:tc>
          <w:tcPr>
            <w:tcW w:type="dxa" w:w="2041"/>
            <w:shd w:val="clear" w:color="auto" w:fill="FDF0E6"/>
          </w:tcPr>
          <w:p>
            <w:pPr>
              <w:spacing w:after="20" w:before="20"/>
            </w:pPr>
            <w:r/>
            <w:r>
              <w:rPr>
                <w:sz w:val="18"/>
              </w:rPr>
              <w:t>Rubric</w:t>
            </w:r>
          </w:p>
        </w:tc>
      </w:tr>
      <w:tr>
        <w:tc>
          <w:tcPr>
            <w:tcW w:type="dxa" w:w="1814"/>
          </w:tcPr>
          <w:p>
            <w:pPr>
              <w:spacing w:after="20" w:before="20"/>
            </w:pPr>
            <w:r/>
            <w:r>
              <w:rPr>
                <w:b/>
                <w:sz w:val="18"/>
              </w:rPr>
              <w:t>One-line signature</w:t>
            </w:r>
          </w:p>
        </w:tc>
        <w:tc>
          <w:tcPr>
            <w:tcW w:type="dxa" w:w="5556"/>
          </w:tcPr>
          <w:p>
            <w:pPr>
              <w:spacing w:after="20" w:before="20"/>
            </w:pPr>
            <w:r/>
            <w:r>
              <w:rPr>
                <w:sz w:val="18"/>
              </w:rPr>
              <w:t>The single sentence that distinguishes this bank from the others.</w:t>
            </w:r>
          </w:p>
        </w:tc>
        <w:tc>
          <w:tcPr>
            <w:tcW w:type="dxa" w:w="2041"/>
          </w:tcPr>
          <w:p>
            <w:pPr>
              <w:spacing w:after="20" w:before="20"/>
            </w:pPr>
            <w:r/>
            <w:r>
              <w:rPr>
                <w:sz w:val="18"/>
              </w:rPr>
              <w:t>Written, evidence-backed</w:t>
            </w:r>
          </w:p>
        </w:tc>
      </w:tr>
    </w:tbl>
    <w:p>
      <w:pPr>
        <w:spacing w:after="80"/>
      </w:pPr>
    </w:p>
    <w:p>
      <w:pPr>
        <w:pStyle w:val="Heading1"/>
      </w:pPr>
      <w:r>
        <w:rPr>
          <w:b w:val="0"/>
          <w:i w:val="0"/>
        </w:rPr>
        <w:t>Appendix B — Generation brief and evaluation (stretch)</w:t>
      </w:r>
    </w:p>
    <w:p>
      <w:pPr>
        <w:pStyle w:val="Heading2"/>
      </w:pPr>
      <w:r>
        <w:rPr>
          <w:b w:val="0"/>
          <w:i w:val="0"/>
        </w:rPr>
        <w:t>B.1 What the generator is told</w:t>
      </w:r>
    </w:p>
    <w:p>
      <w:pPr>
        <w:pStyle w:val="ListBullet"/>
      </w:pPr>
      <w:r>
        <w:t>The product and the audience.</w:t>
      </w:r>
    </w:p>
    <w:p>
      <w:pPr>
        <w:pStyle w:val="ListBullet"/>
      </w:pPr>
      <w:r>
        <w:t>The target feature profile, expressed numerically where possible — word count band, image count, number of persuasion levers, CTA position, colour direction.</w:t>
      </w:r>
    </w:p>
    <w:p>
      <w:pPr>
        <w:pStyle w:val="ListBullet"/>
      </w:pPr>
      <w:r>
        <w:t>The brand constraints for the on-brand variant, taken from the ING profile card.</w:t>
      </w:r>
    </w:p>
    <w:p>
      <w:pPr>
        <w:pStyle w:val="ListBullet"/>
      </w:pPr>
      <w:r>
        <w:t>The competitor patterns for the challenger variant, taken from the neobank profile cards.</w:t>
      </w:r>
    </w:p>
    <w:p>
      <w:pPr>
        <w:pStyle w:val="ListBullet"/>
      </w:pPr>
      <w:r>
        <w:t>What it must not do: invent rates, prices or product terms; imitate a named competitor's assets; omit the placeholder for legal disclaimers.</w:t>
      </w:r>
    </w:p>
    <w:p>
      <w:pPr>
        <w:pStyle w:val="Heading2"/>
      </w:pPr>
      <w:r>
        <w:rPr>
          <w:b w:val="0"/>
          <w:i w:val="0"/>
        </w:rPr>
        <w:t>B.2 How the output is judged</w:t>
      </w:r>
    </w:p>
    <w:tbl>
      <w:tblPr>
        <w:tblStyle w:val="TableGrid"/>
        <w:jc w:val="center"/>
        <w:tblLook w:firstColumn="1" w:firstRow="1" w:lastColumn="0" w:lastRow="0" w:noHBand="0" w:noVBand="1" w:val="04A0"/>
        <w:tblLayout w:type="fixed"/>
        <w:tblW w:w="9412" w:type="dxa"/>
      </w:tblPr>
      <w:tblGrid>
        <w:gridCol w:w="2835"/>
        <w:gridCol w:w="6577"/>
      </w:tblGrid>
      <w:tr>
        <w:tc>
          <w:tcPr>
            <w:tcW w:type="dxa" w:w="2835"/>
            <w:shd w:val="clear" w:color="auto" w:fill="FF6200"/>
          </w:tcPr>
          <w:p>
            <w:pPr>
              <w:spacing w:after="40" w:before="40"/>
            </w:pPr>
            <w:r/>
            <w:r>
              <w:rPr>
                <w:b/>
                <w:color w:val="FFFFFF"/>
                <w:sz w:val="19"/>
              </w:rPr>
              <w:t>Criterion</w:t>
            </w:r>
          </w:p>
        </w:tc>
        <w:tc>
          <w:tcPr>
            <w:tcW w:type="dxa" w:w="6576"/>
            <w:shd w:val="clear" w:color="auto" w:fill="FF6200"/>
          </w:tcPr>
          <w:p>
            <w:pPr>
              <w:spacing w:after="40" w:before="40"/>
            </w:pPr>
            <w:r/>
            <w:r>
              <w:rPr>
                <w:b/>
                <w:color w:val="FFFFFF"/>
                <w:sz w:val="19"/>
              </w:rPr>
              <w:t>How it is measured</w:t>
            </w:r>
          </w:p>
        </w:tc>
      </w:tr>
      <w:tr>
        <w:tc>
          <w:tcPr>
            <w:tcW w:type="dxa" w:w="2835"/>
          </w:tcPr>
          <w:p>
            <w:pPr>
              <w:spacing w:after="20" w:before="20"/>
            </w:pPr>
            <w:r/>
            <w:r>
              <w:rPr>
                <w:sz w:val="18"/>
              </w:rPr>
              <w:t>Did it hit the target profile?</w:t>
            </w:r>
          </w:p>
        </w:tc>
        <w:tc>
          <w:tcPr>
            <w:tcW w:type="dxa" w:w="6576"/>
          </w:tcPr>
          <w:p>
            <w:pPr>
              <w:spacing w:after="20" w:before="20"/>
            </w:pPr>
            <w:r/>
            <w:r>
              <w:rPr>
                <w:sz w:val="18"/>
              </w:rPr>
              <w:t>Run the same feature extractor over the generated campaign and compare the row to the requested target. This is the primary measure.</w:t>
            </w:r>
          </w:p>
        </w:tc>
      </w:tr>
      <w:tr>
        <w:tc>
          <w:tcPr>
            <w:tcW w:type="dxa" w:w="2835"/>
            <w:shd w:val="clear" w:color="auto" w:fill="FDF0E6"/>
          </w:tcPr>
          <w:p>
            <w:pPr>
              <w:spacing w:after="20" w:before="20"/>
            </w:pPr>
            <w:r/>
            <w:r>
              <w:rPr>
                <w:sz w:val="18"/>
              </w:rPr>
              <w:t>Is it distinguishable from the real ones?</w:t>
            </w:r>
          </w:p>
        </w:tc>
        <w:tc>
          <w:tcPr>
            <w:tcW w:type="dxa" w:w="6576"/>
            <w:shd w:val="clear" w:color="auto" w:fill="FDF0E6"/>
          </w:tcPr>
          <w:p>
            <w:pPr>
              <w:spacing w:after="20" w:before="20"/>
            </w:pPr>
            <w:r/>
            <w:r>
              <w:rPr>
                <w:sz w:val="18"/>
              </w:rPr>
              <w:t>Plot it alongside the eight banks in the feature space and see where it lands.</w:t>
            </w:r>
          </w:p>
        </w:tc>
      </w:tr>
      <w:tr>
        <w:tc>
          <w:tcPr>
            <w:tcW w:type="dxa" w:w="2835"/>
          </w:tcPr>
          <w:p>
            <w:pPr>
              <w:spacing w:after="20" w:before="20"/>
            </w:pPr>
            <w:r/>
            <w:r>
              <w:rPr>
                <w:sz w:val="18"/>
              </w:rPr>
              <w:t>Is it usable?</w:t>
            </w:r>
          </w:p>
        </w:tc>
        <w:tc>
          <w:tcPr>
            <w:tcW w:type="dxa" w:w="6576"/>
          </w:tcPr>
          <w:p>
            <w:pPr>
              <w:spacing w:after="20" w:before="20"/>
            </w:pPr>
            <w:r/>
            <w:r>
              <w:rPr>
                <w:sz w:val="18"/>
              </w:rPr>
              <w:t>Rubric-scored by the team on the same scales as the real pages — no separate, softer standard.</w:t>
            </w:r>
          </w:p>
        </w:tc>
      </w:tr>
      <w:tr>
        <w:tc>
          <w:tcPr>
            <w:tcW w:type="dxa" w:w="2835"/>
            <w:shd w:val="clear" w:color="auto" w:fill="FDF0E6"/>
          </w:tcPr>
          <w:p>
            <w:pPr>
              <w:spacing w:after="20" w:before="20"/>
            </w:pPr>
            <w:r/>
            <w:r>
              <w:rPr>
                <w:sz w:val="18"/>
              </w:rPr>
              <w:t>Is it safe?</w:t>
            </w:r>
          </w:p>
        </w:tc>
        <w:tc>
          <w:tcPr>
            <w:tcW w:type="dxa" w:w="6576"/>
            <w:shd w:val="clear" w:color="auto" w:fill="FDF0E6"/>
          </w:tcPr>
          <w:p>
            <w:pPr>
              <w:spacing w:after="20" w:before="20"/>
            </w:pPr>
            <w:r/>
            <w:r>
              <w:rPr>
                <w:sz w:val="18"/>
              </w:rPr>
              <w:t>Checked against the guardrail list: no invented figures, no borrowed assets, disclaimers flagged, labelled synthetic.</w:t>
            </w:r>
          </w:p>
        </w:tc>
      </w:tr>
    </w:tbl>
    <w:p>
      <w:pPr>
        <w:spacing w:after="80"/>
      </w:pPr>
    </w:p>
    <w:p>
      <w:r>
        <w:rPr>
          <w:b w:val="0"/>
          <w:i/>
        </w:rPr>
        <w:t>The honest framing for the final presentation: this shows the feature framework is specific enough to steer and then measure a generation. It does not show that the generated campaign would perform better — the team has no performance data, and says so.</w:t>
      </w:r>
    </w:p>
    <w:p>
      <w:pPr>
        <w:pStyle w:val="Heading1"/>
      </w:pPr>
      <w:r>
        <w:rPr>
          <w:b w:val="0"/>
          <w:i w:val="0"/>
        </w:rPr>
        <w:t>Appendix C — What "done" looks like on Day 10</w:t>
      </w:r>
    </w:p>
    <w:p>
      <w:pPr>
        <w:pStyle w:val="ListBullet"/>
      </w:pPr>
      <w:r>
        <w:t>A repository that a stranger can clone and re-run to reproduce the dataset from the stored snapshots.</w:t>
      </w:r>
    </w:p>
    <w:p>
      <w:pPr>
        <w:pStyle w:val="ListBullet"/>
      </w:pPr>
      <w:r>
        <w:t>A dataset covering at least four banks including ING and at least one neobank, one row per page, every feature defined in the dictionary.</w:t>
      </w:r>
    </w:p>
    <w:p>
      <w:pPr>
        <w:pStyle w:val="ListBullet"/>
      </w:pPr>
      <w:r>
        <w:t>A profile card for every bank in scope, all with identical fields.</w:t>
      </w:r>
    </w:p>
    <w:p>
      <w:pPr>
        <w:pStyle w:val="ListBullet"/>
      </w:pPr>
      <w:r>
        <w:t>A clear answer to where ING stands, and whether it sits closer to traditional banks or challengers, with the features that support it.</w:t>
      </w:r>
    </w:p>
    <w:p>
      <w:pPr>
        <w:pStyle w:val="ListBullet"/>
      </w:pPr>
      <w:r>
        <w:t>At least three insights or improvement ideas, each traceable to a feature value and a source page.</w:t>
      </w:r>
    </w:p>
    <w:p>
      <w:pPr>
        <w:pStyle w:val="ListBullet"/>
      </w:pPr>
      <w:r>
        <w:t>A compliance note that answers "this is what we considered acceptable, and why".</w:t>
      </w:r>
    </w:p>
    <w:p>
      <w:pPr>
        <w:pStyle w:val="ListBullet"/>
      </w:pPr>
      <w:r>
        <w:t>A stated list of limitations: sample size, subjectivity, language, snapshot date, no performance data.</w:t>
      </w:r>
    </w:p>
    <w:p>
      <w:pPr>
        <w:pStyle w:val="ListBullet"/>
      </w:pPr>
      <w:r>
        <w:t>Two presentations delivered — one for the business, one for the data audience.</w:t>
      </w:r>
    </w:p>
    <w:p>
      <w:pPr>
        <w:pStyle w:val="ListBullet"/>
      </w:pPr>
      <w:r>
        <w:t>If the gate passed: two generated campaign variants with their feature scorecards. If it did not: the criteria and prompt design presented as the next step.</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5A5A"/>
        <w:sz w:val="16"/>
      </w:rPr>
      <w:t>Banking Campaigns Comparator  –  Approach &amp; Project Plan  –  v1.0  –  14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i w:val="0"/>
      <w:color w:val="FF62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i w:val="0"/>
      <w:color w:val="1F1F1F"/>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i w:val="0"/>
      <w:color w:val="5A5A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i w:val="0"/>
      <w:color w:val="FF62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1F1F1F"/>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color w:val="1F1F1F"/>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