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Banking Campaigns Comparator</w:t>
      </w:r>
    </w:p>
    <w:p>
      <w:pPr>
        <w:spacing w:after="40"/>
      </w:pPr>
      <w:r>
        <w:rPr>
          <w:b/>
          <w:i w:val="0"/>
          <w:color w:val="5A5A5A"/>
          <w:sz w:val="28"/>
        </w:rPr>
        <w:t>Project Requirements Document</w:t>
      </w:r>
    </w:p>
    <w:p>
      <w:pPr>
        <w:spacing w:after="200"/>
      </w:pPr>
      <w:r>
        <w:rPr>
          <w:b w:val="0"/>
          <w:i/>
          <w:color w:val="5A5A5A"/>
          <w:sz w:val="22"/>
        </w:rPr>
        <w:t>"Marketing Spy" – How competitors communicate with their customers</w:t>
      </w:r>
    </w:p>
    <w:p>
      <w:pPr>
        <w:spacing w:before="0" w:after="160"/>
        <w:pBdr>
          <w:bottom w:val="single" w:sz="8" w:space="1" w:color="FF6200"/>
        </w:pBdr>
      </w:pPr>
    </w:p>
    <w:tbl>
      <w:tblPr>
        <w:tblStyle w:val="TableGrid"/>
        <w:jc w:val="center"/>
        <w:tblLook w:firstColumn="1" w:firstRow="1" w:lastColumn="0" w:lastRow="0" w:noHBand="0" w:noVBand="1" w:val="04A0"/>
        <w:tblLayout w:type="fixed"/>
        <w:tblW w:w="9412" w:type="dxa"/>
      </w:tblPr>
      <w:tblGrid>
        <w:gridCol w:w="2381"/>
        <w:gridCol w:w="7030"/>
      </w:tblGrid>
      <w:tr>
        <w:tc>
          <w:tcPr>
            <w:tcW w:type="dxa" w:w="2381"/>
            <w:shd w:val="clear" w:color="auto" w:fill="FF6200"/>
          </w:tcPr>
          <w:p>
            <w:pPr>
              <w:spacing w:after="40" w:before="40"/>
            </w:pPr>
            <w:r/>
            <w:r>
              <w:rPr>
                <w:b/>
                <w:color w:val="FFFFFF"/>
                <w:sz w:val="19"/>
              </w:rPr>
              <w:t>Field</w:t>
            </w:r>
          </w:p>
        </w:tc>
        <w:tc>
          <w:tcPr>
            <w:tcW w:type="dxa" w:w="7030"/>
            <w:shd w:val="clear" w:color="auto" w:fill="FF6200"/>
          </w:tcPr>
          <w:p>
            <w:pPr>
              <w:spacing w:after="40" w:before="40"/>
            </w:pPr>
            <w:r/>
            <w:r>
              <w:rPr>
                <w:b/>
                <w:color w:val="FFFFFF"/>
                <w:sz w:val="19"/>
              </w:rPr>
              <w:t>Value</w:t>
            </w:r>
          </w:p>
        </w:tc>
      </w:tr>
      <w:tr>
        <w:tc>
          <w:tcPr>
            <w:tcW w:type="dxa" w:w="2381"/>
          </w:tcPr>
          <w:p>
            <w:pPr>
              <w:spacing w:after="20" w:before="20"/>
            </w:pPr>
            <w:r/>
            <w:r>
              <w:rPr>
                <w:sz w:val="19"/>
              </w:rPr>
              <w:t>Document title</w:t>
            </w:r>
          </w:p>
        </w:tc>
        <w:tc>
          <w:tcPr>
            <w:tcW w:type="dxa" w:w="7030"/>
          </w:tcPr>
          <w:p>
            <w:pPr>
              <w:spacing w:after="20" w:before="20"/>
            </w:pPr>
            <w:r/>
            <w:r>
              <w:rPr>
                <w:sz w:val="19"/>
              </w:rPr>
              <w:t>Project Requirements Document – Banking Campaigns Comparator</w:t>
            </w:r>
          </w:p>
        </w:tc>
      </w:tr>
      <w:tr>
        <w:tc>
          <w:tcPr>
            <w:tcW w:type="dxa" w:w="2381"/>
            <w:shd w:val="clear" w:color="auto" w:fill="FDF0E6"/>
          </w:tcPr>
          <w:p>
            <w:pPr>
              <w:spacing w:after="20" w:before="20"/>
            </w:pPr>
            <w:r/>
            <w:r>
              <w:rPr>
                <w:sz w:val="19"/>
              </w:rPr>
              <w:t>Version</w:t>
            </w:r>
          </w:p>
        </w:tc>
        <w:tc>
          <w:tcPr>
            <w:tcW w:type="dxa" w:w="7030"/>
            <w:shd w:val="clear" w:color="auto" w:fill="FDF0E6"/>
          </w:tcPr>
          <w:p>
            <w:pPr>
              <w:spacing w:after="20" w:before="20"/>
            </w:pPr>
            <w:r/>
            <w:r>
              <w:rPr>
                <w:sz w:val="19"/>
              </w:rPr>
              <w:t>1.0</w:t>
            </w:r>
          </w:p>
        </w:tc>
      </w:tr>
      <w:tr>
        <w:tc>
          <w:tcPr>
            <w:tcW w:type="dxa" w:w="2381"/>
          </w:tcPr>
          <w:p>
            <w:pPr>
              <w:spacing w:after="20" w:before="20"/>
            </w:pPr>
            <w:r/>
            <w:r>
              <w:rPr>
                <w:sz w:val="19"/>
              </w:rPr>
              <w:t>Date</w:t>
            </w:r>
          </w:p>
        </w:tc>
        <w:tc>
          <w:tcPr>
            <w:tcW w:type="dxa" w:w="7030"/>
          </w:tcPr>
          <w:p>
            <w:pPr>
              <w:spacing w:after="20" w:before="20"/>
            </w:pPr>
            <w:r/>
            <w:r>
              <w:rPr>
                <w:sz w:val="19"/>
              </w:rPr>
              <w:t>14 September 2026</w:t>
            </w:r>
          </w:p>
        </w:tc>
      </w:tr>
      <w:tr>
        <w:tc>
          <w:tcPr>
            <w:tcW w:type="dxa" w:w="2381"/>
            <w:shd w:val="clear" w:color="auto" w:fill="FDF0E6"/>
          </w:tcPr>
          <w:p>
            <w:pPr>
              <w:spacing w:after="20" w:before="20"/>
            </w:pPr>
            <w:r/>
            <w:r>
              <w:rPr>
                <w:sz w:val="19"/>
              </w:rPr>
              <w:t>Status</w:t>
            </w:r>
          </w:p>
        </w:tc>
        <w:tc>
          <w:tcPr>
            <w:tcW w:type="dxa" w:w="7030"/>
            <w:shd w:val="clear" w:color="auto" w:fill="FDF0E6"/>
          </w:tcPr>
          <w:p>
            <w:pPr>
              <w:spacing w:after="20" w:before="20"/>
            </w:pPr>
            <w:r/>
            <w:r>
              <w:rPr>
                <w:sz w:val="19"/>
              </w:rPr>
              <w:t>Draft – for validation by the ING stakeholders</w:t>
            </w:r>
          </w:p>
        </w:tc>
      </w:tr>
      <w:tr>
        <w:tc>
          <w:tcPr>
            <w:tcW w:type="dxa" w:w="2381"/>
          </w:tcPr>
          <w:p>
            <w:pPr>
              <w:spacing w:after="20" w:before="20"/>
            </w:pPr>
            <w:r/>
            <w:r>
              <w:rPr>
                <w:sz w:val="19"/>
              </w:rPr>
              <w:t>Author</w:t>
            </w:r>
          </w:p>
        </w:tc>
        <w:tc>
          <w:tcPr>
            <w:tcW w:type="dxa" w:w="7030"/>
          </w:tcPr>
          <w:p>
            <w:pPr>
              <w:spacing w:after="20" w:before="20"/>
            </w:pPr>
            <w:r/>
            <w:r>
              <w:rPr>
                <w:sz w:val="19"/>
              </w:rPr>
              <w:t>Project team (BeCode / AI &amp; Data Science training)</w:t>
            </w:r>
          </w:p>
        </w:tc>
      </w:tr>
      <w:tr>
        <w:tc>
          <w:tcPr>
            <w:tcW w:type="dxa" w:w="2381"/>
            <w:shd w:val="clear" w:color="auto" w:fill="FDF0E6"/>
          </w:tcPr>
          <w:p>
            <w:pPr>
              <w:spacing w:after="20" w:before="20"/>
            </w:pPr>
            <w:r/>
            <w:r>
              <w:rPr>
                <w:sz w:val="19"/>
              </w:rPr>
              <w:t>Client</w:t>
            </w:r>
          </w:p>
        </w:tc>
        <w:tc>
          <w:tcPr>
            <w:tcW w:type="dxa" w:w="7030"/>
            <w:shd w:val="clear" w:color="auto" w:fill="FDF0E6"/>
          </w:tcPr>
          <w:p>
            <w:pPr>
              <w:spacing w:after="20" w:before="20"/>
            </w:pPr>
            <w:r/>
            <w:r>
              <w:rPr>
                <w:sz w:val="19"/>
              </w:rPr>
              <w:t>ING Belgium – DACI / Customer AI (CAI) team</w:t>
            </w:r>
          </w:p>
        </w:tc>
      </w:tr>
      <w:tr>
        <w:tc>
          <w:tcPr>
            <w:tcW w:type="dxa" w:w="2381"/>
          </w:tcPr>
          <w:p>
            <w:pPr>
              <w:spacing w:after="20" w:before="20"/>
            </w:pPr>
            <w:r/>
            <w:r>
              <w:rPr>
                <w:sz w:val="19"/>
              </w:rPr>
              <w:t>Business stakeholders</w:t>
            </w:r>
          </w:p>
        </w:tc>
        <w:tc>
          <w:tcPr>
            <w:tcW w:type="dxa" w:w="7030"/>
          </w:tcPr>
          <w:p>
            <w:pPr>
              <w:spacing w:after="20" w:before="20"/>
            </w:pPr>
            <w:r/>
            <w:r>
              <w:rPr>
                <w:sz w:val="19"/>
              </w:rPr>
              <w:t>Diego Pardo y Cobo (diego.pardo.y.cobo@ing.com)</w:t>
            </w:r>
          </w:p>
          <w:p>
            <w:pPr>
              <w:spacing w:after="20" w:before="20"/>
            </w:pPr>
            <w:r>
              <w:rPr>
                <w:sz w:val="19"/>
              </w:rPr>
              <w:t>Victor Onclinx (victor.onclinx@ing.com)</w:t>
            </w:r>
          </w:p>
        </w:tc>
      </w:tr>
      <w:tr>
        <w:tc>
          <w:tcPr>
            <w:tcW w:type="dxa" w:w="2381"/>
            <w:shd w:val="clear" w:color="auto" w:fill="FDF0E6"/>
          </w:tcPr>
          <w:p>
            <w:pPr>
              <w:spacing w:after="20" w:before="20"/>
            </w:pPr>
            <w:r/>
            <w:r>
              <w:rPr>
                <w:sz w:val="19"/>
              </w:rPr>
              <w:t>Source documents</w:t>
            </w:r>
          </w:p>
        </w:tc>
        <w:tc>
          <w:tcPr>
            <w:tcW w:type="dxa" w:w="7030"/>
            <w:shd w:val="clear" w:color="auto" w:fill="FDF0E6"/>
          </w:tcPr>
          <w:p>
            <w:pPr>
              <w:spacing w:after="20" w:before="20"/>
            </w:pPr>
            <w:r/>
            <w:r>
              <w:rPr>
                <w:sz w:val="19"/>
              </w:rPr>
              <w:t>1. 20260914_ProjectPresentation.pdf – kickoff deck, 23 slides, 14 Sep 2026</w:t>
            </w:r>
          </w:p>
          <w:p>
            <w:pPr>
              <w:spacing w:after="20" w:before="20"/>
            </w:pPr>
            <w:r>
              <w:rPr>
                <w:sz w:val="19"/>
              </w:rPr>
              <w:t>2. use_case_description_beCode_campaign_comparator.docx – written use case brief</w:t>
            </w:r>
          </w:p>
        </w:tc>
      </w:tr>
      <w:tr>
        <w:tc>
          <w:tcPr>
            <w:tcW w:type="dxa" w:w="2381"/>
          </w:tcPr>
          <w:p>
            <w:pPr>
              <w:spacing w:after="20" w:before="20"/>
            </w:pPr>
            <w:r/>
            <w:r>
              <w:rPr>
                <w:sz w:val="19"/>
              </w:rPr>
              <w:t>Delivery type</w:t>
            </w:r>
          </w:p>
        </w:tc>
        <w:tc>
          <w:tcPr>
            <w:tcW w:type="dxa" w:w="7030"/>
          </w:tcPr>
          <w:p>
            <w:pPr>
              <w:spacing w:after="20" w:before="20"/>
            </w:pPr>
            <w:r/>
            <w:r>
              <w:rPr>
                <w:sz w:val="19"/>
              </w:rPr>
              <w:t>Proof of Concept (POC) – not a production system</w:t>
            </w:r>
          </w:p>
        </w:tc>
      </w:tr>
    </w:tbl>
    <w:p>
      <w:pPr>
        <w:spacing w:after="80"/>
      </w:pPr>
    </w:p>
    <w:p>
      <w:r>
        <w:rPr>
          <w:b w:val="0"/>
          <w:i/>
          <w:color w:val="5A5A5A"/>
          <w:sz w:val="20"/>
        </w:rPr>
        <w:t>This document translates the two ING source briefs into an explicit, testable set of requirements. Where the briefs are deliberately open ("we don’t know — we are just the stakeholders, and there is no unique solution"), this document records the project team’s interpretation and marks it as an assumption or an open question rather than a fact. Section 17 lists the points that need a decision from the stakeholders.</w:t>
      </w:r>
    </w:p>
    <w:p>
      <w:r>
        <w:br w:type="page"/>
      </w:r>
    </w:p>
    <w:p>
      <w:pPr>
        <w:pStyle w:val="Heading1"/>
      </w:pPr>
      <w:r>
        <w:rPr>
          <w:b w:val="0"/>
          <w:i w:val="0"/>
        </w:rPr>
        <w:t>1. Purpose and scope of this document</w:t>
      </w:r>
    </w:p>
    <w:p>
      <w:r>
        <w:rPr>
          <w:b w:val="0"/>
          <w:i w:val="0"/>
        </w:rPr>
        <w:t>This Project Requirements Document (PRD) defines what the Banking Campaigns Comparator must do, what it must not do, under which legal and ethical constraints it operates, and how the finished work will be judged. It is the reference against which the deliverables in section 13 are accepted.</w:t>
      </w:r>
    </w:p>
    <w:p>
      <w:r>
        <w:rPr>
          <w:b w:val="0"/>
          <w:i w:val="0"/>
        </w:rPr>
        <w:t>It is written for two readers:</w:t>
      </w:r>
    </w:p>
    <w:p>
      <w:pPr>
        <w:pStyle w:val="ListBullet"/>
      </w:pPr>
      <w:r>
        <w:rPr>
          <w:b/>
        </w:rPr>
        <w:t>Business audience —</w:t>
      </w:r>
      <w:r>
        <w:t xml:space="preserve"> sections 2 to 6 and 14 to 17 — what the project answers for ING and what it will produce.</w:t>
      </w:r>
    </w:p>
    <w:p>
      <w:pPr>
        <w:pStyle w:val="ListBullet"/>
      </w:pPr>
      <w:r>
        <w:rPr>
          <w:b/>
        </w:rPr>
        <w:t>Data audience —</w:t>
      </w:r>
      <w:r>
        <w:t xml:space="preserve"> sections 7 to 13 — the functional, data, compliance and quality requirements the solution must satisfy.</w:t>
      </w:r>
    </w:p>
    <w:p>
      <w:pPr>
        <w:pStyle w:val="Heading1"/>
      </w:pPr>
      <w:r>
        <w:rPr>
          <w:b w:val="0"/>
          <w:i w:val="0"/>
        </w:rPr>
        <w:t>2. Business context</w:t>
      </w:r>
    </w:p>
    <w:p>
      <w:pPr>
        <w:pStyle w:val="Heading2"/>
      </w:pPr>
      <w:r>
        <w:rPr>
          <w:b w:val="0"/>
          <w:i w:val="0"/>
        </w:rPr>
        <w:t>2.1 Where the request comes from</w:t>
      </w:r>
    </w:p>
    <w:p>
      <w:r>
        <w:rPr>
          <w:b w:val="0"/>
          <w:i w:val="0"/>
        </w:rPr>
        <w:t>The requesting team is ING’s Customer AI team (DACI / CAI): a group of data analysts, data scientists, machine learning engineers and customer journey experts that owns the orchestration of ING’s customer communication. Their platform ("the Kraken") is built on three engines:</w:t>
      </w:r>
    </w:p>
    <w:p>
      <w:pPr>
        <w:pStyle w:val="ListBullet"/>
      </w:pPr>
      <w:r>
        <w:rPr>
          <w:b/>
        </w:rPr>
        <w:t>Inbound Engine —</w:t>
      </w:r>
      <w:r>
        <w:t xml:space="preserve"> manages inbound interactions (what the customer sees in web and app).</w:t>
      </w:r>
    </w:p>
    <w:p>
      <w:pPr>
        <w:pStyle w:val="ListBullet"/>
      </w:pPr>
      <w:r>
        <w:rPr>
          <w:b/>
        </w:rPr>
        <w:t>Sending Engine —</w:t>
      </w:r>
      <w:r>
        <w:t xml:space="preserve"> manages all outbound messages except leads.</w:t>
      </w:r>
    </w:p>
    <w:p>
      <w:pPr>
        <w:pStyle w:val="ListBullet"/>
      </w:pPr>
      <w:r>
        <w:rPr>
          <w:b/>
        </w:rPr>
        <w:t>Lead Management Engine —</w:t>
      </w:r>
      <w:r>
        <w:t xml:space="preserve"> manages all marketing leads.</w:t>
      </w:r>
    </w:p>
    <w:p>
      <w:r>
        <w:rPr>
          <w:b w:val="0"/>
          <w:i w:val="0"/>
        </w:rPr>
        <w:t>Their stated focus for this use case is inbound communication, and their standing challenge is deciding what to show, to whom, when and where.</w:t>
      </w:r>
    </w:p>
    <w:p>
      <w:pPr>
        <w:pStyle w:val="Heading2"/>
      </w:pPr>
      <w:r>
        <w:rPr>
          <w:b w:val="0"/>
          <w:i w:val="0"/>
        </w:rPr>
        <w:t>2.2 The pain: high volume, low impact, negative perception</w:t>
      </w:r>
    </w:p>
    <w:p>
      <w:r>
        <w:rPr>
          <w:b w:val="0"/>
          <w:i w:val="0"/>
        </w:rPr>
        <w:t>The kickoff deck quantifies the problem on ING’s own inbound channel:</w:t>
      </w:r>
    </w:p>
    <w:tbl>
      <w:tblPr>
        <w:tblStyle w:val="TableGrid"/>
        <w:jc w:val="center"/>
        <w:tblLook w:firstColumn="1" w:firstRow="1" w:lastColumn="0" w:lastRow="0" w:noHBand="0" w:noVBand="1" w:val="04A0"/>
        <w:tblLayout w:type="fixed"/>
        <w:tblW w:w="9412" w:type="dxa"/>
      </w:tblPr>
      <w:tblGrid>
        <w:gridCol w:w="2154"/>
        <w:gridCol w:w="2835"/>
        <w:gridCol w:w="4422"/>
      </w:tblGrid>
      <w:tr>
        <w:tc>
          <w:tcPr>
            <w:tcW w:type="dxa" w:w="2154"/>
            <w:shd w:val="clear" w:color="auto" w:fill="FF6200"/>
          </w:tcPr>
          <w:p>
            <w:pPr>
              <w:spacing w:after="40" w:before="40"/>
            </w:pPr>
            <w:r/>
            <w:r>
              <w:rPr>
                <w:b/>
                <w:color w:val="FFFFFF"/>
                <w:sz w:val="19"/>
              </w:rPr>
              <w:t>Indicator</w:t>
            </w:r>
          </w:p>
        </w:tc>
        <w:tc>
          <w:tcPr>
            <w:tcW w:type="dxa" w:w="2835"/>
            <w:shd w:val="clear" w:color="auto" w:fill="FF6200"/>
          </w:tcPr>
          <w:p>
            <w:pPr>
              <w:spacing w:after="40" w:before="40"/>
            </w:pPr>
            <w:r/>
            <w:r>
              <w:rPr>
                <w:b/>
                <w:color w:val="FFFFFF"/>
                <w:sz w:val="19"/>
              </w:rPr>
              <w:t>Value (October, as presented)</w:t>
            </w:r>
          </w:p>
        </w:tc>
        <w:tc>
          <w:tcPr>
            <w:tcW w:type="dxa" w:w="4422"/>
            <w:shd w:val="clear" w:color="auto" w:fill="FF6200"/>
          </w:tcPr>
          <w:p>
            <w:pPr>
              <w:spacing w:after="40" w:before="40"/>
            </w:pPr>
            <w:r/>
            <w:r>
              <w:rPr>
                <w:b/>
                <w:color w:val="FFFFFF"/>
                <w:sz w:val="19"/>
              </w:rPr>
              <w:t>Why it matters</w:t>
            </w:r>
          </w:p>
        </w:tc>
      </w:tr>
      <w:tr>
        <w:tc>
          <w:tcPr>
            <w:tcW w:type="dxa" w:w="2154"/>
          </w:tcPr>
          <w:p>
            <w:pPr>
              <w:spacing w:after="20" w:before="20"/>
            </w:pPr>
            <w:r/>
            <w:r>
              <w:rPr>
                <w:b/>
                <w:sz w:val="19"/>
              </w:rPr>
              <w:t>Customers reached</w:t>
            </w:r>
          </w:p>
        </w:tc>
        <w:tc>
          <w:tcPr>
            <w:tcW w:type="dxa" w:w="2835"/>
          </w:tcPr>
          <w:p>
            <w:pPr>
              <w:spacing w:after="20" w:before="20"/>
            </w:pPr>
            <w:r/>
            <w:r>
              <w:rPr>
                <w:sz w:val="19"/>
              </w:rPr>
              <w:t>1.57 million</w:t>
            </w:r>
          </w:p>
        </w:tc>
        <w:tc>
          <w:tcPr>
            <w:tcW w:type="dxa" w:w="4422"/>
          </w:tcPr>
          <w:p>
            <w:pPr>
              <w:spacing w:after="20" w:before="20"/>
            </w:pPr>
            <w:r/>
            <w:r>
              <w:rPr>
                <w:sz w:val="19"/>
              </w:rPr>
              <w:t>The channel has near-total reach; the constraint is relevance, not coverage.</w:t>
            </w:r>
          </w:p>
        </w:tc>
      </w:tr>
      <w:tr>
        <w:tc>
          <w:tcPr>
            <w:tcW w:type="dxa" w:w="2154"/>
            <w:shd w:val="clear" w:color="auto" w:fill="FDF0E6"/>
          </w:tcPr>
          <w:p>
            <w:pPr>
              <w:spacing w:after="20" w:before="20"/>
            </w:pPr>
            <w:r/>
            <w:r>
              <w:rPr>
                <w:b/>
                <w:sz w:val="19"/>
              </w:rPr>
              <w:t>Distinct banners live</w:t>
            </w:r>
          </w:p>
        </w:tc>
        <w:tc>
          <w:tcPr>
            <w:tcW w:type="dxa" w:w="2835"/>
            <w:shd w:val="clear" w:color="auto" w:fill="FDF0E6"/>
          </w:tcPr>
          <w:p>
            <w:pPr>
              <w:spacing w:after="20" w:before="20"/>
            </w:pPr>
            <w:r/>
            <w:r>
              <w:rPr>
                <w:sz w:val="19"/>
              </w:rPr>
              <w:t>1,307</w:t>
            </w:r>
          </w:p>
        </w:tc>
        <w:tc>
          <w:tcPr>
            <w:tcW w:type="dxa" w:w="4422"/>
            <w:shd w:val="clear" w:color="auto" w:fill="FDF0E6"/>
          </w:tcPr>
          <w:p>
            <w:pPr>
              <w:spacing w:after="20" w:before="20"/>
            </w:pPr>
            <w:r/>
            <w:r>
              <w:rPr>
                <w:sz w:val="19"/>
              </w:rPr>
              <w:t>A very large creative inventory, produced and maintained continuously.</w:t>
            </w:r>
          </w:p>
        </w:tc>
      </w:tr>
      <w:tr>
        <w:tc>
          <w:tcPr>
            <w:tcW w:type="dxa" w:w="2154"/>
          </w:tcPr>
          <w:p>
            <w:pPr>
              <w:spacing w:after="20" w:before="20"/>
            </w:pPr>
            <w:r/>
            <w:r>
              <w:rPr>
                <w:b/>
                <w:sz w:val="19"/>
              </w:rPr>
              <w:t>Interactions</w:t>
            </w:r>
          </w:p>
        </w:tc>
        <w:tc>
          <w:tcPr>
            <w:tcW w:type="dxa" w:w="2835"/>
          </w:tcPr>
          <w:p>
            <w:pPr>
              <w:spacing w:after="20" w:before="20"/>
            </w:pPr>
            <w:r/>
            <w:r>
              <w:rPr>
                <w:sz w:val="19"/>
              </w:rPr>
              <w:t>110 million total,</w:t>
            </w:r>
          </w:p>
          <w:p>
            <w:pPr>
              <w:spacing w:after="20" w:before="20"/>
            </w:pPr>
            <w:r>
              <w:rPr>
                <w:sz w:val="19"/>
              </w:rPr>
              <w:t>74 million on the 3 key positions</w:t>
            </w:r>
          </w:p>
        </w:tc>
        <w:tc>
          <w:tcPr>
            <w:tcW w:type="dxa" w:w="4422"/>
          </w:tcPr>
          <w:p>
            <w:pPr>
              <w:spacing w:after="20" w:before="20"/>
            </w:pPr>
            <w:r/>
            <w:r>
              <w:rPr>
                <w:sz w:val="19"/>
              </w:rPr>
              <w:t>Key positions: AI, acov and Enticement.</w:t>
            </w:r>
          </w:p>
        </w:tc>
      </w:tr>
      <w:tr>
        <w:tc>
          <w:tcPr>
            <w:tcW w:type="dxa" w:w="2154"/>
            <w:shd w:val="clear" w:color="auto" w:fill="FDF0E6"/>
          </w:tcPr>
          <w:p>
            <w:pPr>
              <w:spacing w:after="20" w:before="20"/>
            </w:pPr>
            <w:r/>
            <w:r>
              <w:rPr>
                <w:b/>
                <w:sz w:val="19"/>
              </w:rPr>
              <w:t>Accepts</w:t>
            </w:r>
          </w:p>
        </w:tc>
        <w:tc>
          <w:tcPr>
            <w:tcW w:type="dxa" w:w="2835"/>
            <w:shd w:val="clear" w:color="auto" w:fill="FDF0E6"/>
          </w:tcPr>
          <w:p>
            <w:pPr>
              <w:spacing w:after="20" w:before="20"/>
            </w:pPr>
            <w:r/>
            <w:r>
              <w:rPr>
                <w:sz w:val="19"/>
              </w:rPr>
              <w:t>0.49 million</w:t>
            </w:r>
          </w:p>
        </w:tc>
        <w:tc>
          <w:tcPr>
            <w:tcW w:type="dxa" w:w="4422"/>
            <w:shd w:val="clear" w:color="auto" w:fill="FDF0E6"/>
          </w:tcPr>
          <w:p>
            <w:pPr>
              <w:spacing w:after="20" w:before="20"/>
            </w:pPr>
            <w:r/>
            <w:r>
              <w:rPr>
                <w:sz w:val="19"/>
              </w:rPr>
              <w:t>Roughly 0.7% of interactions on the key positions convert.</w:t>
            </w:r>
          </w:p>
        </w:tc>
      </w:tr>
      <w:tr>
        <w:tc>
          <w:tcPr>
            <w:tcW w:type="dxa" w:w="2154"/>
          </w:tcPr>
          <w:p>
            <w:pPr>
              <w:spacing w:after="20" w:before="20"/>
            </w:pPr>
            <w:r/>
            <w:r>
              <w:rPr>
                <w:b/>
                <w:sz w:val="19"/>
              </w:rPr>
              <w:t>Click-through rate</w:t>
            </w:r>
          </w:p>
        </w:tc>
        <w:tc>
          <w:tcPr>
            <w:tcW w:type="dxa" w:w="2835"/>
          </w:tcPr>
          <w:p>
            <w:pPr>
              <w:spacing w:after="20" w:before="20"/>
            </w:pPr>
            <w:r/>
            <w:r>
              <w:rPr>
                <w:sz w:val="19"/>
              </w:rPr>
              <w:t>0.60% – 1.06% (weekly, Jul–Aug 2025)</w:t>
            </w:r>
          </w:p>
        </w:tc>
        <w:tc>
          <w:tcPr>
            <w:tcW w:type="dxa" w:w="4422"/>
          </w:tcPr>
          <w:p>
            <w:pPr>
              <w:spacing w:after="20" w:before="20"/>
            </w:pPr>
            <w:r/>
            <w:r>
              <w:rPr>
                <w:sz w:val="19"/>
              </w:rPr>
              <w:t>Flat and low across the whole observed period.</w:t>
            </w:r>
          </w:p>
        </w:tc>
      </w:tr>
      <w:tr>
        <w:tc>
          <w:tcPr>
            <w:tcW w:type="dxa" w:w="2154"/>
            <w:shd w:val="clear" w:color="auto" w:fill="FDF0E6"/>
          </w:tcPr>
          <w:p>
            <w:pPr>
              <w:spacing w:after="20" w:before="20"/>
            </w:pPr>
            <w:r/>
            <w:r>
              <w:rPr>
                <w:b/>
                <w:sz w:val="19"/>
              </w:rPr>
              <w:t>Customer perception</w:t>
            </w:r>
          </w:p>
        </w:tc>
        <w:tc>
          <w:tcPr>
            <w:tcW w:type="dxa" w:w="2835"/>
            <w:shd w:val="clear" w:color="auto" w:fill="FDF0E6"/>
          </w:tcPr>
          <w:p>
            <w:pPr>
              <w:spacing w:after="20" w:before="20"/>
            </w:pPr>
            <w:r/>
            <w:r>
              <w:rPr>
                <w:sz w:val="19"/>
              </w:rPr>
              <w:t>Top-5 NPS irritator</w:t>
            </w:r>
          </w:p>
        </w:tc>
        <w:tc>
          <w:tcPr>
            <w:tcW w:type="dxa" w:w="4422"/>
            <w:shd w:val="clear" w:color="auto" w:fill="FDF0E6"/>
          </w:tcPr>
          <w:p>
            <w:pPr>
              <w:spacing w:after="20" w:before="20"/>
            </w:pPr>
            <w:r/>
            <w:r>
              <w:rPr>
                <w:sz w:val="19"/>
              </w:rPr>
              <w:t>Verbatims in NL and FR complain about "too much advertising" and messages interrupting account balances.</w:t>
            </w:r>
          </w:p>
        </w:tc>
      </w:tr>
    </w:tbl>
    <w:p>
      <w:pPr>
        <w:spacing w:after="80"/>
      </w:pPr>
    </w:p>
    <w:p>
      <w:r>
        <w:rPr>
          <w:b w:val="0"/>
          <w:i w:val="0"/>
        </w:rPr>
        <w:t>The conclusion the stakeholders draw is that message volume is not the lever — the way a message is designed and delivered is. Their own goal is stated as "turn complexity into orchestration": deliver the right communication at the right moment, reduce irrelevant messages, and apply a smarter interposition strategy.</w:t>
      </w:r>
    </w:p>
    <w:p>
      <w:pPr>
        <w:pStyle w:val="Heading2"/>
      </w:pPr>
      <w:r>
        <w:rPr>
          <w:b w:val="0"/>
          <w:i w:val="0"/>
        </w:rPr>
        <w:t>2.3 The competitive pressure</w:t>
      </w:r>
    </w:p>
    <w:p>
      <w:pPr>
        <w:pStyle w:val="ListBullet"/>
      </w:pPr>
      <w:r>
        <w:rPr>
          <w:b/>
        </w:rPr>
        <w:t>The state bonds case —</w:t>
      </w:r>
      <w:r>
        <w:t xml:space="preserve"> the 2023 Belgian state bond release pushed the whole market into term-account campaigns in September 2024, then again in September 2025 and September 2026. The same product, at the same moment, communicated by every bank at once — a natural like-for-like comparison.</w:t>
      </w:r>
    </w:p>
    <w:p>
      <w:pPr>
        <w:pStyle w:val="ListBullet"/>
      </w:pPr>
      <w:r>
        <w:rPr>
          <w:b/>
        </w:rPr>
        <w:t>The open web as an acquisition channel —</w:t>
      </w:r>
      <w:r>
        <w:t xml:space="preserve"> public campaign pages are used to acquire new clients, so they are the visible, comparable surface of each bank’s strategy.</w:t>
      </w:r>
    </w:p>
    <w:p>
      <w:pPr>
        <w:pStyle w:val="ListBullet"/>
      </w:pPr>
      <w:r>
        <w:rPr>
          <w:b/>
        </w:rPr>
        <w:t>New opponents —</w:t>
      </w:r>
      <w:r>
        <w:t xml:space="preserve"> neobanks and challengers (Revolut, N26, bunq) communicate in a visibly different register.</w:t>
      </w:r>
    </w:p>
    <w:p>
      <w:pPr>
        <w:pStyle w:val="ListBullet"/>
      </w:pPr>
      <w:r>
        <w:rPr>
          <w:b/>
        </w:rPr>
        <w:t>The next battle —</w:t>
      </w:r>
      <w:r>
        <w:t xml:space="preserve"> ING launched a new value proposition in May (four packs: Go, More, Extra, Max), first in the market. How it is presented online matters commercially.</w:t>
      </w:r>
    </w:p>
    <w:p>
      <w:pPr>
        <w:pStyle w:val="Heading2"/>
      </w:pPr>
      <w:r>
        <w:rPr>
          <w:b w:val="0"/>
          <w:i w:val="0"/>
        </w:rPr>
        <w:t>2.4 What the stakeholders already believe (hypotheses to verify)</w:t>
      </w:r>
    </w:p>
    <w:p>
      <w:r>
        <w:rPr>
          <w:b w:val="0"/>
          <w:i w:val="0"/>
        </w:rPr>
        <w:t>The deck contains an informal, eyeball-level comparison of campaign pages. It is explicitly anecdotal and unmeasured. The project should treat it as a set of hypotheses to confirm, refine or contradict with evidence — not as ground truth.</w:t>
      </w:r>
    </w:p>
    <w:tbl>
      <w:tblPr>
        <w:tblStyle w:val="TableGrid"/>
        <w:jc w:val="center"/>
        <w:tblLook w:firstColumn="1" w:firstRow="1" w:lastColumn="0" w:lastRow="0" w:noHBand="0" w:noVBand="1" w:val="04A0"/>
        <w:tblLayout w:type="fixed"/>
        <w:tblW w:w="9412" w:type="dxa"/>
      </w:tblPr>
      <w:tblGrid>
        <w:gridCol w:w="1927"/>
        <w:gridCol w:w="7484"/>
      </w:tblGrid>
      <w:tr>
        <w:tc>
          <w:tcPr>
            <w:tcW w:type="dxa" w:w="1928"/>
            <w:shd w:val="clear" w:color="auto" w:fill="FF6200"/>
          </w:tcPr>
          <w:p>
            <w:pPr>
              <w:spacing w:after="40" w:before="40"/>
            </w:pPr>
            <w:r/>
            <w:r>
              <w:rPr>
                <w:b/>
                <w:color w:val="FFFFFF"/>
                <w:sz w:val="19"/>
              </w:rPr>
              <w:t>Bank</w:t>
            </w:r>
          </w:p>
        </w:tc>
        <w:tc>
          <w:tcPr>
            <w:tcW w:type="dxa" w:w="7483"/>
            <w:shd w:val="clear" w:color="auto" w:fill="FF6200"/>
          </w:tcPr>
          <w:p>
            <w:pPr>
              <w:spacing w:after="40" w:before="40"/>
            </w:pPr>
            <w:r/>
            <w:r>
              <w:rPr>
                <w:b/>
                <w:color w:val="FFFFFF"/>
                <w:sz w:val="19"/>
              </w:rPr>
              <w:t>Observation recorded in the kickoff deck</w:t>
            </w:r>
          </w:p>
        </w:tc>
      </w:tr>
      <w:tr>
        <w:tc>
          <w:tcPr>
            <w:tcW w:type="dxa" w:w="1928"/>
          </w:tcPr>
          <w:p>
            <w:pPr>
              <w:spacing w:after="20" w:before="20"/>
            </w:pPr>
            <w:r/>
            <w:r>
              <w:rPr>
                <w:sz w:val="19"/>
              </w:rPr>
              <w:t>Belfius</w:t>
            </w:r>
          </w:p>
        </w:tc>
        <w:tc>
          <w:tcPr>
            <w:tcW w:type="dxa" w:w="7483"/>
          </w:tcPr>
          <w:p>
            <w:pPr>
              <w:spacing w:after="20" w:before="20"/>
            </w:pPr>
            <w:r/>
            <w:r>
              <w:rPr>
                <w:sz w:val="19"/>
              </w:rPr>
              <w:t>Red accent in text and pictures; text and picture side by side; fairly verbose; static pictures.</w:t>
            </w:r>
          </w:p>
        </w:tc>
      </w:tr>
      <w:tr>
        <w:tc>
          <w:tcPr>
            <w:tcW w:type="dxa" w:w="1928"/>
            <w:shd w:val="clear" w:color="auto" w:fill="FDF0E6"/>
          </w:tcPr>
          <w:p>
            <w:pPr>
              <w:spacing w:after="20" w:before="20"/>
            </w:pPr>
            <w:r/>
            <w:r>
              <w:rPr>
                <w:sz w:val="19"/>
              </w:rPr>
              <w:t>KBC</w:t>
            </w:r>
          </w:p>
        </w:tc>
        <w:tc>
          <w:tcPr>
            <w:tcW w:type="dxa" w:w="7483"/>
            <w:shd w:val="clear" w:color="auto" w:fill="FDF0E6"/>
          </w:tcPr>
          <w:p>
            <w:pPr>
              <w:spacing w:after="20" w:before="20"/>
            </w:pPr>
            <w:r/>
            <w:r>
              <w:rPr>
                <w:sz w:val="19"/>
              </w:rPr>
              <w:t>Blue accent in pictures, green in text; text and picture side by side; straight to the point; static pictures.</w:t>
            </w:r>
          </w:p>
        </w:tc>
      </w:tr>
      <w:tr>
        <w:tc>
          <w:tcPr>
            <w:tcW w:type="dxa" w:w="1928"/>
          </w:tcPr>
          <w:p>
            <w:pPr>
              <w:spacing w:after="20" w:before="20"/>
            </w:pPr>
            <w:r/>
            <w:r>
              <w:rPr>
                <w:sz w:val="19"/>
              </w:rPr>
              <w:t>BNP Paribas Fortis</w:t>
            </w:r>
          </w:p>
        </w:tc>
        <w:tc>
          <w:tcPr>
            <w:tcW w:type="dxa" w:w="7483"/>
          </w:tcPr>
          <w:p>
            <w:pPr>
              <w:spacing w:after="20" w:before="20"/>
            </w:pPr>
            <w:r/>
            <w:r>
              <w:rPr>
                <w:sz w:val="19"/>
              </w:rPr>
              <w:t>One very large picture at the top; green accent in text and icons but not in pictures; text and picture side by side; static pictures.</w:t>
            </w:r>
          </w:p>
        </w:tc>
      </w:tr>
      <w:tr>
        <w:tc>
          <w:tcPr>
            <w:tcW w:type="dxa" w:w="1928"/>
            <w:shd w:val="clear" w:color="auto" w:fill="FDF0E6"/>
          </w:tcPr>
          <w:p>
            <w:pPr>
              <w:spacing w:after="20" w:before="20"/>
            </w:pPr>
            <w:r/>
            <w:r>
              <w:rPr>
                <w:sz w:val="19"/>
              </w:rPr>
              <w:t>ING</w:t>
            </w:r>
          </w:p>
        </w:tc>
        <w:tc>
          <w:tcPr>
            <w:tcW w:type="dxa" w:w="7483"/>
            <w:shd w:val="clear" w:color="auto" w:fill="FDF0E6"/>
          </w:tcPr>
          <w:p>
            <w:pPr>
              <w:spacing w:after="20" w:before="20"/>
            </w:pPr>
            <w:r/>
            <w:r>
              <w:rPr>
                <w:sz w:val="19"/>
              </w:rPr>
              <w:t>One very large picture at the top carrying text; broader palette than orange alone; text and picture no longer side by side; partially animated figures and animated GIFs.</w:t>
            </w:r>
          </w:p>
        </w:tc>
      </w:tr>
      <w:tr>
        <w:tc>
          <w:tcPr>
            <w:tcW w:type="dxa" w:w="1928"/>
          </w:tcPr>
          <w:p>
            <w:pPr>
              <w:spacing w:after="20" w:before="20"/>
            </w:pPr>
            <w:r/>
            <w:r>
              <w:rPr>
                <w:sz w:val="19"/>
              </w:rPr>
              <w:t>Revolut</w:t>
            </w:r>
          </w:p>
        </w:tc>
        <w:tc>
          <w:tcPr>
            <w:tcW w:type="dxa" w:w="7483"/>
          </w:tcPr>
          <w:p>
            <w:pPr>
              <w:spacing w:after="20" w:before="20"/>
            </w:pPr>
            <w:r/>
            <w:r>
              <w:rPr>
                <w:sz w:val="19"/>
              </w:rPr>
              <w:t>Large images everywhere; very little text; deep blue and dark tones; 3D animated pictures.</w:t>
            </w:r>
          </w:p>
        </w:tc>
      </w:tr>
    </w:tbl>
    <w:p>
      <w:pPr>
        <w:spacing w:after="80"/>
      </w:pPr>
    </w:p>
    <w:p>
      <w:pPr>
        <w:pStyle w:val="Heading1"/>
      </w:pPr>
      <w:r>
        <w:rPr>
          <w:b w:val="0"/>
          <w:i w:val="0"/>
        </w:rPr>
        <w:t>3. Problem statement</w:t>
      </w:r>
    </w:p>
    <w:p>
      <w:pPr>
        <w:spacing w:before="80" w:after="160"/>
        <w:ind w:left="340"/>
      </w:pPr>
      <w:r>
        <w:rPr>
          <w:b/>
          <w:color w:val="FF6200"/>
          <w:sz w:val="24"/>
        </w:rPr>
        <w:t>How do Belgian banks communicate similar products differently, and what can ING learn from those differences?</w:t>
      </w:r>
    </w:p>
    <w:p>
      <w:r>
        <w:rPr>
          <w:b w:val="0"/>
          <w:i w:val="0"/>
        </w:rPr>
        <w:t>The stakeholders break this into three questions, quoted from the deck:</w:t>
      </w:r>
    </w:p>
    <w:p>
      <w:pPr>
        <w:pStyle w:val="ListBullet"/>
      </w:pPr>
      <w:r>
        <w:t>Can we build a structured and reproducible way to compare competitor campaigns?</w:t>
      </w:r>
    </w:p>
    <w:p>
      <w:pPr>
        <w:pStyle w:val="ListBullet"/>
      </w:pPr>
      <w:r>
        <w:t>Which patterns can we identify in how banks communicate?</w:t>
      </w:r>
    </w:p>
    <w:p>
      <w:pPr>
        <w:pStyle w:val="ListBullet"/>
      </w:pPr>
      <w:r>
        <w:t>We believe competitors communicate differently. Can we prove it, measure it, and explain it?</w:t>
      </w:r>
    </w:p>
    <w:p>
      <w:r>
        <w:rPr>
          <w:b w:val="0"/>
          <w:i w:val="0"/>
        </w:rPr>
        <w:t>The written brief adds the positioning questions: where does ING stand compared to competitors; is ING closer to traditional banks or to challenger banks; which banks use similar communication strategies; what patterns appear in how campaigns are structured and delivered.</w:t>
      </w:r>
    </w:p>
    <w:p>
      <w:pPr>
        <w:pStyle w:val="Heading1"/>
      </w:pPr>
      <w:r>
        <w:rPr>
          <w:b w:val="0"/>
          <w:i w:val="0"/>
        </w:rPr>
        <w:t>4. Business objectives</w:t>
      </w:r>
    </w:p>
    <w:tbl>
      <w:tblPr>
        <w:tblStyle w:val="TableGrid"/>
        <w:jc w:val="center"/>
        <w:tblLook w:firstColumn="1" w:firstRow="1" w:lastColumn="0" w:lastRow="0" w:noHBand="0" w:noVBand="1" w:val="04A0"/>
        <w:tblLayout w:type="fixed"/>
        <w:tblW w:w="9412" w:type="dxa"/>
      </w:tblPr>
      <w:tblGrid>
        <w:gridCol w:w="907"/>
        <w:gridCol w:w="2381"/>
        <w:gridCol w:w="6123"/>
      </w:tblGrid>
      <w:tr>
        <w:tc>
          <w:tcPr>
            <w:tcW w:type="dxa" w:w="907"/>
            <w:shd w:val="clear" w:color="auto" w:fill="FF6200"/>
          </w:tcPr>
          <w:p>
            <w:pPr>
              <w:spacing w:after="40" w:before="40"/>
            </w:pPr>
            <w:r/>
            <w:r>
              <w:rPr>
                <w:b/>
                <w:color w:val="FFFFFF"/>
                <w:sz w:val="19"/>
              </w:rPr>
              <w:t>ID</w:t>
            </w:r>
          </w:p>
        </w:tc>
        <w:tc>
          <w:tcPr>
            <w:tcW w:type="dxa" w:w="2381"/>
            <w:shd w:val="clear" w:color="auto" w:fill="FF6200"/>
          </w:tcPr>
          <w:p>
            <w:pPr>
              <w:spacing w:after="40" w:before="40"/>
            </w:pPr>
            <w:r/>
            <w:r>
              <w:rPr>
                <w:b/>
                <w:color w:val="FFFFFF"/>
                <w:sz w:val="19"/>
              </w:rPr>
              <w:t>Objective</w:t>
            </w:r>
          </w:p>
        </w:tc>
        <w:tc>
          <w:tcPr>
            <w:tcW w:type="dxa" w:w="6123"/>
            <w:shd w:val="clear" w:color="auto" w:fill="FF6200"/>
          </w:tcPr>
          <w:p>
            <w:pPr>
              <w:spacing w:after="40" w:before="40"/>
            </w:pPr>
            <w:r/>
            <w:r>
              <w:rPr>
                <w:b/>
                <w:color w:val="FFFFFF"/>
                <w:sz w:val="19"/>
              </w:rPr>
              <w:t>Description</w:t>
            </w:r>
          </w:p>
        </w:tc>
      </w:tr>
      <w:tr>
        <w:tc>
          <w:tcPr>
            <w:tcW w:type="dxa" w:w="907"/>
          </w:tcPr>
          <w:p>
            <w:pPr>
              <w:spacing w:after="20" w:before="20"/>
            </w:pPr>
            <w:r/>
            <w:r>
              <w:rPr>
                <w:b/>
                <w:sz w:val="19"/>
              </w:rPr>
              <w:t>BO-01</w:t>
            </w:r>
          </w:p>
        </w:tc>
        <w:tc>
          <w:tcPr>
            <w:tcW w:type="dxa" w:w="2381"/>
          </w:tcPr>
          <w:p>
            <w:pPr>
              <w:spacing w:after="20" w:before="20"/>
            </w:pPr>
            <w:r/>
            <w:r>
              <w:rPr>
                <w:sz w:val="19"/>
              </w:rPr>
              <w:t>Position ING</w:t>
            </w:r>
          </w:p>
        </w:tc>
        <w:tc>
          <w:tcPr>
            <w:tcW w:type="dxa" w:w="6123"/>
          </w:tcPr>
          <w:p>
            <w:pPr>
              <w:spacing w:after="20" w:before="20"/>
            </w:pPr>
            <w:r/>
            <w:r>
              <w:rPr>
                <w:sz w:val="19"/>
              </w:rPr>
              <w:t>Produce an evidence-based view of where ING stands against selected competitors on how it communicates, not on what it sells.</w:t>
            </w:r>
          </w:p>
        </w:tc>
      </w:tr>
      <w:tr>
        <w:tc>
          <w:tcPr>
            <w:tcW w:type="dxa" w:w="907"/>
            <w:shd w:val="clear" w:color="auto" w:fill="FDF0E6"/>
          </w:tcPr>
          <w:p>
            <w:pPr>
              <w:spacing w:after="20" w:before="20"/>
            </w:pPr>
            <w:r/>
            <w:r>
              <w:rPr>
                <w:b/>
                <w:sz w:val="19"/>
              </w:rPr>
              <w:t>BO-02</w:t>
            </w:r>
          </w:p>
        </w:tc>
        <w:tc>
          <w:tcPr>
            <w:tcW w:type="dxa" w:w="2381"/>
            <w:shd w:val="clear" w:color="auto" w:fill="FDF0E6"/>
          </w:tcPr>
          <w:p>
            <w:pPr>
              <w:spacing w:after="20" w:before="20"/>
            </w:pPr>
            <w:r/>
            <w:r>
              <w:rPr>
                <w:sz w:val="19"/>
              </w:rPr>
              <w:t>Place ING on the traditional–challenger axis</w:t>
            </w:r>
          </w:p>
        </w:tc>
        <w:tc>
          <w:tcPr>
            <w:tcW w:type="dxa" w:w="6123"/>
            <w:shd w:val="clear" w:color="auto" w:fill="FDF0E6"/>
          </w:tcPr>
          <w:p>
            <w:pPr>
              <w:spacing w:after="20" w:before="20"/>
            </w:pPr>
            <w:r/>
            <w:r>
              <w:rPr>
                <w:sz w:val="19"/>
              </w:rPr>
              <w:t>Determine empirically whether ING’s communication resembles that of traditional Belgian banks or that of neobanks.</w:t>
            </w:r>
          </w:p>
        </w:tc>
      </w:tr>
      <w:tr>
        <w:tc>
          <w:tcPr>
            <w:tcW w:type="dxa" w:w="907"/>
          </w:tcPr>
          <w:p>
            <w:pPr>
              <w:spacing w:after="20" w:before="20"/>
            </w:pPr>
            <w:r/>
            <w:r>
              <w:rPr>
                <w:b/>
                <w:sz w:val="19"/>
              </w:rPr>
              <w:t>BO-03</w:t>
            </w:r>
          </w:p>
        </w:tc>
        <w:tc>
          <w:tcPr>
            <w:tcW w:type="dxa" w:w="2381"/>
          </w:tcPr>
          <w:p>
            <w:pPr>
              <w:spacing w:after="20" w:before="20"/>
            </w:pPr>
            <w:r/>
            <w:r>
              <w:rPr>
                <w:sz w:val="19"/>
              </w:rPr>
              <w:t>Group banks by communication strategy</w:t>
            </w:r>
          </w:p>
        </w:tc>
        <w:tc>
          <w:tcPr>
            <w:tcW w:type="dxa" w:w="6123"/>
          </w:tcPr>
          <w:p>
            <w:pPr>
              <w:spacing w:after="20" w:before="20"/>
            </w:pPr>
            <w:r/>
            <w:r>
              <w:rPr>
                <w:sz w:val="19"/>
              </w:rPr>
              <w:t>Identify which banks communicate in similar ways, and on which dimensions they converge or diverge.</w:t>
            </w:r>
          </w:p>
        </w:tc>
      </w:tr>
      <w:tr>
        <w:tc>
          <w:tcPr>
            <w:tcW w:type="dxa" w:w="907"/>
            <w:shd w:val="clear" w:color="auto" w:fill="FDF0E6"/>
          </w:tcPr>
          <w:p>
            <w:pPr>
              <w:spacing w:after="20" w:before="20"/>
            </w:pPr>
            <w:r/>
            <w:r>
              <w:rPr>
                <w:b/>
                <w:sz w:val="19"/>
              </w:rPr>
              <w:t>BO-04</w:t>
            </w:r>
          </w:p>
        </w:tc>
        <w:tc>
          <w:tcPr>
            <w:tcW w:type="dxa" w:w="2381"/>
            <w:shd w:val="clear" w:color="auto" w:fill="FDF0E6"/>
          </w:tcPr>
          <w:p>
            <w:pPr>
              <w:spacing w:after="20" w:before="20"/>
            </w:pPr>
            <w:r/>
            <w:r>
              <w:rPr>
                <w:sz w:val="19"/>
              </w:rPr>
              <w:t>Identify patterns</w:t>
            </w:r>
          </w:p>
        </w:tc>
        <w:tc>
          <w:tcPr>
            <w:tcW w:type="dxa" w:w="6123"/>
            <w:shd w:val="clear" w:color="auto" w:fill="FDF0E6"/>
          </w:tcPr>
          <w:p>
            <w:pPr>
              <w:spacing w:after="20" w:before="20"/>
            </w:pPr>
            <w:r/>
            <w:r>
              <w:rPr>
                <w:sz w:val="19"/>
              </w:rPr>
              <w:t>Surface recurring patterns in how campaigns are structured and delivered across the market.</w:t>
            </w:r>
          </w:p>
        </w:tc>
      </w:tr>
      <w:tr>
        <w:tc>
          <w:tcPr>
            <w:tcW w:type="dxa" w:w="907"/>
          </w:tcPr>
          <w:p>
            <w:pPr>
              <w:spacing w:after="20" w:before="20"/>
            </w:pPr>
            <w:r/>
            <w:r>
              <w:rPr>
                <w:b/>
                <w:sz w:val="19"/>
              </w:rPr>
              <w:t>BO-05</w:t>
            </w:r>
          </w:p>
        </w:tc>
        <w:tc>
          <w:tcPr>
            <w:tcW w:type="dxa" w:w="2381"/>
          </w:tcPr>
          <w:p>
            <w:pPr>
              <w:spacing w:after="20" w:before="20"/>
            </w:pPr>
            <w:r/>
            <w:r>
              <w:rPr>
                <w:sz w:val="19"/>
              </w:rPr>
              <w:t>Build a reusable feature framework</w:t>
            </w:r>
          </w:p>
        </w:tc>
        <w:tc>
          <w:tcPr>
            <w:tcW w:type="dxa" w:w="6123"/>
          </w:tcPr>
          <w:p>
            <w:pPr>
              <w:spacing w:after="20" w:before="20"/>
            </w:pPr>
            <w:r/>
            <w:r>
              <w:rPr>
                <w:sz w:val="19"/>
              </w:rPr>
              <w:t>Deliver a structured, documented way to describe any campaign page as a row of features — the reusable asset that outlives this POC.</w:t>
            </w:r>
          </w:p>
        </w:tc>
      </w:tr>
      <w:tr>
        <w:tc>
          <w:tcPr>
            <w:tcW w:type="dxa" w:w="907"/>
            <w:shd w:val="clear" w:color="auto" w:fill="FDF0E6"/>
          </w:tcPr>
          <w:p>
            <w:pPr>
              <w:spacing w:after="20" w:before="20"/>
            </w:pPr>
            <w:r/>
            <w:r>
              <w:rPr>
                <w:b/>
                <w:sz w:val="19"/>
              </w:rPr>
              <w:t>BO-06</w:t>
            </w:r>
          </w:p>
        </w:tc>
        <w:tc>
          <w:tcPr>
            <w:tcW w:type="dxa" w:w="2381"/>
            <w:shd w:val="clear" w:color="auto" w:fill="FDF0E6"/>
          </w:tcPr>
          <w:p>
            <w:pPr>
              <w:spacing w:after="20" w:before="20"/>
            </w:pPr>
            <w:r/>
            <w:r>
              <w:rPr>
                <w:sz w:val="19"/>
              </w:rPr>
              <w:t>Produce actionable recommendations</w:t>
            </w:r>
          </w:p>
        </w:tc>
        <w:tc>
          <w:tcPr>
            <w:tcW w:type="dxa" w:w="6123"/>
            <w:shd w:val="clear" w:color="auto" w:fill="FDF0E6"/>
          </w:tcPr>
          <w:p>
            <w:pPr>
              <w:spacing w:after="20" w:before="20"/>
            </w:pPr>
            <w:r/>
            <w:r>
              <w:rPr>
                <w:sz w:val="19"/>
              </w:rPr>
              <w:t>Deliver a small number of well-argued insights or improvement ideas for how ING designs and communicates campaigns.</w:t>
            </w:r>
          </w:p>
        </w:tc>
      </w:tr>
      <w:tr>
        <w:tc>
          <w:tcPr>
            <w:tcW w:type="dxa" w:w="907"/>
          </w:tcPr>
          <w:p>
            <w:pPr>
              <w:spacing w:after="20" w:before="20"/>
            </w:pPr>
            <w:r/>
            <w:r>
              <w:rPr>
                <w:b/>
                <w:sz w:val="19"/>
              </w:rPr>
              <w:t>BO-07</w:t>
            </w:r>
          </w:p>
        </w:tc>
        <w:tc>
          <w:tcPr>
            <w:tcW w:type="dxa" w:w="2381"/>
          </w:tcPr>
          <w:p>
            <w:pPr>
              <w:spacing w:after="20" w:before="20"/>
            </w:pPr>
            <w:r/>
            <w:r>
              <w:rPr>
                <w:sz w:val="19"/>
              </w:rPr>
              <w:t>Demonstrate a compliant, reproducible method</w:t>
            </w:r>
          </w:p>
        </w:tc>
        <w:tc>
          <w:tcPr>
            <w:tcW w:type="dxa" w:w="6123"/>
          </w:tcPr>
          <w:p>
            <w:pPr>
              <w:spacing w:after="20" w:before="20"/>
            </w:pPr>
            <w:r/>
            <w:r>
              <w:rPr>
                <w:sz w:val="19"/>
              </w:rPr>
              <w:t>Show that the whole chain can be re-run by someone else, on public data only, within what the sources allow.</w:t>
            </w:r>
          </w:p>
        </w:tc>
      </w:tr>
    </w:tbl>
    <w:p>
      <w:pPr>
        <w:spacing w:after="80"/>
      </w:pPr>
    </w:p>
    <w:p>
      <w:r>
        <w:rPr>
          <w:b w:val="0"/>
          <w:i/>
        </w:rPr>
        <w:t>Explicit non-objective: this is not a modelling exercise and not a production system. The deck is unambiguous — "It’s a POC not a solution to be deployed in production." Predictive modelling of campaign performance is out of scope for this delivery (see section 5.2), although BO-05 is meant to make it possible later.</w:t>
      </w:r>
    </w:p>
    <w:p>
      <w:pPr>
        <w:pStyle w:val="Heading1"/>
      </w:pPr>
      <w:r>
        <w:rPr>
          <w:b w:val="0"/>
          <w:i w:val="0"/>
        </w:rPr>
        <w:t>5. Scope</w:t>
      </w:r>
    </w:p>
    <w:p>
      <w:pPr>
        <w:pStyle w:val="Heading2"/>
      </w:pPr>
      <w:r>
        <w:rPr>
          <w:b w:val="0"/>
          <w:i w:val="0"/>
        </w:rPr>
        <w:t>5.1 In scope</w:t>
      </w:r>
    </w:p>
    <w:p>
      <w:pPr>
        <w:pStyle w:val="ListBullet"/>
      </w:pPr>
      <w:r>
        <w:rPr>
          <w:b/>
        </w:rPr>
        <w:t>Channel —</w:t>
      </w:r>
      <w:r>
        <w:t xml:space="preserve"> publicly accessible web pages of banks operating in Belgium: campaign, product and landing pages reachable without authentication.</w:t>
      </w:r>
    </w:p>
    <w:p>
      <w:pPr>
        <w:pStyle w:val="ListBullet"/>
      </w:pPr>
      <w:r>
        <w:rPr>
          <w:b/>
        </w:rPr>
        <w:t>Banks —</w:t>
      </w:r>
      <w:r>
        <w:t xml:space="preserve"> a justified subset of the list below.</w:t>
      </w:r>
    </w:p>
    <w:p>
      <w:pPr>
        <w:pStyle w:val="ListBullet"/>
      </w:pPr>
      <w:r>
        <w:rPr>
          <w:b/>
        </w:rPr>
        <w:t>Content of the analysis —</w:t>
      </w:r>
      <w:r>
        <w:t xml:space="preserve"> campaigns treated as a combination of content and design, analysed along the dimensions in section 11.</w:t>
      </w:r>
    </w:p>
    <w:p>
      <w:pPr>
        <w:pStyle w:val="ListBullet"/>
      </w:pPr>
      <w:r>
        <w:rPr>
          <w:b/>
        </w:rPr>
        <w:t>Output —</w:t>
      </w:r>
      <w:r>
        <w:t xml:space="preserve"> a structured dataset, a comparative analysis, and two presentations (business and data).</w:t>
      </w:r>
    </w:p>
    <w:tbl>
      <w:tblPr>
        <w:tblStyle w:val="TableGrid"/>
        <w:jc w:val="center"/>
        <w:tblLook w:firstColumn="1" w:firstRow="1" w:lastColumn="0" w:lastRow="0" w:noHBand="0" w:noVBand="1" w:val="04A0"/>
        <w:tblLayout w:type="fixed"/>
        <w:tblW w:w="9412" w:type="dxa"/>
      </w:tblPr>
      <w:tblGrid>
        <w:gridCol w:w="2948"/>
        <w:gridCol w:w="6463"/>
      </w:tblGrid>
      <w:tr>
        <w:tc>
          <w:tcPr>
            <w:tcW w:type="dxa" w:w="2948"/>
            <w:shd w:val="clear" w:color="auto" w:fill="FF6200"/>
          </w:tcPr>
          <w:p>
            <w:pPr>
              <w:spacing w:after="40" w:before="40"/>
            </w:pPr>
            <w:r/>
            <w:r>
              <w:rPr>
                <w:b/>
                <w:color w:val="FFFFFF"/>
                <w:sz w:val="19"/>
              </w:rPr>
              <w:t>Category</w:t>
            </w:r>
          </w:p>
        </w:tc>
        <w:tc>
          <w:tcPr>
            <w:tcW w:type="dxa" w:w="6463"/>
            <w:shd w:val="clear" w:color="auto" w:fill="FF6200"/>
          </w:tcPr>
          <w:p>
            <w:pPr>
              <w:spacing w:after="40" w:before="40"/>
            </w:pPr>
            <w:r/>
            <w:r>
              <w:rPr>
                <w:b/>
                <w:color w:val="FFFFFF"/>
                <w:sz w:val="19"/>
              </w:rPr>
              <w:t>Banks named in the brief</w:t>
            </w:r>
          </w:p>
        </w:tc>
      </w:tr>
      <w:tr>
        <w:tc>
          <w:tcPr>
            <w:tcW w:type="dxa" w:w="2948"/>
          </w:tcPr>
          <w:p>
            <w:pPr>
              <w:spacing w:after="20" w:before="20"/>
            </w:pPr>
            <w:r/>
            <w:r>
              <w:rPr>
                <w:sz w:val="19"/>
              </w:rPr>
              <w:t>Traditional</w:t>
            </w:r>
          </w:p>
        </w:tc>
        <w:tc>
          <w:tcPr>
            <w:tcW w:type="dxa" w:w="6463"/>
          </w:tcPr>
          <w:p>
            <w:pPr>
              <w:spacing w:after="20" w:before="20"/>
            </w:pPr>
            <w:r/>
            <w:r>
              <w:rPr>
                <w:sz w:val="19"/>
              </w:rPr>
              <w:t>ING, KBC, BNP Paribas Fortis, Argenta, Crelan</w:t>
            </w:r>
          </w:p>
        </w:tc>
      </w:tr>
      <w:tr>
        <w:tc>
          <w:tcPr>
            <w:tcW w:type="dxa" w:w="2948"/>
            <w:shd w:val="clear" w:color="auto" w:fill="FDF0E6"/>
          </w:tcPr>
          <w:p>
            <w:pPr>
              <w:spacing w:after="20" w:before="20"/>
            </w:pPr>
            <w:r/>
            <w:r>
              <w:rPr>
                <w:sz w:val="19"/>
              </w:rPr>
              <w:t>Neobanks / challengers</w:t>
            </w:r>
          </w:p>
        </w:tc>
        <w:tc>
          <w:tcPr>
            <w:tcW w:type="dxa" w:w="6463"/>
            <w:shd w:val="clear" w:color="auto" w:fill="FDF0E6"/>
          </w:tcPr>
          <w:p>
            <w:pPr>
              <w:spacing w:after="20" w:before="20"/>
            </w:pPr>
            <w:r/>
            <w:r>
              <w:rPr>
                <w:sz w:val="19"/>
              </w:rPr>
              <w:t>Revolut, N26, bunq</w:t>
            </w:r>
          </w:p>
        </w:tc>
      </w:tr>
      <w:tr>
        <w:tc>
          <w:tcPr>
            <w:tcW w:type="dxa" w:w="2948"/>
          </w:tcPr>
          <w:p>
            <w:pPr>
              <w:spacing w:after="20" w:before="20"/>
            </w:pPr>
            <w:r/>
            <w:r>
              <w:rPr>
                <w:sz w:val="19"/>
              </w:rPr>
              <w:t>Mentioned in the deck, not in the written list</w:t>
            </w:r>
          </w:p>
        </w:tc>
        <w:tc>
          <w:tcPr>
            <w:tcW w:type="dxa" w:w="6463"/>
          </w:tcPr>
          <w:p>
            <w:pPr>
              <w:spacing w:after="20" w:before="20"/>
            </w:pPr>
            <w:r/>
            <w:r>
              <w:rPr>
                <w:sz w:val="19"/>
              </w:rPr>
              <w:t>Belfius — to be confirmed as in or out of scope (see section 17)</w:t>
            </w:r>
          </w:p>
        </w:tc>
      </w:tr>
    </w:tbl>
    <w:p>
      <w:pPr>
        <w:spacing w:after="80"/>
      </w:pPr>
    </w:p>
    <w:p>
      <w:r>
        <w:rPr>
          <w:b w:val="0"/>
          <w:i w:val="0"/>
        </w:rPr>
        <w:t>The brief is explicit that full coverage is not expected: "You are not expected to cover everything. Part of the work is to decide what is relevant and justify your scope." Narrowing the bank list, the product family, or the number of pages is therefore permitted — provided the reduction is stated and argued. ING must always be included, since BO-01 and BO-02 depend on it.</w:t>
      </w:r>
    </w:p>
    <w:p>
      <w:pPr>
        <w:pStyle w:val="Heading2"/>
      </w:pPr>
      <w:r>
        <w:rPr>
          <w:b w:val="0"/>
          <w:i w:val="0"/>
        </w:rPr>
        <w:t>5.2 Out of scope for this delivery</w:t>
      </w:r>
    </w:p>
    <w:tbl>
      <w:tblPr>
        <w:tblStyle w:val="TableGrid"/>
        <w:jc w:val="center"/>
        <w:tblLook w:firstColumn="1" w:firstRow="1" w:lastColumn="0" w:lastRow="0" w:noHBand="0" w:noVBand="1" w:val="04A0"/>
        <w:tblLayout w:type="fixed"/>
        <w:tblW w:w="9412" w:type="dxa"/>
      </w:tblPr>
      <w:tblGrid>
        <w:gridCol w:w="3402"/>
        <w:gridCol w:w="6010"/>
      </w:tblGrid>
      <w:tr>
        <w:tc>
          <w:tcPr>
            <w:tcW w:type="dxa" w:w="3402"/>
            <w:shd w:val="clear" w:color="auto" w:fill="FF6200"/>
          </w:tcPr>
          <w:p>
            <w:pPr>
              <w:spacing w:after="40" w:before="40"/>
            </w:pPr>
            <w:r/>
            <w:r>
              <w:rPr>
                <w:b/>
                <w:color w:val="FFFFFF"/>
                <w:sz w:val="19"/>
              </w:rPr>
              <w:t>Excluded</w:t>
            </w:r>
          </w:p>
        </w:tc>
        <w:tc>
          <w:tcPr>
            <w:tcW w:type="dxa" w:w="6009"/>
            <w:shd w:val="clear" w:color="auto" w:fill="FF6200"/>
          </w:tcPr>
          <w:p>
            <w:pPr>
              <w:spacing w:after="40" w:before="40"/>
            </w:pPr>
            <w:r/>
            <w:r>
              <w:rPr>
                <w:b/>
                <w:color w:val="FFFFFF"/>
                <w:sz w:val="19"/>
              </w:rPr>
              <w:t>Reason</w:t>
            </w:r>
          </w:p>
        </w:tc>
      </w:tr>
      <w:tr>
        <w:tc>
          <w:tcPr>
            <w:tcW w:type="dxa" w:w="3402"/>
          </w:tcPr>
          <w:p>
            <w:pPr>
              <w:spacing w:after="20" w:before="20"/>
            </w:pPr>
            <w:r/>
            <w:r>
              <w:rPr>
                <w:sz w:val="19"/>
              </w:rPr>
              <w:t>Social media campaigns</w:t>
            </w:r>
          </w:p>
        </w:tc>
        <w:tc>
          <w:tcPr>
            <w:tcW w:type="dxa" w:w="6009"/>
          </w:tcPr>
          <w:p>
            <w:pPr>
              <w:spacing w:after="20" w:before="20"/>
            </w:pPr>
            <w:r/>
            <w:r>
              <w:rPr>
                <w:sz w:val="19"/>
              </w:rPr>
              <w:t>Named in the brief as a future extension of the framework, not as part of this POC.</w:t>
            </w:r>
          </w:p>
        </w:tc>
      </w:tr>
      <w:tr>
        <w:tc>
          <w:tcPr>
            <w:tcW w:type="dxa" w:w="3402"/>
            <w:shd w:val="clear" w:color="auto" w:fill="FDF0E6"/>
          </w:tcPr>
          <w:p>
            <w:pPr>
              <w:spacing w:after="20" w:before="20"/>
            </w:pPr>
            <w:r/>
            <w:r>
              <w:rPr>
                <w:sz w:val="19"/>
              </w:rPr>
              <w:t>In-app and mobile banners, e-mail, push</w:t>
            </w:r>
          </w:p>
        </w:tc>
        <w:tc>
          <w:tcPr>
            <w:tcW w:type="dxa" w:w="6009"/>
            <w:shd w:val="clear" w:color="auto" w:fill="FDF0E6"/>
          </w:tcPr>
          <w:p>
            <w:pPr>
              <w:spacing w:after="20" w:before="20"/>
            </w:pPr>
            <w:r/>
            <w:r>
              <w:rPr>
                <w:sz w:val="19"/>
              </w:rPr>
              <w:t>Same — explicitly listed under "why this matters / could be extended to".</w:t>
            </w:r>
          </w:p>
        </w:tc>
      </w:tr>
      <w:tr>
        <w:tc>
          <w:tcPr>
            <w:tcW w:type="dxa" w:w="3402"/>
          </w:tcPr>
          <w:p>
            <w:pPr>
              <w:spacing w:after="20" w:before="20"/>
            </w:pPr>
            <w:r/>
            <w:r>
              <w:rPr>
                <w:sz w:val="19"/>
              </w:rPr>
              <w:t>Authenticated, gated or paywalled content</w:t>
            </w:r>
          </w:p>
        </w:tc>
        <w:tc>
          <w:tcPr>
            <w:tcW w:type="dxa" w:w="6009"/>
          </w:tcPr>
          <w:p>
            <w:pPr>
              <w:spacing w:after="20" w:before="20"/>
            </w:pPr>
            <w:r/>
            <w:r>
              <w:rPr>
                <w:sz w:val="19"/>
              </w:rPr>
              <w:t>Not publicly available; collecting it would breach the compliance rules in section 9.</w:t>
            </w:r>
          </w:p>
        </w:tc>
      </w:tr>
      <w:tr>
        <w:tc>
          <w:tcPr>
            <w:tcW w:type="dxa" w:w="3402"/>
            <w:shd w:val="clear" w:color="auto" w:fill="FDF0E6"/>
          </w:tcPr>
          <w:p>
            <w:pPr>
              <w:spacing w:after="20" w:before="20"/>
            </w:pPr>
            <w:r/>
            <w:r>
              <w:rPr>
                <w:sz w:val="19"/>
              </w:rPr>
              <w:t>Personal data of any kind</w:t>
            </w:r>
          </w:p>
        </w:tc>
        <w:tc>
          <w:tcPr>
            <w:tcW w:type="dxa" w:w="6009"/>
            <w:shd w:val="clear" w:color="auto" w:fill="FDF0E6"/>
          </w:tcPr>
          <w:p>
            <w:pPr>
              <w:spacing w:after="20" w:before="20"/>
            </w:pPr>
            <w:r/>
            <w:r>
              <w:rPr>
                <w:sz w:val="19"/>
              </w:rPr>
              <w:t>Explicitly forbidden by the brief.</w:t>
            </w:r>
          </w:p>
        </w:tc>
      </w:tr>
      <w:tr>
        <w:tc>
          <w:tcPr>
            <w:tcW w:type="dxa" w:w="3402"/>
          </w:tcPr>
          <w:p>
            <w:pPr>
              <w:spacing w:after="20" w:before="20"/>
            </w:pPr>
            <w:r/>
            <w:r>
              <w:rPr>
                <w:sz w:val="19"/>
              </w:rPr>
              <w:t>Predictive modelling of CTR, conversion or campaign performance</w:t>
            </w:r>
          </w:p>
        </w:tc>
        <w:tc>
          <w:tcPr>
            <w:tcW w:type="dxa" w:w="6009"/>
          </w:tcPr>
          <w:p>
            <w:pPr>
              <w:spacing w:after="20" w:before="20"/>
            </w:pPr>
            <w:r/>
            <w:r>
              <w:rPr>
                <w:sz w:val="19"/>
              </w:rPr>
              <w:t>The project has no access to competitor performance data, and ING performance data is not part of the brief. Any claim linking design to performance would be unsupported (see risk R-08).</w:t>
            </w:r>
          </w:p>
        </w:tc>
      </w:tr>
      <w:tr>
        <w:tc>
          <w:tcPr>
            <w:tcW w:type="dxa" w:w="3402"/>
            <w:shd w:val="clear" w:color="auto" w:fill="FDF0E6"/>
          </w:tcPr>
          <w:p>
            <w:pPr>
              <w:spacing w:after="20" w:before="20"/>
            </w:pPr>
            <w:r/>
            <w:r>
              <w:rPr>
                <w:sz w:val="19"/>
              </w:rPr>
              <w:t>Production deployment, scheduling, monitoring, MLOps</w:t>
            </w:r>
          </w:p>
        </w:tc>
        <w:tc>
          <w:tcPr>
            <w:tcW w:type="dxa" w:w="6009"/>
            <w:shd w:val="clear" w:color="auto" w:fill="FDF0E6"/>
          </w:tcPr>
          <w:p>
            <w:pPr>
              <w:spacing w:after="20" w:before="20"/>
            </w:pPr>
            <w:r/>
            <w:r>
              <w:rPr>
                <w:sz w:val="19"/>
              </w:rPr>
              <w:t>The deliverable is a POC. Reproducibility (NFR-01) is required; industrialisation is not.</w:t>
            </w:r>
          </w:p>
        </w:tc>
      </w:tr>
      <w:tr>
        <w:tc>
          <w:tcPr>
            <w:tcW w:type="dxa" w:w="3402"/>
          </w:tcPr>
          <w:p>
            <w:pPr>
              <w:spacing w:after="20" w:before="20"/>
            </w:pPr>
            <w:r/>
            <w:r>
              <w:rPr>
                <w:sz w:val="19"/>
              </w:rPr>
              <w:t>Legal advice or a formal legal opinion</w:t>
            </w:r>
          </w:p>
        </w:tc>
        <w:tc>
          <w:tcPr>
            <w:tcW w:type="dxa" w:w="6009"/>
          </w:tcPr>
          <w:p>
            <w:pPr>
              <w:spacing w:after="20" w:before="20"/>
            </w:pPr>
            <w:r/>
            <w:r>
              <w:rPr>
                <w:sz w:val="19"/>
              </w:rPr>
              <w:t>The project documents the compliance reasoning it applied (LC-08); it does not certify legality.</w:t>
            </w:r>
          </w:p>
        </w:tc>
      </w:tr>
      <w:tr>
        <w:tc>
          <w:tcPr>
            <w:tcW w:type="dxa" w:w="3402"/>
            <w:shd w:val="clear" w:color="auto" w:fill="FDF0E6"/>
          </w:tcPr>
          <w:p>
            <w:pPr>
              <w:spacing w:after="20" w:before="20"/>
            </w:pPr>
            <w:r/>
            <w:r>
              <w:rPr>
                <w:sz w:val="19"/>
              </w:rPr>
              <w:t>Brand or creative recommendations beyond the evidence</w:t>
            </w:r>
          </w:p>
        </w:tc>
        <w:tc>
          <w:tcPr>
            <w:tcW w:type="dxa" w:w="6009"/>
            <w:shd w:val="clear" w:color="auto" w:fill="FDF0E6"/>
          </w:tcPr>
          <w:p>
            <w:pPr>
              <w:spacing w:after="20" w:before="20"/>
            </w:pPr>
            <w:r/>
            <w:r>
              <w:rPr>
                <w:sz w:val="19"/>
              </w:rPr>
              <w:t>Recommendations must trace back to measured features (NFR-03).</w:t>
            </w:r>
          </w:p>
        </w:tc>
      </w:tr>
    </w:tbl>
    <w:p>
      <w:pPr>
        <w:spacing w:after="80"/>
      </w:pPr>
    </w:p>
    <w:p>
      <w:pPr>
        <w:pStyle w:val="Heading2"/>
      </w:pPr>
      <w:r>
        <w:rPr>
          <w:b w:val="0"/>
          <w:i w:val="0"/>
        </w:rPr>
        <w:t>5.3 MVP definition</w:t>
      </w:r>
    </w:p>
    <w:p>
      <w:r>
        <w:rPr>
          <w:b w:val="0"/>
          <w:i w:val="0"/>
        </w:rPr>
        <w:t>The brief prescribes the delivery strategy directly: start small, deliver end-to-end. The MVP for this project is:</w:t>
      </w:r>
    </w:p>
    <w:p>
      <w:pPr>
        <w:ind w:left="340"/>
      </w:pPr>
      <w:r>
        <w:rPr>
          <w:i/>
          <w:color w:val="1F1F1F"/>
        </w:rPr>
        <w:t>A working, coherent analysis on a limited scope — a small set of banks and campaign pages, collected, featurised, compared and presented from start to finish, with everything excluded stated explicitly and justified.</w:t>
      </w:r>
    </w:p>
    <w:p>
      <w:r>
        <w:rPr>
          <w:b w:val="0"/>
          <w:i w:val="0"/>
        </w:rPr>
        <w:t>Breadth is added only after the end-to-end chain works. A wide but incomplete analysis does not satisfy this document.</w:t>
      </w:r>
    </w:p>
    <w:p>
      <w:pPr>
        <w:pStyle w:val="Heading1"/>
      </w:pPr>
      <w:r>
        <w:rPr>
          <w:b w:val="0"/>
          <w:i w:val="0"/>
        </w:rPr>
        <w:t>6. Stakeholders and audiences</w:t>
      </w:r>
    </w:p>
    <w:tbl>
      <w:tblPr>
        <w:tblStyle w:val="TableGrid"/>
        <w:jc w:val="center"/>
        <w:tblLook w:firstColumn="1" w:firstRow="1" w:lastColumn="0" w:lastRow="0" w:noHBand="0" w:noVBand="1" w:val="04A0"/>
        <w:tblLayout w:type="fixed"/>
        <w:tblW w:w="9412" w:type="dxa"/>
      </w:tblPr>
      <w:tblGrid>
        <w:gridCol w:w="2608"/>
        <w:gridCol w:w="2608"/>
        <w:gridCol w:w="4195"/>
      </w:tblGrid>
      <w:tr>
        <w:tc>
          <w:tcPr>
            <w:tcW w:type="dxa" w:w="2608"/>
            <w:shd w:val="clear" w:color="auto" w:fill="FF6200"/>
          </w:tcPr>
          <w:p>
            <w:pPr>
              <w:spacing w:after="40" w:before="40"/>
            </w:pPr>
            <w:r/>
            <w:r>
              <w:rPr>
                <w:b/>
                <w:color w:val="FFFFFF"/>
                <w:sz w:val="19"/>
              </w:rPr>
              <w:t>Stakeholder</w:t>
            </w:r>
          </w:p>
        </w:tc>
        <w:tc>
          <w:tcPr>
            <w:tcW w:type="dxa" w:w="2608"/>
            <w:shd w:val="clear" w:color="auto" w:fill="FF6200"/>
          </w:tcPr>
          <w:p>
            <w:pPr>
              <w:spacing w:after="40" w:before="40"/>
            </w:pPr>
            <w:r/>
            <w:r>
              <w:rPr>
                <w:b/>
                <w:color w:val="FFFFFF"/>
                <w:sz w:val="19"/>
              </w:rPr>
              <w:t>Role in this project</w:t>
            </w:r>
          </w:p>
        </w:tc>
        <w:tc>
          <w:tcPr>
            <w:tcW w:type="dxa" w:w="4195"/>
            <w:shd w:val="clear" w:color="auto" w:fill="FF6200"/>
          </w:tcPr>
          <w:p>
            <w:pPr>
              <w:spacing w:after="40" w:before="40"/>
            </w:pPr>
            <w:r/>
            <w:r>
              <w:rPr>
                <w:b/>
                <w:color w:val="FFFFFF"/>
                <w:sz w:val="19"/>
              </w:rPr>
              <w:t>What they need from the delivery</w:t>
            </w:r>
          </w:p>
        </w:tc>
      </w:tr>
      <w:tr>
        <w:tc>
          <w:tcPr>
            <w:tcW w:type="dxa" w:w="2608"/>
          </w:tcPr>
          <w:p>
            <w:pPr>
              <w:spacing w:after="20" w:before="20"/>
            </w:pPr>
            <w:r/>
            <w:r>
              <w:rPr>
                <w:b/>
                <w:sz w:val="19"/>
              </w:rPr>
              <w:t>Diego Pardo y Cobo – ING DACI / CAI</w:t>
            </w:r>
          </w:p>
        </w:tc>
        <w:tc>
          <w:tcPr>
            <w:tcW w:type="dxa" w:w="2608"/>
          </w:tcPr>
          <w:p>
            <w:pPr>
              <w:spacing w:after="20" w:before="20"/>
            </w:pPr>
            <w:r/>
            <w:r>
              <w:rPr>
                <w:sz w:val="19"/>
              </w:rPr>
              <w:t>Business stakeholder, use case owner</w:t>
            </w:r>
          </w:p>
        </w:tc>
        <w:tc>
          <w:tcPr>
            <w:tcW w:type="dxa" w:w="4195"/>
          </w:tcPr>
          <w:p>
            <w:pPr>
              <w:spacing w:after="20" w:before="20"/>
            </w:pPr>
            <w:r/>
            <w:r>
              <w:rPr>
                <w:sz w:val="19"/>
              </w:rPr>
              <w:t>Evidence that the work solves a real business problem, and that it is impactful and valuable.</w:t>
            </w:r>
          </w:p>
        </w:tc>
      </w:tr>
      <w:tr>
        <w:tc>
          <w:tcPr>
            <w:tcW w:type="dxa" w:w="2608"/>
            <w:shd w:val="clear" w:color="auto" w:fill="FDF0E6"/>
          </w:tcPr>
          <w:p>
            <w:pPr>
              <w:spacing w:after="20" w:before="20"/>
            </w:pPr>
            <w:r/>
            <w:r>
              <w:rPr>
                <w:b/>
                <w:sz w:val="19"/>
              </w:rPr>
              <w:t>Victor Onclinx – ING DACI / CAI</w:t>
            </w:r>
          </w:p>
        </w:tc>
        <w:tc>
          <w:tcPr>
            <w:tcW w:type="dxa" w:w="2608"/>
            <w:shd w:val="clear" w:color="auto" w:fill="FDF0E6"/>
          </w:tcPr>
          <w:p>
            <w:pPr>
              <w:spacing w:after="20" w:before="20"/>
            </w:pPr>
            <w:r/>
            <w:r>
              <w:rPr>
                <w:sz w:val="19"/>
              </w:rPr>
              <w:t>Business stakeholder, data science sponsor</w:t>
            </w:r>
          </w:p>
        </w:tc>
        <w:tc>
          <w:tcPr>
            <w:tcW w:type="dxa" w:w="4195"/>
            <w:shd w:val="clear" w:color="auto" w:fill="FDF0E6"/>
          </w:tcPr>
          <w:p>
            <w:pPr>
              <w:spacing w:after="20" w:before="20"/>
            </w:pPr>
            <w:r/>
            <w:r>
              <w:rPr>
                <w:sz w:val="19"/>
              </w:rPr>
              <w:t>A method that is fair, unbiased and reproducible.</w:t>
            </w:r>
          </w:p>
        </w:tc>
      </w:tr>
      <w:tr>
        <w:tc>
          <w:tcPr>
            <w:tcW w:type="dxa" w:w="2608"/>
          </w:tcPr>
          <w:p>
            <w:pPr>
              <w:spacing w:after="20" w:before="20"/>
            </w:pPr>
            <w:r/>
            <w:r>
              <w:rPr>
                <w:b/>
                <w:sz w:val="19"/>
              </w:rPr>
              <w:t>ING Customer AI team</w:t>
            </w:r>
          </w:p>
        </w:tc>
        <w:tc>
          <w:tcPr>
            <w:tcW w:type="dxa" w:w="2608"/>
          </w:tcPr>
          <w:p>
            <w:pPr>
              <w:spacing w:after="20" w:before="20"/>
            </w:pPr>
            <w:r/>
            <w:r>
              <w:rPr>
                <w:sz w:val="19"/>
              </w:rPr>
              <w:t>Potential future users of the framework</w:t>
            </w:r>
          </w:p>
        </w:tc>
        <w:tc>
          <w:tcPr>
            <w:tcW w:type="dxa" w:w="4195"/>
          </w:tcPr>
          <w:p>
            <w:pPr>
              <w:spacing w:after="20" w:before="20"/>
            </w:pPr>
            <w:r/>
            <w:r>
              <w:rPr>
                <w:sz w:val="19"/>
              </w:rPr>
              <w:t>A feature framework extensible to other channels and usable as input to later models.</w:t>
            </w:r>
          </w:p>
        </w:tc>
      </w:tr>
      <w:tr>
        <w:tc>
          <w:tcPr>
            <w:tcW w:type="dxa" w:w="2608"/>
            <w:shd w:val="clear" w:color="auto" w:fill="FDF0E6"/>
          </w:tcPr>
          <w:p>
            <w:pPr>
              <w:spacing w:after="20" w:before="20"/>
            </w:pPr>
            <w:r/>
            <w:r>
              <w:rPr>
                <w:b/>
                <w:sz w:val="19"/>
              </w:rPr>
              <w:t>Business audience (final presentation)</w:t>
            </w:r>
          </w:p>
        </w:tc>
        <w:tc>
          <w:tcPr>
            <w:tcW w:type="dxa" w:w="2608"/>
            <w:shd w:val="clear" w:color="auto" w:fill="FDF0E6"/>
          </w:tcPr>
          <w:p>
            <w:pPr>
              <w:spacing w:after="20" w:before="20"/>
            </w:pPr>
            <w:r/>
            <w:r>
              <w:rPr>
                <w:sz w:val="19"/>
              </w:rPr>
              <w:t>Decision-making audience</w:t>
            </w:r>
          </w:p>
        </w:tc>
        <w:tc>
          <w:tcPr>
            <w:tcW w:type="dxa" w:w="4195"/>
            <w:shd w:val="clear" w:color="auto" w:fill="FDF0E6"/>
          </w:tcPr>
          <w:p>
            <w:pPr>
              <w:spacing w:after="20" w:before="20"/>
            </w:pPr>
            <w:r/>
            <w:r>
              <w:rPr>
                <w:sz w:val="19"/>
              </w:rPr>
              <w:t>What this means for ING — conclusions, positioning, recommendations, no method detail.</w:t>
            </w:r>
          </w:p>
        </w:tc>
      </w:tr>
      <w:tr>
        <w:tc>
          <w:tcPr>
            <w:tcW w:type="dxa" w:w="2608"/>
          </w:tcPr>
          <w:p>
            <w:pPr>
              <w:spacing w:after="20" w:before="20"/>
            </w:pPr>
            <w:r/>
            <w:r>
              <w:rPr>
                <w:b/>
                <w:sz w:val="19"/>
              </w:rPr>
              <w:t>Data audience (final presentation)</w:t>
            </w:r>
          </w:p>
        </w:tc>
        <w:tc>
          <w:tcPr>
            <w:tcW w:type="dxa" w:w="2608"/>
          </w:tcPr>
          <w:p>
            <w:pPr>
              <w:spacing w:after="20" w:before="20"/>
            </w:pPr>
            <w:r/>
            <w:r>
              <w:rPr>
                <w:sz w:val="19"/>
              </w:rPr>
              <w:t>Technical peer review</w:t>
            </w:r>
          </w:p>
        </w:tc>
        <w:tc>
          <w:tcPr>
            <w:tcW w:type="dxa" w:w="4195"/>
          </w:tcPr>
          <w:p>
            <w:pPr>
              <w:spacing w:after="20" w:before="20"/>
            </w:pPr>
            <w:r/>
            <w:r>
              <w:rPr>
                <w:sz w:val="19"/>
              </w:rPr>
              <w:t>How the problem was approached, which choices were made and why, and what the limitations are.</w:t>
            </w:r>
          </w:p>
        </w:tc>
      </w:tr>
      <w:tr>
        <w:tc>
          <w:tcPr>
            <w:tcW w:type="dxa" w:w="2608"/>
            <w:shd w:val="clear" w:color="auto" w:fill="FDF0E6"/>
          </w:tcPr>
          <w:p>
            <w:pPr>
              <w:spacing w:after="20" w:before="20"/>
            </w:pPr>
            <w:r/>
            <w:r>
              <w:rPr>
                <w:b/>
                <w:sz w:val="19"/>
              </w:rPr>
              <w:t>Project team</w:t>
            </w:r>
          </w:p>
        </w:tc>
        <w:tc>
          <w:tcPr>
            <w:tcW w:type="dxa" w:w="2608"/>
            <w:shd w:val="clear" w:color="auto" w:fill="FDF0E6"/>
          </w:tcPr>
          <w:p>
            <w:pPr>
              <w:spacing w:after="20" w:before="20"/>
            </w:pPr>
            <w:r/>
            <w:r>
              <w:rPr>
                <w:sz w:val="19"/>
              </w:rPr>
              <w:t>Delivery</w:t>
            </w:r>
          </w:p>
        </w:tc>
        <w:tc>
          <w:tcPr>
            <w:tcW w:type="dxa" w:w="4195"/>
            <w:shd w:val="clear" w:color="auto" w:fill="FDF0E6"/>
          </w:tcPr>
          <w:p>
            <w:pPr>
              <w:spacing w:after="20" w:before="20"/>
            </w:pPr>
            <w:r/>
            <w:r>
              <w:rPr>
                <w:sz w:val="19"/>
              </w:rPr>
              <w:t>A scope small enough to finish end-to-end.</w:t>
            </w:r>
          </w:p>
        </w:tc>
      </w:tr>
    </w:tbl>
    <w:p>
      <w:pPr>
        <w:spacing w:after="80"/>
      </w:pPr>
    </w:p>
    <w:p>
      <w:r>
        <w:rPr>
          <w:b w:val="0"/>
          <w:i w:val="0"/>
        </w:rPr>
        <w:t>Both presentations are mandatory deliverables (D-06 and D-07). The brief states that the work will be presented to both audiences, and they have different needs — one set of slides serving both does not meet the requirement.</w:t>
      </w:r>
    </w:p>
    <w:p>
      <w:r>
        <w:br w:type="page"/>
      </w:r>
    </w:p>
    <w:p>
      <w:pPr>
        <w:pStyle w:val="Heading1"/>
      </w:pPr>
      <w:r>
        <w:rPr>
          <w:b w:val="0"/>
          <w:i w:val="0"/>
        </w:rPr>
        <w:t>7. Functional requirements</w:t>
      </w:r>
    </w:p>
    <w:p>
      <w:r>
        <w:rPr>
          <w:b w:val="0"/>
          <w:i/>
          <w:color w:val="5A5A5A"/>
          <w:sz w:val="19"/>
        </w:rPr>
        <w:t>Priority: M = must have (MVP), S = should have, C = could have (only once the MVP is complete).</w:t>
      </w:r>
    </w:p>
    <w:tbl>
      <w:tblPr>
        <w:tblStyle w:val="TableGrid"/>
        <w:jc w:val="center"/>
        <w:tblLook w:firstColumn="1" w:firstRow="1" w:lastColumn="0" w:lastRow="0" w:noHBand="0" w:noVBand="1" w:val="04A0"/>
        <w:tblLayout w:type="fixed"/>
        <w:tblW w:w="9412" w:type="dxa"/>
      </w:tblPr>
      <w:tblGrid>
        <w:gridCol w:w="850"/>
        <w:gridCol w:w="2438"/>
        <w:gridCol w:w="5386"/>
        <w:gridCol w:w="737"/>
      </w:tblGrid>
      <w:tr>
        <w:tc>
          <w:tcPr>
            <w:tcW w:type="dxa" w:w="850"/>
            <w:shd w:val="clear" w:color="auto" w:fill="FF6200"/>
          </w:tcPr>
          <w:p>
            <w:pPr>
              <w:spacing w:after="40" w:before="40"/>
            </w:pPr>
            <w:r/>
            <w:r>
              <w:rPr>
                <w:b/>
                <w:color w:val="FFFFFF"/>
                <w:sz w:val="19"/>
              </w:rPr>
              <w:t>ID</w:t>
            </w:r>
          </w:p>
        </w:tc>
        <w:tc>
          <w:tcPr>
            <w:tcW w:type="dxa" w:w="2438"/>
            <w:shd w:val="clear" w:color="auto" w:fill="FF6200"/>
          </w:tcPr>
          <w:p>
            <w:pPr>
              <w:spacing w:after="40" w:before="40"/>
            </w:pPr>
            <w:r/>
            <w:r>
              <w:rPr>
                <w:b/>
                <w:color w:val="FFFFFF"/>
                <w:sz w:val="19"/>
              </w:rPr>
              <w:t>Requirement</w:t>
            </w:r>
          </w:p>
        </w:tc>
        <w:tc>
          <w:tcPr>
            <w:tcW w:type="dxa" w:w="5386"/>
            <w:shd w:val="clear" w:color="auto" w:fill="FF6200"/>
          </w:tcPr>
          <w:p>
            <w:pPr>
              <w:spacing w:after="40" w:before="40"/>
            </w:pPr>
            <w:r/>
            <w:r>
              <w:rPr>
                <w:b/>
                <w:color w:val="FFFFFF"/>
                <w:sz w:val="19"/>
              </w:rPr>
              <w:t>Detail</w:t>
            </w:r>
          </w:p>
        </w:tc>
        <w:tc>
          <w:tcPr>
            <w:tcW w:type="dxa" w:w="737"/>
            <w:shd w:val="clear" w:color="auto" w:fill="FF6200"/>
          </w:tcPr>
          <w:p>
            <w:pPr>
              <w:spacing w:after="40" w:before="40"/>
            </w:pPr>
            <w:r/>
            <w:r>
              <w:rPr>
                <w:b/>
                <w:color w:val="FFFFFF"/>
                <w:sz w:val="19"/>
              </w:rPr>
              <w:t>Pri.</w:t>
            </w:r>
          </w:p>
        </w:tc>
      </w:tr>
      <w:tr>
        <w:tc>
          <w:tcPr>
            <w:tcW w:type="dxa" w:w="850"/>
          </w:tcPr>
          <w:p>
            <w:pPr>
              <w:spacing w:after="20" w:before="20"/>
            </w:pPr>
            <w:r/>
            <w:r>
              <w:rPr>
                <w:b/>
                <w:sz w:val="18"/>
              </w:rPr>
              <w:t>FR-01</w:t>
            </w:r>
          </w:p>
        </w:tc>
        <w:tc>
          <w:tcPr>
            <w:tcW w:type="dxa" w:w="2438"/>
          </w:tcPr>
          <w:p>
            <w:pPr>
              <w:spacing w:after="20" w:before="20"/>
            </w:pPr>
            <w:r/>
            <w:r>
              <w:rPr>
                <w:sz w:val="18"/>
              </w:rPr>
              <w:t>Define and justify the scope</w:t>
            </w:r>
          </w:p>
        </w:tc>
        <w:tc>
          <w:tcPr>
            <w:tcW w:type="dxa" w:w="5386"/>
          </w:tcPr>
          <w:p>
            <w:pPr>
              <w:spacing w:after="20" w:before="20"/>
            </w:pPr>
            <w:r/>
            <w:r>
              <w:rPr>
                <w:sz w:val="18"/>
              </w:rPr>
              <w:t>Record which banks, which product family, which pages and which language were selected, and why. Record explicitly what was left out and why.</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FR-02</w:t>
            </w:r>
          </w:p>
        </w:tc>
        <w:tc>
          <w:tcPr>
            <w:tcW w:type="dxa" w:w="2438"/>
            <w:shd w:val="clear" w:color="auto" w:fill="FDF0E6"/>
          </w:tcPr>
          <w:p>
            <w:pPr>
              <w:spacing w:after="20" w:before="20"/>
            </w:pPr>
            <w:r/>
            <w:r>
              <w:rPr>
                <w:sz w:val="18"/>
              </w:rPr>
              <w:t>Discover sources legitimately</w:t>
            </w:r>
          </w:p>
        </w:tc>
        <w:tc>
          <w:tcPr>
            <w:tcW w:type="dxa" w:w="5386"/>
            <w:shd w:val="clear" w:color="auto" w:fill="FDF0E6"/>
          </w:tcPr>
          <w:p>
            <w:pPr>
              <w:spacing w:after="20" w:before="20"/>
            </w:pPr>
            <w:r/>
            <w:r>
              <w:rPr>
                <w:sz w:val="18"/>
              </w:rPr>
              <w:t>Identify candidate pages via each site’s robots.txt and sitemaps (e.g. https://www.ing.be/robots.txt, https://www.ing.be/sitemap-cms.xml) before any collection.</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FR-03</w:t>
            </w:r>
          </w:p>
        </w:tc>
        <w:tc>
          <w:tcPr>
            <w:tcW w:type="dxa" w:w="2438"/>
          </w:tcPr>
          <w:p>
            <w:pPr>
              <w:spacing w:after="20" w:before="20"/>
            </w:pPr>
            <w:r/>
            <w:r>
              <w:rPr>
                <w:sz w:val="18"/>
              </w:rPr>
              <w:t>Collect campaign pages</w:t>
            </w:r>
          </w:p>
        </w:tc>
        <w:tc>
          <w:tcPr>
            <w:tcW w:type="dxa" w:w="5386"/>
          </w:tcPr>
          <w:p>
            <w:pPr>
              <w:spacing w:after="20" w:before="20"/>
            </w:pPr>
            <w:r/>
            <w:r>
              <w:rPr>
                <w:sz w:val="18"/>
              </w:rPr>
              <w:t>Retrieve each selected page and store a raw snapshot: HTML, a full-page screenshot, and the referenced image assets, with URL, capture timestamp and language.</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FR-04</w:t>
            </w:r>
          </w:p>
        </w:tc>
        <w:tc>
          <w:tcPr>
            <w:tcW w:type="dxa" w:w="2438"/>
            <w:shd w:val="clear" w:color="auto" w:fill="FDF0E6"/>
          </w:tcPr>
          <w:p>
            <w:pPr>
              <w:spacing w:after="20" w:before="20"/>
            </w:pPr>
            <w:r/>
            <w:r>
              <w:rPr>
                <w:sz w:val="18"/>
              </w:rPr>
              <w:t>Extract content features</w:t>
            </w:r>
          </w:p>
        </w:tc>
        <w:tc>
          <w:tcPr>
            <w:tcW w:type="dxa" w:w="5386"/>
            <w:shd w:val="clear" w:color="auto" w:fill="FDF0E6"/>
          </w:tcPr>
          <w:p>
            <w:pPr>
              <w:spacing w:after="20" w:before="20"/>
            </w:pPr>
            <w:r/>
            <w:r>
              <w:rPr>
                <w:sz w:val="18"/>
              </w:rPr>
              <w:t>Derive structured features describing tone, messaging, topics and value proposition from the page text (see section 11).</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FR-05</w:t>
            </w:r>
          </w:p>
        </w:tc>
        <w:tc>
          <w:tcPr>
            <w:tcW w:type="dxa" w:w="2438"/>
          </w:tcPr>
          <w:p>
            <w:pPr>
              <w:spacing w:after="20" w:before="20"/>
            </w:pPr>
            <w:r/>
            <w:r>
              <w:rPr>
                <w:sz w:val="18"/>
              </w:rPr>
              <w:t>Extract design features</w:t>
            </w:r>
          </w:p>
        </w:tc>
        <w:tc>
          <w:tcPr>
            <w:tcW w:type="dxa" w:w="5386"/>
          </w:tcPr>
          <w:p>
            <w:pPr>
              <w:spacing w:after="20" w:before="20"/>
            </w:pPr>
            <w:r/>
            <w:r>
              <w:rPr>
                <w:sz w:val="18"/>
              </w:rPr>
              <w:t>Derive structured features describing visuals, colours, layout and structure from the screenshot, the assets and the DOM (see section 11).</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FR-06</w:t>
            </w:r>
          </w:p>
        </w:tc>
        <w:tc>
          <w:tcPr>
            <w:tcW w:type="dxa" w:w="2438"/>
            <w:shd w:val="clear" w:color="auto" w:fill="FDF0E6"/>
          </w:tcPr>
          <w:p>
            <w:pPr>
              <w:spacing w:after="20" w:before="20"/>
            </w:pPr>
            <w:r/>
            <w:r>
              <w:rPr>
                <w:sz w:val="18"/>
              </w:rPr>
              <w:t>Maintain a feature dictionary</w:t>
            </w:r>
          </w:p>
        </w:tc>
        <w:tc>
          <w:tcPr>
            <w:tcW w:type="dxa" w:w="5386"/>
            <w:shd w:val="clear" w:color="auto" w:fill="FDF0E6"/>
          </w:tcPr>
          <w:p>
            <w:pPr>
              <w:spacing w:after="20" w:before="20"/>
            </w:pPr>
            <w:r/>
            <w:r>
              <w:rPr>
                <w:sz w:val="18"/>
              </w:rPr>
              <w:t>For every feature: name, definition, data type, allowed values or unit, extraction method, and whether it is objective or judgement-based. One shared dictionary for all banks.</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FR-07</w:t>
            </w:r>
          </w:p>
        </w:tc>
        <w:tc>
          <w:tcPr>
            <w:tcW w:type="dxa" w:w="2438"/>
          </w:tcPr>
          <w:p>
            <w:pPr>
              <w:spacing w:after="20" w:before="20"/>
            </w:pPr>
            <w:r/>
            <w:r>
              <w:rPr>
                <w:sz w:val="18"/>
              </w:rPr>
              <w:t>Produce the campaign dataset</w:t>
            </w:r>
          </w:p>
        </w:tc>
        <w:tc>
          <w:tcPr>
            <w:tcW w:type="dxa" w:w="5386"/>
          </w:tcPr>
          <w:p>
            <w:pPr>
              <w:spacing w:after="20" w:before="20"/>
            </w:pPr>
            <w:r/>
            <w:r>
              <w:rPr>
                <w:sz w:val="18"/>
              </w:rPr>
              <w:t>One machine-readable table, one row per campaign page, one column per feature, plus provenance columns. This is the "turning a webpage into a small dataset" deliverable.</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FR-08</w:t>
            </w:r>
          </w:p>
        </w:tc>
        <w:tc>
          <w:tcPr>
            <w:tcW w:type="dxa" w:w="2438"/>
            <w:shd w:val="clear" w:color="auto" w:fill="FDF0E6"/>
          </w:tcPr>
          <w:p>
            <w:pPr>
              <w:spacing w:after="20" w:before="20"/>
            </w:pPr>
            <w:r/>
            <w:r>
              <w:rPr>
                <w:sz w:val="18"/>
              </w:rPr>
              <w:t>Compare banks consistently</w:t>
            </w:r>
          </w:p>
        </w:tc>
        <w:tc>
          <w:tcPr>
            <w:tcW w:type="dxa" w:w="5386"/>
            <w:shd w:val="clear" w:color="auto" w:fill="FDF0E6"/>
          </w:tcPr>
          <w:p>
            <w:pPr>
              <w:spacing w:after="20" w:before="20"/>
            </w:pPr>
            <w:r/>
            <w:r>
              <w:rPr>
                <w:sz w:val="18"/>
              </w:rPr>
              <w:t>Compare banks on identical features, computed identically. Support at minimum: ING vs each competitor, traditional vs challenger, and a similarity view (distance or clustering) grouping banks by communication style.</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FR-09</w:t>
            </w:r>
          </w:p>
        </w:tc>
        <w:tc>
          <w:tcPr>
            <w:tcW w:type="dxa" w:w="2438"/>
          </w:tcPr>
          <w:p>
            <w:pPr>
              <w:spacing w:after="20" w:before="20"/>
            </w:pPr>
            <w:r/>
            <w:r>
              <w:rPr>
                <w:sz w:val="18"/>
              </w:rPr>
              <w:t>Position ING</w:t>
            </w:r>
          </w:p>
        </w:tc>
        <w:tc>
          <w:tcPr>
            <w:tcW w:type="dxa" w:w="5386"/>
          </w:tcPr>
          <w:p>
            <w:pPr>
              <w:spacing w:after="20" w:before="20"/>
            </w:pPr>
            <w:r/>
            <w:r>
              <w:rPr>
                <w:sz w:val="18"/>
              </w:rPr>
              <w:t>Produce an explicit answer to BO-01 and BO-02, stating on which dimensions ING is typical of its group and on which it is an outlier.</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FR-10</w:t>
            </w:r>
          </w:p>
        </w:tc>
        <w:tc>
          <w:tcPr>
            <w:tcW w:type="dxa" w:w="2438"/>
            <w:shd w:val="clear" w:color="auto" w:fill="FDF0E6"/>
          </w:tcPr>
          <w:p>
            <w:pPr>
              <w:spacing w:after="20" w:before="20"/>
            </w:pPr>
            <w:r/>
            <w:r>
              <w:rPr>
                <w:sz w:val="18"/>
              </w:rPr>
              <w:t>Derive insights and recommendations</w:t>
            </w:r>
          </w:p>
        </w:tc>
        <w:tc>
          <w:tcPr>
            <w:tcW w:type="dxa" w:w="5386"/>
            <w:shd w:val="clear" w:color="auto" w:fill="FDF0E6"/>
          </w:tcPr>
          <w:p>
            <w:pPr>
              <w:spacing w:after="20" w:before="20"/>
            </w:pPr>
            <w:r/>
            <w:r>
              <w:rPr>
                <w:sz w:val="18"/>
              </w:rPr>
              <w:t>Produce a small number of well-argued insights and improvement ideas for ING, each traceable to specific features and source pages.</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FR-11</w:t>
            </w:r>
          </w:p>
        </w:tc>
        <w:tc>
          <w:tcPr>
            <w:tcW w:type="dxa" w:w="2438"/>
          </w:tcPr>
          <w:p>
            <w:pPr>
              <w:spacing w:after="20" w:before="20"/>
            </w:pPr>
            <w:r/>
            <w:r>
              <w:rPr>
                <w:sz w:val="18"/>
              </w:rPr>
              <w:t>Be re-runnable end to end</w:t>
            </w:r>
          </w:p>
        </w:tc>
        <w:tc>
          <w:tcPr>
            <w:tcW w:type="dxa" w:w="5386"/>
          </w:tcPr>
          <w:p>
            <w:pPr>
              <w:spacing w:after="20" w:before="20"/>
            </w:pPr>
            <w:r/>
            <w:r>
              <w:rPr>
                <w:sz w:val="18"/>
              </w:rPr>
              <w:t>A third party must be able to re-execute collection, feature extraction and analysis from the repository and obtain the same results on the stored snapshots.</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FR-12</w:t>
            </w:r>
          </w:p>
        </w:tc>
        <w:tc>
          <w:tcPr>
            <w:tcW w:type="dxa" w:w="2438"/>
            <w:shd w:val="clear" w:color="auto" w:fill="FDF0E6"/>
          </w:tcPr>
          <w:p>
            <w:pPr>
              <w:spacing w:after="20" w:before="20"/>
            </w:pPr>
            <w:r/>
            <w:r>
              <w:rPr>
                <w:sz w:val="18"/>
              </w:rPr>
              <w:t>Document limitations and bias</w:t>
            </w:r>
          </w:p>
        </w:tc>
        <w:tc>
          <w:tcPr>
            <w:tcW w:type="dxa" w:w="5386"/>
            <w:shd w:val="clear" w:color="auto" w:fill="FDF0E6"/>
          </w:tcPr>
          <w:p>
            <w:pPr>
              <w:spacing w:after="20" w:before="20"/>
            </w:pPr>
            <w:r/>
            <w:r>
              <w:rPr>
                <w:sz w:val="18"/>
              </w:rPr>
              <w:t>State sample size, selection bias, subjectivity in judgement-based features, language effects, and the temporal validity of the snapshot.</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FR-13</w:t>
            </w:r>
          </w:p>
        </w:tc>
        <w:tc>
          <w:tcPr>
            <w:tcW w:type="dxa" w:w="2438"/>
          </w:tcPr>
          <w:p>
            <w:pPr>
              <w:spacing w:after="20" w:before="20"/>
            </w:pPr>
            <w:r/>
            <w:r>
              <w:rPr>
                <w:sz w:val="18"/>
              </w:rPr>
              <w:t>Deliver two presentations</w:t>
            </w:r>
          </w:p>
        </w:tc>
        <w:tc>
          <w:tcPr>
            <w:tcW w:type="dxa" w:w="5386"/>
          </w:tcPr>
          <w:p>
            <w:pPr>
              <w:spacing w:after="20" w:before="20"/>
            </w:pPr>
            <w:r/>
            <w:r>
              <w:rPr>
                <w:sz w:val="18"/>
              </w:rPr>
              <w:t>One business-oriented and one data-oriented, per section 6.</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FR-14</w:t>
            </w:r>
          </w:p>
        </w:tc>
        <w:tc>
          <w:tcPr>
            <w:tcW w:type="dxa" w:w="2438"/>
            <w:shd w:val="clear" w:color="auto" w:fill="FDF0E6"/>
          </w:tcPr>
          <w:p>
            <w:pPr>
              <w:spacing w:after="20" w:before="20"/>
            </w:pPr>
            <w:r/>
            <w:r>
              <w:rPr>
                <w:sz w:val="18"/>
              </w:rPr>
              <w:t>Verify the stakeholder hypotheses</w:t>
            </w:r>
          </w:p>
        </w:tc>
        <w:tc>
          <w:tcPr>
            <w:tcW w:type="dxa" w:w="5386"/>
            <w:shd w:val="clear" w:color="auto" w:fill="FDF0E6"/>
          </w:tcPr>
          <w:p>
            <w:pPr>
              <w:spacing w:after="20" w:before="20"/>
            </w:pPr>
            <w:r/>
            <w:r>
              <w:rPr>
                <w:sz w:val="18"/>
              </w:rPr>
              <w:t>Explicitly confirm, refine or contradict the deck observations listed in section 2.4, with evidence.</w:t>
            </w:r>
          </w:p>
        </w:tc>
        <w:tc>
          <w:tcPr>
            <w:tcW w:type="dxa" w:w="737"/>
            <w:shd w:val="clear" w:color="auto" w:fill="FDF0E6"/>
          </w:tcPr>
          <w:p>
            <w:pPr>
              <w:spacing w:after="20" w:before="20"/>
            </w:pPr>
            <w:r/>
            <w:r>
              <w:rPr>
                <w:sz w:val="18"/>
              </w:rPr>
              <w:t>S</w:t>
            </w:r>
          </w:p>
        </w:tc>
      </w:tr>
      <w:tr>
        <w:tc>
          <w:tcPr>
            <w:tcW w:type="dxa" w:w="850"/>
          </w:tcPr>
          <w:p>
            <w:pPr>
              <w:spacing w:after="20" w:before="20"/>
            </w:pPr>
            <w:r/>
            <w:r>
              <w:rPr>
                <w:b/>
                <w:sz w:val="18"/>
              </w:rPr>
              <w:t>FR-15</w:t>
            </w:r>
          </w:p>
        </w:tc>
        <w:tc>
          <w:tcPr>
            <w:tcW w:type="dxa" w:w="2438"/>
          </w:tcPr>
          <w:p>
            <w:pPr>
              <w:spacing w:after="20" w:before="20"/>
            </w:pPr>
            <w:r/>
            <w:r>
              <w:rPr>
                <w:sz w:val="18"/>
              </w:rPr>
              <w:t>Handle multilingual pages</w:t>
            </w:r>
          </w:p>
        </w:tc>
        <w:tc>
          <w:tcPr>
            <w:tcW w:type="dxa" w:w="5386"/>
          </w:tcPr>
          <w:p>
            <w:pPr>
              <w:spacing w:after="20" w:before="20"/>
            </w:pPr>
            <w:r/>
            <w:r>
              <w:rPr>
                <w:sz w:val="18"/>
              </w:rPr>
              <w:t>Where a page exists in NL, FR and EN, select one language consistently across all banks and record the choice; or, if several are kept, ensure language is a controlled variable in every comparison.</w:t>
            </w:r>
          </w:p>
        </w:tc>
        <w:tc>
          <w:tcPr>
            <w:tcW w:type="dxa" w:w="737"/>
          </w:tcPr>
          <w:p>
            <w:pPr>
              <w:spacing w:after="20" w:before="20"/>
            </w:pPr>
            <w:r/>
            <w:r>
              <w:rPr>
                <w:sz w:val="18"/>
              </w:rPr>
              <w:t>S</w:t>
            </w:r>
          </w:p>
        </w:tc>
      </w:tr>
      <w:tr>
        <w:tc>
          <w:tcPr>
            <w:tcW w:type="dxa" w:w="850"/>
            <w:shd w:val="clear" w:color="auto" w:fill="FDF0E6"/>
          </w:tcPr>
          <w:p>
            <w:pPr>
              <w:spacing w:after="20" w:before="20"/>
            </w:pPr>
            <w:r/>
            <w:r>
              <w:rPr>
                <w:b/>
                <w:sz w:val="18"/>
              </w:rPr>
              <w:t>FR-16</w:t>
            </w:r>
          </w:p>
        </w:tc>
        <w:tc>
          <w:tcPr>
            <w:tcW w:type="dxa" w:w="2438"/>
            <w:shd w:val="clear" w:color="auto" w:fill="FDF0E6"/>
          </w:tcPr>
          <w:p>
            <w:pPr>
              <w:spacing w:after="20" w:before="20"/>
            </w:pPr>
            <w:r/>
            <w:r>
              <w:rPr>
                <w:sz w:val="18"/>
              </w:rPr>
              <w:t>Support incremental extension</w:t>
            </w:r>
          </w:p>
        </w:tc>
        <w:tc>
          <w:tcPr>
            <w:tcW w:type="dxa" w:w="5386"/>
            <w:shd w:val="clear" w:color="auto" w:fill="FDF0E6"/>
          </w:tcPr>
          <w:p>
            <w:pPr>
              <w:spacing w:after="20" w:before="20"/>
            </w:pPr>
            <w:r/>
            <w:r>
              <w:rPr>
                <w:sz w:val="18"/>
              </w:rPr>
              <w:t>Adding a bank or a page must require adding configuration and re-running, not rewriting the pipeline.</w:t>
            </w:r>
          </w:p>
        </w:tc>
        <w:tc>
          <w:tcPr>
            <w:tcW w:type="dxa" w:w="737"/>
            <w:shd w:val="clear" w:color="auto" w:fill="FDF0E6"/>
          </w:tcPr>
          <w:p>
            <w:pPr>
              <w:spacing w:after="20" w:before="20"/>
            </w:pPr>
            <w:r/>
            <w:r>
              <w:rPr>
                <w:sz w:val="18"/>
              </w:rPr>
              <w:t>S</w:t>
            </w:r>
          </w:p>
        </w:tc>
      </w:tr>
      <w:tr>
        <w:tc>
          <w:tcPr>
            <w:tcW w:type="dxa" w:w="850"/>
          </w:tcPr>
          <w:p>
            <w:pPr>
              <w:spacing w:after="20" w:before="20"/>
            </w:pPr>
            <w:r/>
            <w:r>
              <w:rPr>
                <w:b/>
                <w:sz w:val="18"/>
              </w:rPr>
              <w:t>FR-17</w:t>
            </w:r>
          </w:p>
        </w:tc>
        <w:tc>
          <w:tcPr>
            <w:tcW w:type="dxa" w:w="2438"/>
          </w:tcPr>
          <w:p>
            <w:pPr>
              <w:spacing w:after="20" w:before="20"/>
            </w:pPr>
            <w:r/>
            <w:r>
              <w:rPr>
                <w:sz w:val="18"/>
              </w:rPr>
              <w:t>Track campaigns over time</w:t>
            </w:r>
          </w:p>
        </w:tc>
        <w:tc>
          <w:tcPr>
            <w:tcW w:type="dxa" w:w="5386"/>
          </w:tcPr>
          <w:p>
            <w:pPr>
              <w:spacing w:after="20" w:before="20"/>
            </w:pPr>
            <w:r/>
            <w:r>
              <w:rPr>
                <w:sz w:val="18"/>
              </w:rPr>
              <w:t>Support repeated capture of the same URL at different dates to observe campaign evolution (e.g. the September term-account cycle).</w:t>
            </w:r>
          </w:p>
        </w:tc>
        <w:tc>
          <w:tcPr>
            <w:tcW w:type="dxa" w:w="737"/>
          </w:tcPr>
          <w:p>
            <w:pPr>
              <w:spacing w:after="20" w:before="20"/>
            </w:pPr>
            <w:r/>
            <w:r>
              <w:rPr>
                <w:sz w:val="18"/>
              </w:rPr>
              <w:t>C</w:t>
            </w:r>
          </w:p>
        </w:tc>
      </w:tr>
      <w:tr>
        <w:tc>
          <w:tcPr>
            <w:tcW w:type="dxa" w:w="850"/>
            <w:shd w:val="clear" w:color="auto" w:fill="FDF0E6"/>
          </w:tcPr>
          <w:p>
            <w:pPr>
              <w:spacing w:after="20" w:before="20"/>
            </w:pPr>
            <w:r/>
            <w:r>
              <w:rPr>
                <w:b/>
                <w:sz w:val="18"/>
              </w:rPr>
              <w:t>FR-18</w:t>
            </w:r>
          </w:p>
        </w:tc>
        <w:tc>
          <w:tcPr>
            <w:tcW w:type="dxa" w:w="2438"/>
            <w:shd w:val="clear" w:color="auto" w:fill="FDF0E6"/>
          </w:tcPr>
          <w:p>
            <w:pPr>
              <w:spacing w:after="20" w:before="20"/>
            </w:pPr>
            <w:r/>
            <w:r>
              <w:rPr>
                <w:sz w:val="18"/>
              </w:rPr>
              <w:t>Assist labelling with a model</w:t>
            </w:r>
          </w:p>
        </w:tc>
        <w:tc>
          <w:tcPr>
            <w:tcW w:type="dxa" w:w="5386"/>
            <w:shd w:val="clear" w:color="auto" w:fill="FDF0E6"/>
          </w:tcPr>
          <w:p>
            <w:pPr>
              <w:spacing w:after="20" w:before="20"/>
            </w:pPr>
            <w:r/>
            <w:r>
              <w:rPr>
                <w:sz w:val="18"/>
              </w:rPr>
              <w:t>Use an LLM or vision model to score judgement-based features (tone, imagery content), provided the prompt, model version and validation of its agreement with human judgement are documented.</w:t>
            </w:r>
          </w:p>
        </w:tc>
        <w:tc>
          <w:tcPr>
            <w:tcW w:type="dxa" w:w="737"/>
            <w:shd w:val="clear" w:color="auto" w:fill="FDF0E6"/>
          </w:tcPr>
          <w:p>
            <w:pPr>
              <w:spacing w:after="20" w:before="20"/>
            </w:pPr>
            <w:r/>
            <w:r>
              <w:rPr>
                <w:sz w:val="18"/>
              </w:rPr>
              <w:t>C</w:t>
            </w:r>
          </w:p>
        </w:tc>
      </w:tr>
    </w:tbl>
    <w:p>
      <w:pPr>
        <w:spacing w:after="80"/>
      </w:pPr>
    </w:p>
    <w:p>
      <w:pPr>
        <w:pStyle w:val="Heading1"/>
      </w:pPr>
      <w:r>
        <w:rPr>
          <w:b w:val="0"/>
          <w:i w:val="0"/>
        </w:rPr>
        <w:t>8. Data requirements</w:t>
      </w:r>
    </w:p>
    <w:tbl>
      <w:tblPr>
        <w:tblStyle w:val="TableGrid"/>
        <w:jc w:val="center"/>
        <w:tblLook w:firstColumn="1" w:firstRow="1" w:lastColumn="0" w:lastRow="0" w:noHBand="0" w:noVBand="1" w:val="04A0"/>
        <w:tblLayout w:type="fixed"/>
        <w:tblW w:w="9412" w:type="dxa"/>
      </w:tblPr>
      <w:tblGrid>
        <w:gridCol w:w="850"/>
        <w:gridCol w:w="2438"/>
        <w:gridCol w:w="5386"/>
        <w:gridCol w:w="737"/>
      </w:tblGrid>
      <w:tr>
        <w:tc>
          <w:tcPr>
            <w:tcW w:type="dxa" w:w="850"/>
            <w:shd w:val="clear" w:color="auto" w:fill="FF6200"/>
          </w:tcPr>
          <w:p>
            <w:pPr>
              <w:spacing w:after="40" w:before="40"/>
            </w:pPr>
            <w:r/>
            <w:r>
              <w:rPr>
                <w:b/>
                <w:color w:val="FFFFFF"/>
                <w:sz w:val="19"/>
              </w:rPr>
              <w:t>ID</w:t>
            </w:r>
          </w:p>
        </w:tc>
        <w:tc>
          <w:tcPr>
            <w:tcW w:type="dxa" w:w="2438"/>
            <w:shd w:val="clear" w:color="auto" w:fill="FF6200"/>
          </w:tcPr>
          <w:p>
            <w:pPr>
              <w:spacing w:after="40" w:before="40"/>
            </w:pPr>
            <w:r/>
            <w:r>
              <w:rPr>
                <w:b/>
                <w:color w:val="FFFFFF"/>
                <w:sz w:val="19"/>
              </w:rPr>
              <w:t>Requirement</w:t>
            </w:r>
          </w:p>
        </w:tc>
        <w:tc>
          <w:tcPr>
            <w:tcW w:type="dxa" w:w="5386"/>
            <w:shd w:val="clear" w:color="auto" w:fill="FF6200"/>
          </w:tcPr>
          <w:p>
            <w:pPr>
              <w:spacing w:after="40" w:before="40"/>
            </w:pPr>
            <w:r/>
            <w:r>
              <w:rPr>
                <w:b/>
                <w:color w:val="FFFFFF"/>
                <w:sz w:val="19"/>
              </w:rPr>
              <w:t>Detail</w:t>
            </w:r>
          </w:p>
        </w:tc>
        <w:tc>
          <w:tcPr>
            <w:tcW w:type="dxa" w:w="737"/>
            <w:shd w:val="clear" w:color="auto" w:fill="FF6200"/>
          </w:tcPr>
          <w:p>
            <w:pPr>
              <w:spacing w:after="40" w:before="40"/>
            </w:pPr>
            <w:r/>
            <w:r>
              <w:rPr>
                <w:b/>
                <w:color w:val="FFFFFF"/>
                <w:sz w:val="19"/>
              </w:rPr>
              <w:t>Pri.</w:t>
            </w:r>
          </w:p>
        </w:tc>
      </w:tr>
      <w:tr>
        <w:tc>
          <w:tcPr>
            <w:tcW w:type="dxa" w:w="850"/>
          </w:tcPr>
          <w:p>
            <w:pPr>
              <w:spacing w:after="20" w:before="20"/>
            </w:pPr>
            <w:r/>
            <w:r>
              <w:rPr>
                <w:b/>
                <w:sz w:val="18"/>
              </w:rPr>
              <w:t>DR-01</w:t>
            </w:r>
          </w:p>
        </w:tc>
        <w:tc>
          <w:tcPr>
            <w:tcW w:type="dxa" w:w="2438"/>
          </w:tcPr>
          <w:p>
            <w:pPr>
              <w:spacing w:after="20" w:before="20"/>
            </w:pPr>
            <w:r/>
            <w:r>
              <w:rPr>
                <w:sz w:val="18"/>
              </w:rPr>
              <w:t>Public data only</w:t>
            </w:r>
          </w:p>
        </w:tc>
        <w:tc>
          <w:tcPr>
            <w:tcW w:type="dxa" w:w="5386"/>
          </w:tcPr>
          <w:p>
            <w:pPr>
              <w:spacing w:after="20" w:before="20"/>
            </w:pPr>
            <w:r/>
            <w:r>
              <w:rPr>
                <w:sz w:val="18"/>
              </w:rPr>
              <w:t>Only content reachable without authentication, payment or circumvention.</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DR-02</w:t>
            </w:r>
          </w:p>
        </w:tc>
        <w:tc>
          <w:tcPr>
            <w:tcW w:type="dxa" w:w="2438"/>
            <w:shd w:val="clear" w:color="auto" w:fill="FDF0E6"/>
          </w:tcPr>
          <w:p>
            <w:pPr>
              <w:spacing w:after="20" w:before="20"/>
            </w:pPr>
            <w:r/>
            <w:r>
              <w:rPr>
                <w:sz w:val="18"/>
              </w:rPr>
              <w:t>Provenance on every record</w:t>
            </w:r>
          </w:p>
        </w:tc>
        <w:tc>
          <w:tcPr>
            <w:tcW w:type="dxa" w:w="5386"/>
            <w:shd w:val="clear" w:color="auto" w:fill="FDF0E6"/>
          </w:tcPr>
          <w:p>
            <w:pPr>
              <w:spacing w:after="20" w:before="20"/>
            </w:pPr>
            <w:r/>
            <w:r>
              <w:rPr>
                <w:sz w:val="18"/>
              </w:rPr>
              <w:t>Each row carries: bank, source URL, capture timestamp, page language, product family, and the collection method used.</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DR-03</w:t>
            </w:r>
          </w:p>
        </w:tc>
        <w:tc>
          <w:tcPr>
            <w:tcW w:type="dxa" w:w="2438"/>
          </w:tcPr>
          <w:p>
            <w:pPr>
              <w:spacing w:after="20" w:before="20"/>
            </w:pPr>
            <w:r/>
            <w:r>
              <w:rPr>
                <w:sz w:val="18"/>
              </w:rPr>
              <w:t>Separate raw from processed</w:t>
            </w:r>
          </w:p>
        </w:tc>
        <w:tc>
          <w:tcPr>
            <w:tcW w:type="dxa" w:w="5386"/>
          </w:tcPr>
          <w:p>
            <w:pPr>
              <w:spacing w:after="20" w:before="20"/>
            </w:pPr>
            <w:r/>
            <w:r>
              <w:rPr>
                <w:sz w:val="18"/>
              </w:rPr>
              <w:t>Raw snapshots are stored immutably and never overwritten. Feature extraction reads raw and writes a separate processed layer, so extraction can be re-run without re-fetching.</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DR-04</w:t>
            </w:r>
          </w:p>
        </w:tc>
        <w:tc>
          <w:tcPr>
            <w:tcW w:type="dxa" w:w="2438"/>
            <w:shd w:val="clear" w:color="auto" w:fill="FDF0E6"/>
          </w:tcPr>
          <w:p>
            <w:pPr>
              <w:spacing w:after="20" w:before="20"/>
            </w:pPr>
            <w:r/>
            <w:r>
              <w:rPr>
                <w:sz w:val="18"/>
              </w:rPr>
              <w:t>Like-for-like comparison unit</w:t>
            </w:r>
          </w:p>
        </w:tc>
        <w:tc>
          <w:tcPr>
            <w:tcW w:type="dxa" w:w="5386"/>
            <w:shd w:val="clear" w:color="auto" w:fill="FDF0E6"/>
          </w:tcPr>
          <w:p>
            <w:pPr>
              <w:spacing w:after="20" w:before="20"/>
            </w:pPr>
            <w:r/>
            <w:r>
              <w:rPr>
                <w:sz w:val="18"/>
              </w:rPr>
              <w:t>Pages are compared within a comparable product family (for example term accounts, or current-account packs). Comparing a mortgage page to a savings page is not a valid comparison.</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DR-05</w:t>
            </w:r>
          </w:p>
        </w:tc>
        <w:tc>
          <w:tcPr>
            <w:tcW w:type="dxa" w:w="2438"/>
          </w:tcPr>
          <w:p>
            <w:pPr>
              <w:spacing w:after="20" w:before="20"/>
            </w:pPr>
            <w:r/>
            <w:r>
              <w:rPr>
                <w:sz w:val="18"/>
              </w:rPr>
              <w:t>Date-stamped snapshots</w:t>
            </w:r>
          </w:p>
        </w:tc>
        <w:tc>
          <w:tcPr>
            <w:tcW w:type="dxa" w:w="5386"/>
          </w:tcPr>
          <w:p>
            <w:pPr>
              <w:spacing w:after="20" w:before="20"/>
            </w:pPr>
            <w:r/>
            <w:r>
              <w:rPr>
                <w:sz w:val="18"/>
              </w:rPr>
              <w:t>Campaign pages change without notice. Every conclusion is valid for the capture date, and the report states it.</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DR-06</w:t>
            </w:r>
          </w:p>
        </w:tc>
        <w:tc>
          <w:tcPr>
            <w:tcW w:type="dxa" w:w="2438"/>
            <w:shd w:val="clear" w:color="auto" w:fill="FDF0E6"/>
          </w:tcPr>
          <w:p>
            <w:pPr>
              <w:spacing w:after="20" w:before="20"/>
            </w:pPr>
            <w:r/>
            <w:r>
              <w:rPr>
                <w:sz w:val="18"/>
              </w:rPr>
              <w:t>Store visual assets</w:t>
            </w:r>
          </w:p>
        </w:tc>
        <w:tc>
          <w:tcPr>
            <w:tcW w:type="dxa" w:w="5386"/>
            <w:shd w:val="clear" w:color="auto" w:fill="FDF0E6"/>
          </w:tcPr>
          <w:p>
            <w:pPr>
              <w:spacing w:after="20" w:before="20"/>
            </w:pPr>
            <w:r/>
            <w:r>
              <w:rPr>
                <w:sz w:val="18"/>
              </w:rPr>
              <w:t>Images, GIFs and screenshots referenced by the analysis are stored locally so visual features are reproducible and evidence can be shown in the presentations.</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DR-07</w:t>
            </w:r>
          </w:p>
        </w:tc>
        <w:tc>
          <w:tcPr>
            <w:tcW w:type="dxa" w:w="2438"/>
          </w:tcPr>
          <w:p>
            <w:pPr>
              <w:spacing w:after="20" w:before="20"/>
            </w:pPr>
            <w:r/>
            <w:r>
              <w:rPr>
                <w:sz w:val="18"/>
              </w:rPr>
              <w:t>Consistent feature coverage</w:t>
            </w:r>
          </w:p>
        </w:tc>
        <w:tc>
          <w:tcPr>
            <w:tcW w:type="dxa" w:w="5386"/>
          </w:tcPr>
          <w:p>
            <w:pPr>
              <w:spacing w:after="20" w:before="20"/>
            </w:pPr>
            <w:r/>
            <w:r>
              <w:rPr>
                <w:sz w:val="18"/>
              </w:rPr>
              <w:t>The same features are attempted for every page. A feature that cannot be extracted is recorded as missing with a reason — never silently imputed or dropped for one bank only.</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DR-08</w:t>
            </w:r>
          </w:p>
        </w:tc>
        <w:tc>
          <w:tcPr>
            <w:tcW w:type="dxa" w:w="2438"/>
            <w:shd w:val="clear" w:color="auto" w:fill="FDF0E6"/>
          </w:tcPr>
          <w:p>
            <w:pPr>
              <w:spacing w:after="20" w:before="20"/>
            </w:pPr>
            <w:r/>
            <w:r>
              <w:rPr>
                <w:sz w:val="18"/>
              </w:rPr>
              <w:t>Minimum viable sample</w:t>
            </w:r>
          </w:p>
        </w:tc>
        <w:tc>
          <w:tcPr>
            <w:tcW w:type="dxa" w:w="5386"/>
            <w:shd w:val="clear" w:color="auto" w:fill="FDF0E6"/>
          </w:tcPr>
          <w:p>
            <w:pPr>
              <w:spacing w:after="20" w:before="20"/>
            </w:pPr>
            <w:r/>
            <w:r>
              <w:rPr>
                <w:sz w:val="18"/>
              </w:rPr>
              <w:t>At least one comparable campaign page per bank in scope, for at least four banks including ING and at least one neobank, so BO-02 is answerable.</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DR-09</w:t>
            </w:r>
          </w:p>
        </w:tc>
        <w:tc>
          <w:tcPr>
            <w:tcW w:type="dxa" w:w="2438"/>
          </w:tcPr>
          <w:p>
            <w:pPr>
              <w:spacing w:after="20" w:before="20"/>
            </w:pPr>
            <w:r/>
            <w:r>
              <w:rPr>
                <w:sz w:val="18"/>
              </w:rPr>
              <w:t>No personal data</w:t>
            </w:r>
          </w:p>
        </w:tc>
        <w:tc>
          <w:tcPr>
            <w:tcW w:type="dxa" w:w="5386"/>
          </w:tcPr>
          <w:p>
            <w:pPr>
              <w:spacing w:after="20" w:before="20"/>
            </w:pPr>
            <w:r/>
            <w:r>
              <w:rPr>
                <w:sz w:val="18"/>
              </w:rPr>
              <w:t>No names, contact details, identifiers, user-generated content or tracking data are collected or stored, at any stage, including incidentally inside HTML.</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DR-10</w:t>
            </w:r>
          </w:p>
        </w:tc>
        <w:tc>
          <w:tcPr>
            <w:tcW w:type="dxa" w:w="2438"/>
            <w:shd w:val="clear" w:color="auto" w:fill="FDF0E6"/>
          </w:tcPr>
          <w:p>
            <w:pPr>
              <w:spacing w:after="20" w:before="20"/>
            </w:pPr>
            <w:r/>
            <w:r>
              <w:rPr>
                <w:sz w:val="18"/>
              </w:rPr>
              <w:t>Machine-readable output format</w:t>
            </w:r>
          </w:p>
        </w:tc>
        <w:tc>
          <w:tcPr>
            <w:tcW w:type="dxa" w:w="5386"/>
            <w:shd w:val="clear" w:color="auto" w:fill="FDF0E6"/>
          </w:tcPr>
          <w:p>
            <w:pPr>
              <w:spacing w:after="20" w:before="20"/>
            </w:pPr>
            <w:r/>
            <w:r>
              <w:rPr>
                <w:sz w:val="18"/>
              </w:rPr>
              <w:t>The dataset is delivered in an open format (CSV or Parquet) with the feature dictionary alongside it.</w:t>
            </w:r>
          </w:p>
        </w:tc>
        <w:tc>
          <w:tcPr>
            <w:tcW w:type="dxa" w:w="737"/>
            <w:shd w:val="clear" w:color="auto" w:fill="FDF0E6"/>
          </w:tcPr>
          <w:p>
            <w:pPr>
              <w:spacing w:after="20" w:before="20"/>
            </w:pPr>
            <w:r/>
            <w:r>
              <w:rPr>
                <w:sz w:val="18"/>
              </w:rPr>
              <w:t>M</w:t>
            </w:r>
          </w:p>
        </w:tc>
      </w:tr>
    </w:tbl>
    <w:p>
      <w:pPr>
        <w:spacing w:after="80"/>
      </w:pPr>
    </w:p>
    <w:p>
      <w:pPr>
        <w:pStyle w:val="Heading1"/>
      </w:pPr>
      <w:r>
        <w:rPr>
          <w:b w:val="0"/>
          <w:i w:val="0"/>
        </w:rPr>
        <w:t>9. Legal, ethical and compliance requirements</w:t>
      </w:r>
    </w:p>
    <w:p>
      <w:r>
        <w:rPr>
          <w:b w:val="0"/>
          <w:i w:val="0"/>
        </w:rPr>
        <w:t>These requirements are non-negotiable. The brief states the rule directly: "You can only use publicly available content", and the deck repeats it — "Be mindful to be compliant! We can’t do whatever we want." A breach here invalidates the delivery regardless of analytical quality.</w:t>
      </w:r>
    </w:p>
    <w:tbl>
      <w:tblPr>
        <w:tblStyle w:val="TableGrid"/>
        <w:jc w:val="center"/>
        <w:tblLook w:firstColumn="1" w:firstRow="1" w:lastColumn="0" w:lastRow="0" w:noHBand="0" w:noVBand="1" w:val="04A0"/>
        <w:tblLayout w:type="fixed"/>
        <w:tblW w:w="9412" w:type="dxa"/>
      </w:tblPr>
      <w:tblGrid>
        <w:gridCol w:w="850"/>
        <w:gridCol w:w="2438"/>
        <w:gridCol w:w="5386"/>
        <w:gridCol w:w="737"/>
      </w:tblGrid>
      <w:tr>
        <w:tc>
          <w:tcPr>
            <w:tcW w:type="dxa" w:w="850"/>
            <w:shd w:val="clear" w:color="auto" w:fill="FF6200"/>
          </w:tcPr>
          <w:p>
            <w:pPr>
              <w:spacing w:after="40" w:before="40"/>
            </w:pPr>
            <w:r/>
            <w:r>
              <w:rPr>
                <w:b/>
                <w:color w:val="FFFFFF"/>
                <w:sz w:val="19"/>
              </w:rPr>
              <w:t>ID</w:t>
            </w:r>
          </w:p>
        </w:tc>
        <w:tc>
          <w:tcPr>
            <w:tcW w:type="dxa" w:w="2438"/>
            <w:shd w:val="clear" w:color="auto" w:fill="FF6200"/>
          </w:tcPr>
          <w:p>
            <w:pPr>
              <w:spacing w:after="40" w:before="40"/>
            </w:pPr>
            <w:r/>
            <w:r>
              <w:rPr>
                <w:b/>
                <w:color w:val="FFFFFF"/>
                <w:sz w:val="19"/>
              </w:rPr>
              <w:t>Requirement</w:t>
            </w:r>
          </w:p>
        </w:tc>
        <w:tc>
          <w:tcPr>
            <w:tcW w:type="dxa" w:w="5386"/>
            <w:shd w:val="clear" w:color="auto" w:fill="FF6200"/>
          </w:tcPr>
          <w:p>
            <w:pPr>
              <w:spacing w:after="40" w:before="40"/>
            </w:pPr>
            <w:r/>
            <w:r>
              <w:rPr>
                <w:b/>
                <w:color w:val="FFFFFF"/>
                <w:sz w:val="19"/>
              </w:rPr>
              <w:t>Detail</w:t>
            </w:r>
          </w:p>
        </w:tc>
        <w:tc>
          <w:tcPr>
            <w:tcW w:type="dxa" w:w="737"/>
            <w:shd w:val="clear" w:color="auto" w:fill="FF6200"/>
          </w:tcPr>
          <w:p>
            <w:pPr>
              <w:spacing w:after="40" w:before="40"/>
            </w:pPr>
            <w:r/>
            <w:r>
              <w:rPr>
                <w:b/>
                <w:color w:val="FFFFFF"/>
                <w:sz w:val="19"/>
              </w:rPr>
              <w:t>Pri.</w:t>
            </w:r>
          </w:p>
        </w:tc>
      </w:tr>
      <w:tr>
        <w:tc>
          <w:tcPr>
            <w:tcW w:type="dxa" w:w="850"/>
          </w:tcPr>
          <w:p>
            <w:pPr>
              <w:spacing w:after="20" w:before="20"/>
            </w:pPr>
            <w:r/>
            <w:r>
              <w:rPr>
                <w:b/>
                <w:sz w:val="18"/>
              </w:rPr>
              <w:t>LC-01</w:t>
            </w:r>
          </w:p>
        </w:tc>
        <w:tc>
          <w:tcPr>
            <w:tcW w:type="dxa" w:w="2438"/>
          </w:tcPr>
          <w:p>
            <w:pPr>
              <w:spacing w:after="20" w:before="20"/>
            </w:pPr>
            <w:r/>
            <w:r>
              <w:rPr>
                <w:sz w:val="18"/>
              </w:rPr>
              <w:t>Check and respect robots.txt</w:t>
            </w:r>
          </w:p>
        </w:tc>
        <w:tc>
          <w:tcPr>
            <w:tcW w:type="dxa" w:w="5386"/>
          </w:tcPr>
          <w:p>
            <w:pPr>
              <w:spacing w:after="20" w:before="20"/>
            </w:pPr>
            <w:r/>
            <w:r>
              <w:rPr>
                <w:sz w:val="18"/>
              </w:rPr>
              <w:t>Before collecting from a domain, read its robots.txt and record which paths are allowed or disallowed for the agent used. Disallowed paths are not collected — they are dropped from scope and the drop is documented.</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LC-02</w:t>
            </w:r>
          </w:p>
        </w:tc>
        <w:tc>
          <w:tcPr>
            <w:tcW w:type="dxa" w:w="2438"/>
            <w:shd w:val="clear" w:color="auto" w:fill="FDF0E6"/>
          </w:tcPr>
          <w:p>
            <w:pPr>
              <w:spacing w:after="20" w:before="20"/>
            </w:pPr>
            <w:r/>
            <w:r>
              <w:rPr>
                <w:sz w:val="18"/>
              </w:rPr>
              <w:t>Use sitemaps for discovery</w:t>
            </w:r>
          </w:p>
        </w:tc>
        <w:tc>
          <w:tcPr>
            <w:tcW w:type="dxa" w:w="5386"/>
            <w:shd w:val="clear" w:color="auto" w:fill="FDF0E6"/>
          </w:tcPr>
          <w:p>
            <w:pPr>
              <w:spacing w:after="20" w:before="20"/>
            </w:pPr>
            <w:r/>
            <w:r>
              <w:rPr>
                <w:sz w:val="18"/>
              </w:rPr>
              <w:t>Prefer sitemap-driven URL discovery over crawling, to stay within what the site publishes as intended for indexing.</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LC-03</w:t>
            </w:r>
          </w:p>
        </w:tc>
        <w:tc>
          <w:tcPr>
            <w:tcW w:type="dxa" w:w="2438"/>
          </w:tcPr>
          <w:p>
            <w:pPr>
              <w:spacing w:after="20" w:before="20"/>
            </w:pPr>
            <w:r/>
            <w:r>
              <w:rPr>
                <w:sz w:val="18"/>
              </w:rPr>
              <w:t>Collect no personal data</w:t>
            </w:r>
          </w:p>
        </w:tc>
        <w:tc>
          <w:tcPr>
            <w:tcW w:type="dxa" w:w="5386"/>
          </w:tcPr>
          <w:p>
            <w:pPr>
              <w:spacing w:after="20" w:before="20"/>
            </w:pPr>
            <w:r/>
            <w:r>
              <w:rPr>
                <w:sz w:val="18"/>
              </w:rPr>
              <w:t>See DR-09. Applies to the raw snapshots as well as the dataset.</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LC-04</w:t>
            </w:r>
          </w:p>
        </w:tc>
        <w:tc>
          <w:tcPr>
            <w:tcW w:type="dxa" w:w="2438"/>
            <w:shd w:val="clear" w:color="auto" w:fill="FDF0E6"/>
          </w:tcPr>
          <w:p>
            <w:pPr>
              <w:spacing w:after="20" w:before="20"/>
            </w:pPr>
            <w:r/>
            <w:r>
              <w:rPr>
                <w:sz w:val="18"/>
              </w:rPr>
              <w:t>Do not bypass restrictions</w:t>
            </w:r>
          </w:p>
        </w:tc>
        <w:tc>
          <w:tcPr>
            <w:tcW w:type="dxa" w:w="5386"/>
            <w:shd w:val="clear" w:color="auto" w:fill="FDF0E6"/>
          </w:tcPr>
          <w:p>
            <w:pPr>
              <w:spacing w:after="20" w:before="20"/>
            </w:pPr>
            <w:r/>
            <w:r>
              <w:rPr>
                <w:sz w:val="18"/>
              </w:rPr>
              <w:t>No logging in, no CAPTCHA solving, no bot-detection evasion, no paywall circumvention, no use of non-public or undocumented APIs, no rate-limit evasion.</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LC-05</w:t>
            </w:r>
          </w:p>
        </w:tc>
        <w:tc>
          <w:tcPr>
            <w:tcW w:type="dxa" w:w="2438"/>
          </w:tcPr>
          <w:p>
            <w:pPr>
              <w:spacing w:after="20" w:before="20"/>
            </w:pPr>
            <w:r/>
            <w:r>
              <w:rPr>
                <w:sz w:val="18"/>
              </w:rPr>
              <w:t>Collect politely</w:t>
            </w:r>
          </w:p>
        </w:tc>
        <w:tc>
          <w:tcPr>
            <w:tcW w:type="dxa" w:w="5386"/>
          </w:tcPr>
          <w:p>
            <w:pPr>
              <w:spacing w:after="20" w:before="20"/>
            </w:pPr>
            <w:r/>
            <w:r>
              <w:rPr>
                <w:sz w:val="18"/>
              </w:rPr>
              <w:t>Rate-limit requests, use a descriptive and honest user agent, cache locally so each page is fetched once, and keep the total request volume negligible for the target site.</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LC-06</w:t>
            </w:r>
          </w:p>
        </w:tc>
        <w:tc>
          <w:tcPr>
            <w:tcW w:type="dxa" w:w="2438"/>
            <w:shd w:val="clear" w:color="auto" w:fill="FDF0E6"/>
          </w:tcPr>
          <w:p>
            <w:pPr>
              <w:spacing w:after="20" w:before="20"/>
            </w:pPr>
            <w:r/>
            <w:r>
              <w:rPr>
                <w:sz w:val="18"/>
              </w:rPr>
              <w:t>Review the terms of use</w:t>
            </w:r>
          </w:p>
        </w:tc>
        <w:tc>
          <w:tcPr>
            <w:tcW w:type="dxa" w:w="5386"/>
            <w:shd w:val="clear" w:color="auto" w:fill="FDF0E6"/>
          </w:tcPr>
          <w:p>
            <w:pPr>
              <w:spacing w:after="20" w:before="20"/>
            </w:pPr>
            <w:r/>
            <w:r>
              <w:rPr>
                <w:sz w:val="18"/>
              </w:rPr>
              <w:t>Check each site’s terms and conditions for explicit statements on automated access, and record what was found.</w:t>
            </w:r>
          </w:p>
        </w:tc>
        <w:tc>
          <w:tcPr>
            <w:tcW w:type="dxa" w:w="737"/>
            <w:shd w:val="clear" w:color="auto" w:fill="FDF0E6"/>
          </w:tcPr>
          <w:p>
            <w:pPr>
              <w:spacing w:after="20" w:before="20"/>
            </w:pPr>
            <w:r/>
            <w:r>
              <w:rPr>
                <w:sz w:val="18"/>
              </w:rPr>
              <w:t>S</w:t>
            </w:r>
          </w:p>
        </w:tc>
      </w:tr>
      <w:tr>
        <w:tc>
          <w:tcPr>
            <w:tcW w:type="dxa" w:w="850"/>
          </w:tcPr>
          <w:p>
            <w:pPr>
              <w:spacing w:after="20" w:before="20"/>
            </w:pPr>
            <w:r/>
            <w:r>
              <w:rPr>
                <w:b/>
                <w:sz w:val="18"/>
              </w:rPr>
              <w:t>LC-07</w:t>
            </w:r>
          </w:p>
        </w:tc>
        <w:tc>
          <w:tcPr>
            <w:tcW w:type="dxa" w:w="2438"/>
          </w:tcPr>
          <w:p>
            <w:pPr>
              <w:spacing w:after="20" w:before="20"/>
            </w:pPr>
            <w:r/>
            <w:r>
              <w:rPr>
                <w:sz w:val="18"/>
              </w:rPr>
              <w:t>Respect third-party copyright</w:t>
            </w:r>
          </w:p>
        </w:tc>
        <w:tc>
          <w:tcPr>
            <w:tcW w:type="dxa" w:w="5386"/>
          </w:tcPr>
          <w:p>
            <w:pPr>
              <w:spacing w:after="20" w:before="20"/>
            </w:pPr>
            <w:r/>
            <w:r>
              <w:rPr>
                <w:sz w:val="18"/>
              </w:rPr>
              <w:t>Competitor text and imagery are used for analysis and illustration within the deliverables only, attributed to the source URL, and not redistributed or republished as standalone assets.</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LC-08</w:t>
            </w:r>
          </w:p>
        </w:tc>
        <w:tc>
          <w:tcPr>
            <w:tcW w:type="dxa" w:w="2438"/>
            <w:shd w:val="clear" w:color="auto" w:fill="FDF0E6"/>
          </w:tcPr>
          <w:p>
            <w:pPr>
              <w:spacing w:after="20" w:before="20"/>
            </w:pPr>
            <w:r/>
            <w:r>
              <w:rPr>
                <w:sz w:val="18"/>
              </w:rPr>
              <w:t>Write the compliance statement</w:t>
            </w:r>
          </w:p>
        </w:tc>
        <w:tc>
          <w:tcPr>
            <w:tcW w:type="dxa" w:w="5386"/>
            <w:shd w:val="clear" w:color="auto" w:fill="FDF0E6"/>
          </w:tcPr>
          <w:p>
            <w:pPr>
              <w:spacing w:after="20" w:before="20"/>
            </w:pPr>
            <w:r/>
            <w:r>
              <w:rPr>
                <w:sz w:val="18"/>
              </w:rPr>
              <w:t>Produce a short written note that answers the question the brief poses: "This is what we considered acceptable, and why." It covers robots.txt findings, rate limits, data excluded on compliance grounds, and the reasoning applied.</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LC-09</w:t>
            </w:r>
          </w:p>
        </w:tc>
        <w:tc>
          <w:tcPr>
            <w:tcW w:type="dxa" w:w="2438"/>
          </w:tcPr>
          <w:p>
            <w:pPr>
              <w:spacing w:after="20" w:before="20"/>
            </w:pPr>
            <w:r/>
            <w:r>
              <w:rPr>
                <w:sz w:val="18"/>
              </w:rPr>
              <w:t>Stay fair and unbiased</w:t>
            </w:r>
          </w:p>
        </w:tc>
        <w:tc>
          <w:tcPr>
            <w:tcW w:type="dxa" w:w="5386"/>
          </w:tcPr>
          <w:p>
            <w:pPr>
              <w:spacing w:after="20" w:before="20"/>
            </w:pPr>
            <w:r/>
            <w:r>
              <w:rPr>
                <w:sz w:val="18"/>
              </w:rPr>
              <w:t>Apply an identical method, an identical feature set and an identical level of scrutiny to ING and to every competitor. ING is not given favourable interpretation, and competitors are not judged by a harsher standard.</w:t>
            </w:r>
          </w:p>
        </w:tc>
        <w:tc>
          <w:tcPr>
            <w:tcW w:type="dxa" w:w="737"/>
          </w:tcPr>
          <w:p>
            <w:pPr>
              <w:spacing w:after="20" w:before="20"/>
            </w:pPr>
            <w:r/>
            <w:r>
              <w:rPr>
                <w:sz w:val="18"/>
              </w:rPr>
              <w:t>M</w:t>
            </w:r>
          </w:p>
        </w:tc>
      </w:tr>
    </w:tbl>
    <w:p>
      <w:pPr>
        <w:spacing w:after="80"/>
      </w:pPr>
    </w:p>
    <w:p>
      <w:pPr>
        <w:pStyle w:val="Heading1"/>
      </w:pPr>
      <w:r>
        <w:rPr>
          <w:b w:val="0"/>
          <w:i w:val="0"/>
        </w:rPr>
        <w:t>10. Non-functional requirements</w:t>
      </w:r>
    </w:p>
    <w:tbl>
      <w:tblPr>
        <w:tblStyle w:val="TableGrid"/>
        <w:jc w:val="center"/>
        <w:tblLook w:firstColumn="1" w:firstRow="1" w:lastColumn="0" w:lastRow="0" w:noHBand="0" w:noVBand="1" w:val="04A0"/>
        <w:tblLayout w:type="fixed"/>
        <w:tblW w:w="9412" w:type="dxa"/>
      </w:tblPr>
      <w:tblGrid>
        <w:gridCol w:w="850"/>
        <w:gridCol w:w="2438"/>
        <w:gridCol w:w="5386"/>
        <w:gridCol w:w="737"/>
      </w:tblGrid>
      <w:tr>
        <w:tc>
          <w:tcPr>
            <w:tcW w:type="dxa" w:w="850"/>
            <w:shd w:val="clear" w:color="auto" w:fill="FF6200"/>
          </w:tcPr>
          <w:p>
            <w:pPr>
              <w:spacing w:after="40" w:before="40"/>
            </w:pPr>
            <w:r/>
            <w:r>
              <w:rPr>
                <w:b/>
                <w:color w:val="FFFFFF"/>
                <w:sz w:val="19"/>
              </w:rPr>
              <w:t>ID</w:t>
            </w:r>
          </w:p>
        </w:tc>
        <w:tc>
          <w:tcPr>
            <w:tcW w:type="dxa" w:w="2438"/>
            <w:shd w:val="clear" w:color="auto" w:fill="FF6200"/>
          </w:tcPr>
          <w:p>
            <w:pPr>
              <w:spacing w:after="40" w:before="40"/>
            </w:pPr>
            <w:r/>
            <w:r>
              <w:rPr>
                <w:b/>
                <w:color w:val="FFFFFF"/>
                <w:sz w:val="19"/>
              </w:rPr>
              <w:t>Requirement</w:t>
            </w:r>
          </w:p>
        </w:tc>
        <w:tc>
          <w:tcPr>
            <w:tcW w:type="dxa" w:w="5386"/>
            <w:shd w:val="clear" w:color="auto" w:fill="FF6200"/>
          </w:tcPr>
          <w:p>
            <w:pPr>
              <w:spacing w:after="40" w:before="40"/>
            </w:pPr>
            <w:r/>
            <w:r>
              <w:rPr>
                <w:b/>
                <w:color w:val="FFFFFF"/>
                <w:sz w:val="19"/>
              </w:rPr>
              <w:t>Acceptance signal</w:t>
            </w:r>
          </w:p>
        </w:tc>
        <w:tc>
          <w:tcPr>
            <w:tcW w:type="dxa" w:w="737"/>
            <w:shd w:val="clear" w:color="auto" w:fill="FF6200"/>
          </w:tcPr>
          <w:p>
            <w:pPr>
              <w:spacing w:after="40" w:before="40"/>
            </w:pPr>
            <w:r/>
            <w:r>
              <w:rPr>
                <w:b/>
                <w:color w:val="FFFFFF"/>
                <w:sz w:val="19"/>
              </w:rPr>
              <w:t>Pri.</w:t>
            </w:r>
          </w:p>
        </w:tc>
      </w:tr>
      <w:tr>
        <w:tc>
          <w:tcPr>
            <w:tcW w:type="dxa" w:w="850"/>
          </w:tcPr>
          <w:p>
            <w:pPr>
              <w:spacing w:after="20" w:before="20"/>
            </w:pPr>
            <w:r/>
            <w:r>
              <w:rPr>
                <w:b/>
                <w:sz w:val="18"/>
              </w:rPr>
              <w:t>NFR-01</w:t>
            </w:r>
          </w:p>
        </w:tc>
        <w:tc>
          <w:tcPr>
            <w:tcW w:type="dxa" w:w="2438"/>
          </w:tcPr>
          <w:p>
            <w:pPr>
              <w:spacing w:after="20" w:before="20"/>
            </w:pPr>
            <w:r/>
            <w:r>
              <w:rPr>
                <w:sz w:val="18"/>
              </w:rPr>
              <w:t>Reproducibility</w:t>
            </w:r>
          </w:p>
        </w:tc>
        <w:tc>
          <w:tcPr>
            <w:tcW w:type="dxa" w:w="5386"/>
          </w:tcPr>
          <w:p>
            <w:pPr>
              <w:spacing w:after="20" w:before="20"/>
            </w:pPr>
            <w:r/>
            <w:r>
              <w:rPr>
                <w:sz w:val="18"/>
              </w:rPr>
              <w:t>The pipeline is scripted end to end, dependencies are pinned, and a documented command re-runs it. No undocumented manual step sits between the raw snapshot and a published figure.</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NFR-02</w:t>
            </w:r>
          </w:p>
        </w:tc>
        <w:tc>
          <w:tcPr>
            <w:tcW w:type="dxa" w:w="2438"/>
            <w:shd w:val="clear" w:color="auto" w:fill="FDF0E6"/>
          </w:tcPr>
          <w:p>
            <w:pPr>
              <w:spacing w:after="20" w:before="20"/>
            </w:pPr>
            <w:r/>
            <w:r>
              <w:rPr>
                <w:sz w:val="18"/>
              </w:rPr>
              <w:t>Consistency</w:t>
            </w:r>
          </w:p>
        </w:tc>
        <w:tc>
          <w:tcPr>
            <w:tcW w:type="dxa" w:w="5386"/>
            <w:shd w:val="clear" w:color="auto" w:fill="FDF0E6"/>
          </w:tcPr>
          <w:p>
            <w:pPr>
              <w:spacing w:after="20" w:before="20"/>
            </w:pPr>
            <w:r/>
            <w:r>
              <w:rPr>
                <w:sz w:val="18"/>
              </w:rPr>
              <w:t>Every feature is computed by the same code path for every bank. No bank-specific manual adjustment that is not declared in the feature dictionary.</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NFR-03</w:t>
            </w:r>
          </w:p>
        </w:tc>
        <w:tc>
          <w:tcPr>
            <w:tcW w:type="dxa" w:w="2438"/>
          </w:tcPr>
          <w:p>
            <w:pPr>
              <w:spacing w:after="20" w:before="20"/>
            </w:pPr>
            <w:r/>
            <w:r>
              <w:rPr>
                <w:sz w:val="18"/>
              </w:rPr>
              <w:t>Traceability</w:t>
            </w:r>
          </w:p>
        </w:tc>
        <w:tc>
          <w:tcPr>
            <w:tcW w:type="dxa" w:w="5386"/>
          </w:tcPr>
          <w:p>
            <w:pPr>
              <w:spacing w:after="20" w:before="20"/>
            </w:pPr>
            <w:r/>
            <w:r>
              <w:rPr>
                <w:sz w:val="18"/>
              </w:rPr>
              <w:t>Every claim in the presentations can be followed back to a feature value, and from there to a stored snapshot and its source URL.</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NFR-04</w:t>
            </w:r>
          </w:p>
        </w:tc>
        <w:tc>
          <w:tcPr>
            <w:tcW w:type="dxa" w:w="2438"/>
            <w:shd w:val="clear" w:color="auto" w:fill="FDF0E6"/>
          </w:tcPr>
          <w:p>
            <w:pPr>
              <w:spacing w:after="20" w:before="20"/>
            </w:pPr>
            <w:r/>
            <w:r>
              <w:rPr>
                <w:sz w:val="18"/>
              </w:rPr>
              <w:t>Extensibility</w:t>
            </w:r>
          </w:p>
        </w:tc>
        <w:tc>
          <w:tcPr>
            <w:tcW w:type="dxa" w:w="5386"/>
            <w:shd w:val="clear" w:color="auto" w:fill="FDF0E6"/>
          </w:tcPr>
          <w:p>
            <w:pPr>
              <w:spacing w:after="20" w:before="20"/>
            </w:pPr>
            <w:r/>
            <w:r>
              <w:rPr>
                <w:sz w:val="18"/>
              </w:rPr>
              <w:t>Adding a bank, a page or a feature is a configuration or additive change. The framework is described in a way that would allow later application to social media or in-app banners.</w:t>
            </w:r>
          </w:p>
        </w:tc>
        <w:tc>
          <w:tcPr>
            <w:tcW w:type="dxa" w:w="737"/>
            <w:shd w:val="clear" w:color="auto" w:fill="FDF0E6"/>
          </w:tcPr>
          <w:p>
            <w:pPr>
              <w:spacing w:after="20" w:before="20"/>
            </w:pPr>
            <w:r/>
            <w:r>
              <w:rPr>
                <w:sz w:val="18"/>
              </w:rPr>
              <w:t>S</w:t>
            </w:r>
          </w:p>
        </w:tc>
      </w:tr>
      <w:tr>
        <w:tc>
          <w:tcPr>
            <w:tcW w:type="dxa" w:w="850"/>
          </w:tcPr>
          <w:p>
            <w:pPr>
              <w:spacing w:after="20" w:before="20"/>
            </w:pPr>
            <w:r/>
            <w:r>
              <w:rPr>
                <w:b/>
                <w:sz w:val="18"/>
              </w:rPr>
              <w:t>NFR-05</w:t>
            </w:r>
          </w:p>
        </w:tc>
        <w:tc>
          <w:tcPr>
            <w:tcW w:type="dxa" w:w="2438"/>
          </w:tcPr>
          <w:p>
            <w:pPr>
              <w:spacing w:after="20" w:before="20"/>
            </w:pPr>
            <w:r/>
            <w:r>
              <w:rPr>
                <w:sz w:val="18"/>
              </w:rPr>
              <w:t>Objectivity of judgement-based features</w:t>
            </w:r>
          </w:p>
        </w:tc>
        <w:tc>
          <w:tcPr>
            <w:tcW w:type="dxa" w:w="5386"/>
          </w:tcPr>
          <w:p>
            <w:pPr>
              <w:spacing w:after="20" w:before="20"/>
            </w:pPr>
            <w:r/>
            <w:r>
              <w:rPr>
                <w:sz w:val="18"/>
              </w:rPr>
              <w:t>Subjective dimensions (tone, "attention guidance") are scored against a written rubric with defined levels, not free interpretation. Where a model does the scoring, its agreement with human labels is checked on a sample and reported.</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NFR-06</w:t>
            </w:r>
          </w:p>
        </w:tc>
        <w:tc>
          <w:tcPr>
            <w:tcW w:type="dxa" w:w="2438"/>
            <w:shd w:val="clear" w:color="auto" w:fill="FDF0E6"/>
          </w:tcPr>
          <w:p>
            <w:pPr>
              <w:spacing w:after="20" w:before="20"/>
            </w:pPr>
            <w:r/>
            <w:r>
              <w:rPr>
                <w:sz w:val="18"/>
              </w:rPr>
              <w:t>Transparency of assumptions</w:t>
            </w:r>
          </w:p>
        </w:tc>
        <w:tc>
          <w:tcPr>
            <w:tcW w:type="dxa" w:w="5386"/>
            <w:shd w:val="clear" w:color="auto" w:fill="FDF0E6"/>
          </w:tcPr>
          <w:p>
            <w:pPr>
              <w:spacing w:after="20" w:before="20"/>
            </w:pPr>
            <w:r/>
            <w:r>
              <w:rPr>
                <w:sz w:val="18"/>
              </w:rPr>
              <w:t>Every assumption that shapes a result is stated in the deliverable that uses it, not only in the code.</w:t>
            </w:r>
          </w:p>
        </w:tc>
        <w:tc>
          <w:tcPr>
            <w:tcW w:type="dxa" w:w="737"/>
            <w:shd w:val="clear" w:color="auto" w:fill="FDF0E6"/>
          </w:tcPr>
          <w:p>
            <w:pPr>
              <w:spacing w:after="20" w:before="20"/>
            </w:pPr>
            <w:r/>
            <w:r>
              <w:rPr>
                <w:sz w:val="18"/>
              </w:rPr>
              <w:t>M</w:t>
            </w:r>
          </w:p>
        </w:tc>
      </w:tr>
      <w:tr>
        <w:tc>
          <w:tcPr>
            <w:tcW w:type="dxa" w:w="850"/>
          </w:tcPr>
          <w:p>
            <w:pPr>
              <w:spacing w:after="20" w:before="20"/>
            </w:pPr>
            <w:r/>
            <w:r>
              <w:rPr>
                <w:b/>
                <w:sz w:val="18"/>
              </w:rPr>
              <w:t>NFR-07</w:t>
            </w:r>
          </w:p>
        </w:tc>
        <w:tc>
          <w:tcPr>
            <w:tcW w:type="dxa" w:w="2438"/>
          </w:tcPr>
          <w:p>
            <w:pPr>
              <w:spacing w:after="20" w:before="20"/>
            </w:pPr>
            <w:r/>
            <w:r>
              <w:rPr>
                <w:sz w:val="18"/>
              </w:rPr>
              <w:t>Maintainability</w:t>
            </w:r>
          </w:p>
        </w:tc>
        <w:tc>
          <w:tcPr>
            <w:tcW w:type="dxa" w:w="5386"/>
          </w:tcPr>
          <w:p>
            <w:pPr>
              <w:spacing w:after="20" w:before="20"/>
            </w:pPr>
            <w:r/>
            <w:r>
              <w:rPr>
                <w:sz w:val="18"/>
              </w:rPr>
              <w:t>Versioned repository, a README that lets a newcomer run the project, code organised by pipeline stage, no credentials or secrets committed.</w:t>
            </w:r>
          </w:p>
        </w:tc>
        <w:tc>
          <w:tcPr>
            <w:tcW w:type="dxa" w:w="737"/>
          </w:tcPr>
          <w:p>
            <w:pPr>
              <w:spacing w:after="20" w:before="20"/>
            </w:pPr>
            <w:r/>
            <w:r>
              <w:rPr>
                <w:sz w:val="18"/>
              </w:rPr>
              <w:t>M</w:t>
            </w:r>
          </w:p>
        </w:tc>
      </w:tr>
      <w:tr>
        <w:tc>
          <w:tcPr>
            <w:tcW w:type="dxa" w:w="850"/>
            <w:shd w:val="clear" w:color="auto" w:fill="FDF0E6"/>
          </w:tcPr>
          <w:p>
            <w:pPr>
              <w:spacing w:after="20" w:before="20"/>
            </w:pPr>
            <w:r/>
            <w:r>
              <w:rPr>
                <w:b/>
                <w:sz w:val="18"/>
              </w:rPr>
              <w:t>NFR-08</w:t>
            </w:r>
          </w:p>
        </w:tc>
        <w:tc>
          <w:tcPr>
            <w:tcW w:type="dxa" w:w="2438"/>
            <w:shd w:val="clear" w:color="auto" w:fill="FDF0E6"/>
          </w:tcPr>
          <w:p>
            <w:pPr>
              <w:spacing w:after="20" w:before="20"/>
            </w:pPr>
            <w:r/>
            <w:r>
              <w:rPr>
                <w:sz w:val="18"/>
              </w:rPr>
              <w:t>Runs on a laptop</w:t>
            </w:r>
          </w:p>
        </w:tc>
        <w:tc>
          <w:tcPr>
            <w:tcW w:type="dxa" w:w="5386"/>
            <w:shd w:val="clear" w:color="auto" w:fill="FDF0E6"/>
          </w:tcPr>
          <w:p>
            <w:pPr>
              <w:spacing w:after="20" w:before="20"/>
            </w:pPr>
            <w:r/>
            <w:r>
              <w:rPr>
                <w:sz w:val="18"/>
              </w:rPr>
              <w:t>The full pipeline completes on standard hardware in a time compatible with iterating during the project. Scale is not a requirement of this POC.</w:t>
            </w:r>
          </w:p>
        </w:tc>
        <w:tc>
          <w:tcPr>
            <w:tcW w:type="dxa" w:w="737"/>
            <w:shd w:val="clear" w:color="auto" w:fill="FDF0E6"/>
          </w:tcPr>
          <w:p>
            <w:pPr>
              <w:spacing w:after="20" w:before="20"/>
            </w:pPr>
            <w:r/>
            <w:r>
              <w:rPr>
                <w:sz w:val="18"/>
              </w:rPr>
              <w:t>S</w:t>
            </w:r>
          </w:p>
        </w:tc>
      </w:tr>
      <w:tr>
        <w:tc>
          <w:tcPr>
            <w:tcW w:type="dxa" w:w="850"/>
          </w:tcPr>
          <w:p>
            <w:pPr>
              <w:spacing w:after="20" w:before="20"/>
            </w:pPr>
            <w:r/>
            <w:r>
              <w:rPr>
                <w:b/>
                <w:sz w:val="18"/>
              </w:rPr>
              <w:t>NFR-09</w:t>
            </w:r>
          </w:p>
        </w:tc>
        <w:tc>
          <w:tcPr>
            <w:tcW w:type="dxa" w:w="2438"/>
          </w:tcPr>
          <w:p>
            <w:pPr>
              <w:spacing w:after="20" w:before="20"/>
            </w:pPr>
            <w:r/>
            <w:r>
              <w:rPr>
                <w:sz w:val="18"/>
              </w:rPr>
              <w:t>Open tooling</w:t>
            </w:r>
          </w:p>
        </w:tc>
        <w:tc>
          <w:tcPr>
            <w:tcW w:type="dxa" w:w="5386"/>
          </w:tcPr>
          <w:p>
            <w:pPr>
              <w:spacing w:after="20" w:before="20"/>
            </w:pPr>
            <w:r/>
            <w:r>
              <w:rPr>
                <w:sz w:val="18"/>
              </w:rPr>
              <w:t>Prefer open-source or free-tier tooling so the work can be re-run without procurement. Any paid API used is declared with its cost.</w:t>
            </w:r>
          </w:p>
        </w:tc>
        <w:tc>
          <w:tcPr>
            <w:tcW w:type="dxa" w:w="737"/>
          </w:tcPr>
          <w:p>
            <w:pPr>
              <w:spacing w:after="20" w:before="20"/>
            </w:pPr>
            <w:r/>
            <w:r>
              <w:rPr>
                <w:sz w:val="18"/>
              </w:rPr>
              <w:t>S</w:t>
            </w:r>
          </w:p>
        </w:tc>
      </w:tr>
      <w:tr>
        <w:tc>
          <w:tcPr>
            <w:tcW w:type="dxa" w:w="850"/>
            <w:shd w:val="clear" w:color="auto" w:fill="FDF0E6"/>
          </w:tcPr>
          <w:p>
            <w:pPr>
              <w:spacing w:after="20" w:before="20"/>
            </w:pPr>
            <w:r/>
            <w:r>
              <w:rPr>
                <w:b/>
                <w:sz w:val="18"/>
              </w:rPr>
              <w:t>NFR-10</w:t>
            </w:r>
          </w:p>
        </w:tc>
        <w:tc>
          <w:tcPr>
            <w:tcW w:type="dxa" w:w="2438"/>
            <w:shd w:val="clear" w:color="auto" w:fill="FDF0E6"/>
          </w:tcPr>
          <w:p>
            <w:pPr>
              <w:spacing w:after="20" w:before="20"/>
            </w:pPr>
            <w:r/>
            <w:r>
              <w:rPr>
                <w:sz w:val="18"/>
              </w:rPr>
              <w:t>Clarity of communication</w:t>
            </w:r>
          </w:p>
        </w:tc>
        <w:tc>
          <w:tcPr>
            <w:tcW w:type="dxa" w:w="5386"/>
            <w:shd w:val="clear" w:color="auto" w:fill="FDF0E6"/>
          </w:tcPr>
          <w:p>
            <w:pPr>
              <w:spacing w:after="20" w:before="20"/>
            </w:pPr>
            <w:r/>
            <w:r>
              <w:rPr>
                <w:sz w:val="18"/>
              </w:rPr>
              <w:t>Findings are explained so that the business audience needs no data background to follow them. The brief names this as a core skill being assessed.</w:t>
            </w:r>
          </w:p>
        </w:tc>
        <w:tc>
          <w:tcPr>
            <w:tcW w:type="dxa" w:w="737"/>
            <w:shd w:val="clear" w:color="auto" w:fill="FDF0E6"/>
          </w:tcPr>
          <w:p>
            <w:pPr>
              <w:spacing w:after="20" w:before="20"/>
            </w:pPr>
            <w:r/>
            <w:r>
              <w:rPr>
                <w:sz w:val="18"/>
              </w:rPr>
              <w:t>M</w:t>
            </w:r>
          </w:p>
        </w:tc>
      </w:tr>
    </w:tbl>
    <w:p>
      <w:pPr>
        <w:spacing w:after="80"/>
      </w:pPr>
    </w:p>
    <w:p>
      <w:r>
        <w:br w:type="page"/>
      </w:r>
    </w:p>
    <w:p>
      <w:pPr>
        <w:pStyle w:val="Heading1"/>
      </w:pPr>
      <w:r>
        <w:rPr>
          <w:b w:val="0"/>
          <w:i w:val="0"/>
        </w:rPr>
        <w:t>11. Analysis dimensions and feature framework</w:t>
      </w:r>
    </w:p>
    <w:p>
      <w:r>
        <w:rPr>
          <w:b w:val="0"/>
          <w:i w:val="0"/>
        </w:rPr>
        <w:t>The brief prescribes five dimensions for structuring the analysis. The table below restates them and proposes candidate features for each. The candidate features are indicative, not mandated: the project team selects and defines the final set, and records it in the feature dictionary (FR-06). The binding requirement is that the dimensions are covered and the features are applied identically to every bank.</w:t>
      </w:r>
    </w:p>
    <w:tbl>
      <w:tblPr>
        <w:tblStyle w:val="TableGrid"/>
        <w:jc w:val="center"/>
        <w:tblLook w:firstColumn="1" w:firstRow="1" w:lastColumn="0" w:lastRow="0" w:noHBand="0" w:noVBand="1" w:val="04A0"/>
        <w:tblLayout w:type="fixed"/>
        <w:tblW w:w="9412" w:type="dxa"/>
      </w:tblPr>
      <w:tblGrid>
        <w:gridCol w:w="1701"/>
        <w:gridCol w:w="2268"/>
        <w:gridCol w:w="5443"/>
      </w:tblGrid>
      <w:tr>
        <w:tc>
          <w:tcPr>
            <w:tcW w:type="dxa" w:w="1701"/>
            <w:shd w:val="clear" w:color="auto" w:fill="FF6200"/>
          </w:tcPr>
          <w:p>
            <w:pPr>
              <w:spacing w:after="40" w:before="40"/>
            </w:pPr>
            <w:r/>
            <w:r>
              <w:rPr>
                <w:b/>
                <w:color w:val="FFFFFF"/>
                <w:sz w:val="19"/>
              </w:rPr>
              <w:t>Dimension</w:t>
            </w:r>
          </w:p>
        </w:tc>
        <w:tc>
          <w:tcPr>
            <w:tcW w:type="dxa" w:w="2268"/>
            <w:shd w:val="clear" w:color="auto" w:fill="FF6200"/>
          </w:tcPr>
          <w:p>
            <w:pPr>
              <w:spacing w:after="40" w:before="40"/>
            </w:pPr>
            <w:r/>
            <w:r>
              <w:rPr>
                <w:b/>
                <w:color w:val="FFFFFF"/>
                <w:sz w:val="19"/>
              </w:rPr>
              <w:t>Question from the brief</w:t>
            </w:r>
          </w:p>
        </w:tc>
        <w:tc>
          <w:tcPr>
            <w:tcW w:type="dxa" w:w="5443"/>
            <w:shd w:val="clear" w:color="auto" w:fill="FF6200"/>
          </w:tcPr>
          <w:p>
            <w:pPr>
              <w:spacing w:after="40" w:before="40"/>
            </w:pPr>
            <w:r/>
            <w:r>
              <w:rPr>
                <w:b/>
                <w:color w:val="FFFFFF"/>
                <w:sz w:val="19"/>
              </w:rPr>
              <w:t>Candidate features</w:t>
            </w:r>
          </w:p>
        </w:tc>
      </w:tr>
      <w:tr>
        <w:tc>
          <w:tcPr>
            <w:tcW w:type="dxa" w:w="1701"/>
          </w:tcPr>
          <w:p>
            <w:pPr>
              <w:spacing w:after="20" w:before="20"/>
            </w:pPr>
            <w:r/>
            <w:r>
              <w:rPr>
                <w:b/>
                <w:sz w:val="18"/>
              </w:rPr>
              <w:t>Tone &amp; messaging</w:t>
            </w:r>
          </w:p>
        </w:tc>
        <w:tc>
          <w:tcPr>
            <w:tcW w:type="dxa" w:w="2268"/>
          </w:tcPr>
          <w:p>
            <w:pPr>
              <w:spacing w:after="20" w:before="20"/>
            </w:pPr>
            <w:r/>
            <w:r>
              <w:rPr>
                <w:sz w:val="18"/>
              </w:rPr>
              <w:t>Is it formal, simple, persuasive?</w:t>
            </w:r>
          </w:p>
        </w:tc>
        <w:tc>
          <w:tcPr>
            <w:tcW w:type="dxa" w:w="5443"/>
          </w:tcPr>
          <w:p>
            <w:pPr>
              <w:spacing w:after="20" w:before="20"/>
              <w:ind w:left="142"/>
            </w:pPr>
            <w:r/>
            <w:r>
              <w:rPr>
                <w:sz w:val="18"/>
              </w:rPr>
              <w:t>• Word count and sentence length</w:t>
            </w:r>
          </w:p>
          <w:p>
            <w:pPr>
              <w:spacing w:after="20" w:before="20"/>
              <w:ind w:left="142"/>
            </w:pPr>
            <w:r>
              <w:rPr>
                <w:sz w:val="18"/>
              </w:rPr>
              <w:t>• Readability score</w:t>
            </w:r>
          </w:p>
          <w:p>
            <w:pPr>
              <w:spacing w:after="20" w:before="20"/>
              <w:ind w:left="142"/>
            </w:pPr>
            <w:r>
              <w:rPr>
                <w:sz w:val="18"/>
              </w:rPr>
              <w:t>• Formality level (rubric-scored)</w:t>
            </w:r>
          </w:p>
          <w:p>
            <w:pPr>
              <w:spacing w:after="20" w:before="20"/>
              <w:ind w:left="142"/>
            </w:pPr>
            <w:r>
              <w:rPr>
                <w:sz w:val="18"/>
              </w:rPr>
              <w:t>• Address form: "you" vs "we" vs impersonal</w:t>
            </w:r>
          </w:p>
          <w:p>
            <w:pPr>
              <w:spacing w:after="20" w:before="20"/>
              <w:ind w:left="142"/>
            </w:pPr>
            <w:r>
              <w:rPr>
                <w:sz w:val="18"/>
              </w:rPr>
              <w:t>• Urgency and scarcity markers ("only until …")</w:t>
            </w:r>
          </w:p>
          <w:p>
            <w:pPr>
              <w:spacing w:after="20" w:before="20"/>
              <w:ind w:left="142"/>
            </w:pPr>
            <w:r>
              <w:rPr>
                <w:sz w:val="18"/>
              </w:rPr>
              <w:t>• Number and wording of calls to action</w:t>
            </w:r>
          </w:p>
        </w:tc>
      </w:tr>
      <w:tr>
        <w:tc>
          <w:tcPr>
            <w:tcW w:type="dxa" w:w="1701"/>
            <w:shd w:val="clear" w:color="auto" w:fill="FDF0E6"/>
          </w:tcPr>
          <w:p>
            <w:pPr>
              <w:spacing w:after="20" w:before="20"/>
            </w:pPr>
            <w:r/>
            <w:r>
              <w:rPr>
                <w:b/>
                <w:sz w:val="18"/>
              </w:rPr>
              <w:t>Visuals &amp; illustrations</w:t>
            </w:r>
          </w:p>
        </w:tc>
        <w:tc>
          <w:tcPr>
            <w:tcW w:type="dxa" w:w="2268"/>
            <w:shd w:val="clear" w:color="auto" w:fill="FDF0E6"/>
          </w:tcPr>
          <w:p>
            <w:pPr>
              <w:spacing w:after="20" w:before="20"/>
            </w:pPr>
            <w:r/>
            <w:r>
              <w:rPr>
                <w:sz w:val="18"/>
              </w:rPr>
              <w:t>What kind of images are used? What do they show?</w:t>
            </w:r>
          </w:p>
        </w:tc>
        <w:tc>
          <w:tcPr>
            <w:tcW w:type="dxa" w:w="5443"/>
            <w:shd w:val="clear" w:color="auto" w:fill="FDF0E6"/>
          </w:tcPr>
          <w:p>
            <w:pPr>
              <w:spacing w:after="20" w:before="20"/>
              <w:ind w:left="142"/>
            </w:pPr>
            <w:r/>
            <w:r>
              <w:rPr>
                <w:sz w:val="18"/>
              </w:rPr>
              <w:t>• Number of images, total image area</w:t>
            </w:r>
          </w:p>
          <w:p>
            <w:pPr>
              <w:spacing w:after="20" w:before="20"/>
              <w:ind w:left="142"/>
            </w:pPr>
            <w:r>
              <w:rPr>
                <w:sz w:val="18"/>
              </w:rPr>
              <w:t>• Photo vs illustration vs 3D render</w:t>
            </w:r>
          </w:p>
          <w:p>
            <w:pPr>
              <w:spacing w:after="20" w:before="20"/>
              <w:ind w:left="142"/>
            </w:pPr>
            <w:r>
              <w:rPr>
                <w:sz w:val="18"/>
              </w:rPr>
              <w:t>• People present; lifestyle vs product-focused</w:t>
            </w:r>
          </w:p>
          <w:p>
            <w:pPr>
              <w:spacing w:after="20" w:before="20"/>
              <w:ind w:left="142"/>
            </w:pPr>
            <w:r>
              <w:rPr>
                <w:sz w:val="18"/>
              </w:rPr>
              <w:t>• Static vs animated (GIF, video, motion)</w:t>
            </w:r>
          </w:p>
          <w:p>
            <w:pPr>
              <w:spacing w:after="20" w:before="20"/>
              <w:ind w:left="142"/>
            </w:pPr>
            <w:r>
              <w:rPr>
                <w:sz w:val="18"/>
              </w:rPr>
              <w:t>• Presence of a hero image</w:t>
            </w:r>
          </w:p>
        </w:tc>
      </w:tr>
      <w:tr>
        <w:tc>
          <w:tcPr>
            <w:tcW w:type="dxa" w:w="1701"/>
          </w:tcPr>
          <w:p>
            <w:pPr>
              <w:spacing w:after="20" w:before="20"/>
            </w:pPr>
            <w:r/>
            <w:r>
              <w:rPr>
                <w:b/>
                <w:sz w:val="18"/>
              </w:rPr>
              <w:t>Colours &amp; design</w:t>
            </w:r>
          </w:p>
        </w:tc>
        <w:tc>
          <w:tcPr>
            <w:tcW w:type="dxa" w:w="2268"/>
          </w:tcPr>
          <w:p>
            <w:pPr>
              <w:spacing w:after="20" w:before="20"/>
            </w:pPr>
            <w:r/>
            <w:r>
              <w:rPr>
                <w:sz w:val="18"/>
              </w:rPr>
              <w:t>How is attention guided? What stands out?</w:t>
            </w:r>
          </w:p>
        </w:tc>
        <w:tc>
          <w:tcPr>
            <w:tcW w:type="dxa" w:w="5443"/>
          </w:tcPr>
          <w:p>
            <w:pPr>
              <w:spacing w:after="20" w:before="20"/>
              <w:ind w:left="142"/>
            </w:pPr>
            <w:r/>
            <w:r>
              <w:rPr>
                <w:sz w:val="18"/>
              </w:rPr>
              <w:t>• Dominant colours (extracted palette)</w:t>
            </w:r>
          </w:p>
          <w:p>
            <w:pPr>
              <w:spacing w:after="20" w:before="20"/>
              <w:ind w:left="142"/>
            </w:pPr>
            <w:r>
              <w:rPr>
                <w:sz w:val="18"/>
              </w:rPr>
              <w:t>• Share of brand colour in the page</w:t>
            </w:r>
          </w:p>
          <w:p>
            <w:pPr>
              <w:spacing w:after="20" w:before="20"/>
              <w:ind w:left="142"/>
            </w:pPr>
            <w:r>
              <w:rPr>
                <w:sz w:val="18"/>
              </w:rPr>
              <w:t>• Number of distinct accent colours</w:t>
            </w:r>
          </w:p>
          <w:p>
            <w:pPr>
              <w:spacing w:after="20" w:before="20"/>
              <w:ind w:left="142"/>
            </w:pPr>
            <w:r>
              <w:rPr>
                <w:sz w:val="18"/>
              </w:rPr>
              <w:t>• Contrast of the primary call to action</w:t>
            </w:r>
          </w:p>
          <w:p>
            <w:pPr>
              <w:spacing w:after="20" w:before="20"/>
              <w:ind w:left="142"/>
            </w:pPr>
            <w:r>
              <w:rPr>
                <w:sz w:val="18"/>
              </w:rPr>
              <w:t>• Whether the accent appears in text, icons, imagery, or all three</w:t>
            </w:r>
          </w:p>
        </w:tc>
      </w:tr>
      <w:tr>
        <w:tc>
          <w:tcPr>
            <w:tcW w:type="dxa" w:w="1701"/>
            <w:shd w:val="clear" w:color="auto" w:fill="FDF0E6"/>
          </w:tcPr>
          <w:p>
            <w:pPr>
              <w:spacing w:after="20" w:before="20"/>
            </w:pPr>
            <w:r/>
            <w:r>
              <w:rPr>
                <w:b/>
                <w:sz w:val="18"/>
              </w:rPr>
              <w:t>Layout &amp; structure</w:t>
            </w:r>
          </w:p>
        </w:tc>
        <w:tc>
          <w:tcPr>
            <w:tcW w:type="dxa" w:w="2268"/>
            <w:shd w:val="clear" w:color="auto" w:fill="FDF0E6"/>
          </w:tcPr>
          <w:p>
            <w:pPr>
              <w:spacing w:after="20" w:before="20"/>
            </w:pPr>
            <w:r/>
            <w:r>
              <w:rPr>
                <w:sz w:val="18"/>
              </w:rPr>
              <w:t>Is the page easy to read? How is it organised?</w:t>
            </w:r>
          </w:p>
        </w:tc>
        <w:tc>
          <w:tcPr>
            <w:tcW w:type="dxa" w:w="5443"/>
            <w:shd w:val="clear" w:color="auto" w:fill="FDF0E6"/>
          </w:tcPr>
          <w:p>
            <w:pPr>
              <w:spacing w:after="20" w:before="20"/>
              <w:ind w:left="142"/>
            </w:pPr>
            <w:r/>
            <w:r>
              <w:rPr>
                <w:sz w:val="18"/>
              </w:rPr>
              <w:t>• Number of sections and page height</w:t>
            </w:r>
          </w:p>
          <w:p>
            <w:pPr>
              <w:spacing w:after="20" w:before="20"/>
              <w:ind w:left="142"/>
            </w:pPr>
            <w:r>
              <w:rPr>
                <w:sz w:val="18"/>
              </w:rPr>
              <w:t>• Text and image adjacent vs stacked</w:t>
            </w:r>
          </w:p>
          <w:p>
            <w:pPr>
              <w:spacing w:after="20" w:before="20"/>
              <w:ind w:left="142"/>
            </w:pPr>
            <w:r>
              <w:rPr>
                <w:sz w:val="18"/>
              </w:rPr>
              <w:t>• Text-to-image ratio</w:t>
            </w:r>
          </w:p>
          <w:p>
            <w:pPr>
              <w:spacing w:after="20" w:before="20"/>
              <w:ind w:left="142"/>
            </w:pPr>
            <w:r>
              <w:rPr>
                <w:sz w:val="18"/>
              </w:rPr>
              <w:t>• Elements above the fold</w:t>
            </w:r>
          </w:p>
          <w:p>
            <w:pPr>
              <w:spacing w:after="20" w:before="20"/>
              <w:ind w:left="142"/>
            </w:pPr>
            <w:r>
              <w:rPr>
                <w:sz w:val="18"/>
              </w:rPr>
              <w:t>• Presence of comparison tables, FAQ, disclaimers</w:t>
            </w:r>
          </w:p>
        </w:tc>
      </w:tr>
      <w:tr>
        <w:tc>
          <w:tcPr>
            <w:tcW w:type="dxa" w:w="1701"/>
          </w:tcPr>
          <w:p>
            <w:pPr>
              <w:spacing w:after="20" w:before="20"/>
            </w:pPr>
            <w:r/>
            <w:r>
              <w:rPr>
                <w:b/>
                <w:sz w:val="18"/>
              </w:rPr>
              <w:t>Topics &amp; value proposition</w:t>
            </w:r>
          </w:p>
        </w:tc>
        <w:tc>
          <w:tcPr>
            <w:tcW w:type="dxa" w:w="2268"/>
          </w:tcPr>
          <w:p>
            <w:pPr>
              <w:spacing w:after="20" w:before="20"/>
            </w:pPr>
            <w:r/>
            <w:r>
              <w:rPr>
                <w:sz w:val="18"/>
              </w:rPr>
              <w:t>What is being offered? How is it framed?</w:t>
            </w:r>
          </w:p>
        </w:tc>
        <w:tc>
          <w:tcPr>
            <w:tcW w:type="dxa" w:w="5443"/>
          </w:tcPr>
          <w:p>
            <w:pPr>
              <w:spacing w:after="20" w:before="20"/>
              <w:ind w:left="142"/>
            </w:pPr>
            <w:r/>
            <w:r>
              <w:rPr>
                <w:sz w:val="18"/>
              </w:rPr>
              <w:t>• Product family and sub-product</w:t>
            </w:r>
          </w:p>
          <w:p>
            <w:pPr>
              <w:spacing w:after="20" w:before="20"/>
              <w:ind w:left="142"/>
            </w:pPr>
            <w:r>
              <w:rPr>
                <w:sz w:val="18"/>
              </w:rPr>
              <w:t>• Whether a rate or price is shown, and how prominently</w:t>
            </w:r>
          </w:p>
          <w:p>
            <w:pPr>
              <w:spacing w:after="20" w:before="20"/>
              <w:ind w:left="142"/>
            </w:pPr>
            <w:r>
              <w:rPr>
                <w:sz w:val="18"/>
              </w:rPr>
              <w:t>• Benefit framing: rational vs emotional</w:t>
            </w:r>
          </w:p>
          <w:p>
            <w:pPr>
              <w:spacing w:after="20" w:before="20"/>
              <w:ind w:left="142"/>
            </w:pPr>
            <w:r>
              <w:rPr>
                <w:sz w:val="18"/>
              </w:rPr>
              <w:t>• Target audience signalled</w:t>
            </w:r>
          </w:p>
          <w:p>
            <w:pPr>
              <w:spacing w:after="20" w:before="20"/>
              <w:ind w:left="142"/>
            </w:pPr>
            <w:r>
              <w:rPr>
                <w:sz w:val="18"/>
              </w:rPr>
              <w:t>• Presence and prominence of risk and legal disclaimers</w:t>
            </w:r>
          </w:p>
        </w:tc>
      </w:tr>
    </w:tbl>
    <w:p>
      <w:pPr>
        <w:spacing w:after="80"/>
      </w:pPr>
    </w:p>
    <w:p>
      <w:r>
        <w:rPr>
          <w:b w:val="0"/>
          <w:i/>
        </w:rPr>
        <w:t>The brief is explicit about the bar: "The goal is not just to describe, but to compare consistently across banks." A per-bank narrative description without a shared, comparable feature set does not meet the requirement.</w:t>
      </w:r>
    </w:p>
    <w:p>
      <w:pPr>
        <w:pStyle w:val="Heading1"/>
      </w:pPr>
      <w:r>
        <w:rPr>
          <w:b w:val="0"/>
          <w:i w:val="0"/>
        </w:rPr>
        <w:t>11 bis. Addendum — additional analysis dimensions (banking-domain input, added 14/09)</w:t>
      </w:r>
    </w:p>
    <w:p>
      <w:r>
        <w:rPr>
          <w:b w:val="0"/>
          <w:i w:val="0"/>
        </w:rPr>
        <w:t xml:space="preserve">The dimensions below are additions proposed by Siegried, drawing on 17 years of banking experience, as candidate inputs to the scoring rubric (step 3 of the approach plan, owned by Siegried). Nothing above is removed; the team decides at standup which of these enter the v1 schema versus remain a documented next step for D-09.</w:t>
      </w:r>
    </w:p>
    <w:p>
      <w:pPr>
        <w:pStyle w:val="ListBullet"/>
      </w:pPr>
      <w:r>
        <w:rPr>
          <w:b/>
        </w:rPr>
        <w:t xml:space="preserve">Retail vs professional/self-employed/SME targeting — </w:t>
      </w:r>
      <w:r>
        <w:t xml:space="preserve">Does the page address an individual, or a business/self-employed activity (business account, leasing, professional credit)?</w:t>
      </w:r>
    </w:p>
    <w:p>
      <w:pPr>
        <w:pStyle w:val="ListBullet"/>
      </w:pPr>
      <w:r>
        <w:rPr>
          <w:b/>
        </w:rPr>
        <w:t xml:space="preserve">Bancassurance bundle vs single product — </w:t>
      </w:r>
      <w:r>
        <w:t xml:space="preserve">Does the page push one isolated product, or a bundle (account + card + insurance + investment) in the same funnel? A structural business-model signal (universal bank vs single-product neobank), not just tone or animation.</w:t>
      </w:r>
    </w:p>
    <w:p>
      <w:pPr>
        <w:pStyle w:val="ListBullet"/>
      </w:pPr>
      <w:r>
        <w:rPr>
          <w:b/>
        </w:rPr>
        <w:t xml:space="preserve">Rate architecture: base rate vs promotional bonus — </w:t>
      </w:r>
      <w:r>
        <w:t xml:space="preserve">Is the headline rate the regulated base savings rate, or a temporary promotional bonus that inflates the displayed figure? Directly tied to the 2023 state-bond competitive response referenced in the kickoff deck.</w:t>
      </w:r>
    </w:p>
    <w:p>
      <w:pPr>
        <w:pStyle w:val="ListBullet"/>
      </w:pPr>
      <w:r>
        <w:rPr>
          <w:b/>
        </w:rPr>
        <w:t xml:space="preserve">Digital self-service vs advisor/branch — </w:t>
      </w:r>
      <w:r>
        <w:t xml:space="preserve">Is the primary call to action “open online in 5 minutes” or “book an appointment / find a branch”? A signal of distribution-model reliance on the branch network.</w:t>
      </w:r>
    </w:p>
    <w:p>
      <w:pPr>
        <w:pStyle w:val="ListBullet"/>
      </w:pPr>
      <w:r>
        <w:rPr>
          <w:b/>
        </w:rPr>
        <w:t xml:space="preserve">Switching-friction framing — </w:t>
      </w:r>
      <w:r>
        <w:t xml:space="preserve">Does the message reassure against switching away (retention) or actively encourage switching in (acquisition)? Belgium's bank-switching service makes this concrete and mesurable.</w:t>
      </w:r>
    </w:p>
    <w:p>
      <w:pPr>
        <w:pStyle w:val="ListBullet"/>
      </w:pPr>
      <w:r>
        <w:rPr>
          <w:b/>
        </w:rPr>
        <w:t xml:space="preserve">Prominence of regulatory disclosures — </w:t>
      </w:r>
      <w:r>
        <w:t xml:space="preserve">Are the APR/TAEG, the deposit guarantee (€100,000), risk warnings and the withdrawal period visible, and where — or are they buried in small print?</w:t>
      </w:r>
    </w:p>
    <w:p>
      <w:pPr>
        <w:pStyle w:val="ListBullet"/>
      </w:pPr>
      <w:r>
        <w:rPr>
          <w:b/>
        </w:rPr>
        <w:t xml:space="preserve">“Free” framing with hidden conditions — </w:t>
      </w:r>
      <w:r>
        <w:t xml:space="preserve">Is “free” the headline claim while conditions (minimum balance, usage requirement) sit in small print? Ties directly to the kickoff deck's own top-NPS-irritator finding.</w:t>
      </w:r>
    </w:p>
    <w:p>
      <w:pPr>
        <w:pStyle w:val="ListBullet"/>
      </w:pPr>
      <w:r>
        <w:rPr>
          <w:b/>
        </w:rPr>
        <w:t xml:space="preserve">Belgian fiscal calendar — </w:t>
      </w:r>
      <w:r>
        <w:t xml:space="preserve">Term deposits peak around September (state-bond competitive response); pension savings (épargne-pension) peak around the 31 December tax-deduction deadline. A capture window limited to September observes only one of the two cycles.</w:t>
      </w:r>
      <w:r>
        <w:rPr>
          <w:i/>
          <w:color w:val="5A5A5A"/>
        </w:rPr>
        <w:t xml:space="preserve"> (to be stated explicitly as a limitation, ties to FR-12)</w:t>
      </w:r>
    </w:p>
    <w:p>
      <w:pPr>
        <w:pStyle w:val="ListBullet"/>
      </w:pPr>
      <w:r>
        <w:rPr>
          <w:b/>
        </w:rPr>
        <w:t xml:space="preserve">ESG claim specificity — </w:t>
      </w:r>
      <w:r>
        <w:t xml:space="preserve">Does a sustainability claim carry a verifiable reference or figure, or is it an adjective only (“sustainable”, “responsible”) with nothing behind it?</w:t>
      </w:r>
      <w:r>
        <w:rPr>
          <w:i/>
          <w:color w:val="5A5A5A"/>
        </w:rPr>
        <w:t xml:space="preserve"> (recalibrated from an earlier idea of coding an explicit SFDR Article 6/8/9 classification directly from the page — on reflection that classification lives in regulatory documentation (KID/prospectus), rarely on the marketing page itself, so the feature above is the realistic version)</w:t>
      </w:r>
    </w:p>
    <w:p>
      <w:pPr>
        <w:pStyle w:val="ListBullet"/>
      </w:pPr>
      <w:r>
        <w:rPr>
          <w:b/>
        </w:rPr>
        <w:t xml:space="preserve">Loyalty/referral signal, as a CRM proxy — </w:t>
      </w:r>
      <w:r>
        <w:t xml:space="preserve">Does the public page advertise a loyalty programme or a referral scheme (“invite a friend”)?</w:t>
      </w:r>
      <w:r>
        <w:rPr>
          <w:i/>
          <w:color w:val="5A5A5A"/>
        </w:rPr>
        <w:t xml:space="preserve"> (true CRM/personalisation data is out of reach entirely, not a scoping choice — it sits behind authentication and is excluded by DR-01/DR-09 and the no-internal-data assumption in section 15.1; this is a legitimate public-page proxy, not a substitute for the real thing)</w:t>
      </w:r>
    </w:p>
    <w:p>
      <w:pPr>
        <w:pStyle w:val="ListBullet"/>
      </w:pPr>
      <w:r>
        <w:rPr>
          <w:b/>
        </w:rPr>
        <w:t xml:space="preserve">Social media sentiment — </w:t>
      </w:r>
      <w:r>
        <w:t xml:space="preserve">Recurring themes in public comments under official bank posts — what is complained about, what is praised.</w:t>
      </w:r>
      <w:r>
        <w:rPr>
          <w:i/>
          <w:color w:val="5A5A5A"/>
        </w:rPr>
        <w:t xml:space="preserve"> (flagged as genuinely risky for v1: section 5.2 and the approach plan already name social media as a future extension, not part of this POC, and risk R-07 (scope creep) is defined precisely against attempting to cover everything; a second collection pipeline also means a second, distinct compliance regime (platform terms of use). recorded here as a D-09 candidate, not a v1 requirement, unless the team consciously trades it against another dimension at standup)</w:t>
      </w:r>
    </w:p>
    <w:p>
      <w:pPr>
        <w:pStyle w:val="ListBullet"/>
      </w:pPr>
      <w:r>
        <w:rPr>
          <w:b/>
        </w:rPr>
        <w:t xml:space="preserve">Accessibility — </w:t>
      </w:r>
      <w:r>
        <w:t xml:space="preserve">Presence of non-empty alt text on images; contrast of the primary call-to-action colour against its background. Extractable from the HTML already collected for other features, no additional collection cost.</w:t>
      </w:r>
    </w:p>
    <w:p>
      <w:pPr>
        <w:pStyle w:val="ListBullet"/>
      </w:pPr>
      <w:r>
        <w:rPr>
          <w:b/>
        </w:rPr>
        <w:t xml:space="preserve">SEO signals — </w:t>
      </w:r>
      <w:r>
        <w:t xml:space="preserve">The &lt;title&gt; tag and meta description: what the bank prioritises for organic search, often a concrete rate/product keyword rather than the page's visual message. Extractable from the HTML &lt;head&gt;, no additional collection cost.</w:t>
      </w:r>
    </w:p>
    <w:p>
      <w:r>
        <w:rPr>
          <w:b w:val="0"/>
          <w:i/>
        </w:rPr>
        <w:t xml:space="preserve">Second pass (added 14/09, later same day) — further additions from the same banking-domain lens, aimed specifically at differentiating this team's delivery given its members' banking-sector background:</w:t>
      </w:r>
    </w:p>
    <w:p>
      <w:pPr>
        <w:pStyle w:val="ListBullet"/>
      </w:pPr>
      <w:r>
        <w:rPr>
          <w:b/>
        </w:rPr>
        <w:t xml:space="preserve">Institutional-backing trust signal — </w:t>
      </w:r>
      <w:r>
        <w:t xml:space="preserve">Does the page invoke tenure, customer count, or ownership backing (e.g. Belfius is 100% Belgian-State-owned — a safety argument unique to that bank, tracing to the 2011 Dexia/Belfius restructuring)? A Belgium-specific reassurance lever no generic persuasion framework names.</w:t>
      </w:r>
    </w:p>
    <w:p>
      <w:pPr>
        <w:pStyle w:val="ListBullet"/>
      </w:pPr>
      <w:r>
        <w:rPr>
          <w:b/>
        </w:rPr>
        <w:t xml:space="preserve">Capped/tiered rate presented as the headline rate — </w:t>
      </w:r>
      <w:r>
        <w:t xml:space="preserve">Refines the rate_framing dimension above: is the advertised “up to X%” actually a low-ceiling or short-window tier, versus a flat rate applying to the full balance?</w:t>
      </w:r>
    </w:p>
    <w:p>
      <w:pPr>
        <w:pStyle w:val="ListBullet"/>
      </w:pPr>
      <w:r>
        <w:rPr>
          <w:b/>
        </w:rPr>
        <w:t xml:space="preserve">Youth/student acquisition as a lifetime-value play — </w:t>
      </w:r>
      <w:r>
        <w:t xml:space="preserve">Is a junior/student account (often free or gamified) promoted as an entry point? A deliberate long-horizon acquisition strategy — capture the relationship at 18, retain it for decades — distinct from generic retail targeting.</w:t>
      </w:r>
    </w:p>
    <w:p>
      <w:pPr>
        <w:pStyle w:val="ListBullet"/>
      </w:pPr>
      <w:r>
        <w:rPr>
          <w:b/>
        </w:rPr>
        <w:t xml:space="preserve">Secondary/complementary-bank positioning vs full replacement — </w:t>
      </w:r>
      <w:r>
        <w:t xml:space="preserve">Do neobanks frame themselves as an addition (“keep your current bank, add us for savings”) rather than a full switch? A specific acquisition-strategy signal not captured by the switching-friction dimension above.</w:t>
      </w:r>
    </w:p>
    <w:p>
      <w:pPr>
        <w:pStyle w:val="ListBullet"/>
      </w:pPr>
      <w:r>
        <w:rPr>
          <w:b/>
        </w:rPr>
        <w:t xml:space="preserve">Expat / cross-border targeting — </w:t>
      </w:r>
      <w:r>
        <w:t xml:space="preserve">Presence of English-language content aimed at “moving to Belgium” / international clients — a segment ING has a historical reputation with.</w:t>
      </w:r>
    </w:p>
    <w:p>
      <w:pPr>
        <w:pStyle w:val="ListBullet"/>
      </w:pPr>
      <w:r>
        <w:rPr>
          <w:b/>
        </w:rPr>
        <w:t xml:space="preserve">Concrete green product vs generic ESG claim — </w:t>
      </w:r>
      <w:r>
        <w:t xml:space="preserve">Refines the ESG-claim-specificity dimension above: a green mortgage with an actual rate discount tied to energy performance is a different, stronger signal than a generic sustainability adjective.</w:t>
      </w:r>
    </w:p>
    <w:p>
      <w:pPr>
        <w:pStyle w:val="ListBullet"/>
      </w:pPr>
      <w:r>
        <w:rPr>
          <w:b/>
        </w:rPr>
        <w:t xml:space="preserve">Branch/ATM network cited as a selling point — </w:t>
      </w:r>
      <w:r>
        <w:t xml:space="preserve">Does the page explicitly tout physical infrastructure (branch count, Bancontact network) as an advantage? Structurally unavailable to a neobank — a hard marker of business model.</w:t>
      </w:r>
    </w:p>
    <w:p>
      <w:r>
        <w:rPr>
          <w:b w:val="0"/>
          <w:i/>
        </w:rPr>
        <w:t xml:space="preserve">Diminishing returns note: this second pass is likely the practical ceiling for this angle. Each further dimension added competes with the MVP's thin-slice principle (section 5.3) and risk R-07 (scope creep) for the same limited time; the team's actual differentiator versus other groups is unlikely to come from adding an eighth or ninth banking-specific dimension, but from executing a smaller set of them with genuine rigour and presenting the business deck with the maturity of an internal strategy memo rather than a student slide deck.</w:t>
      </w:r>
    </w:p>
    <w:p>
      <w:r>
        <w:rPr>
          <w:b w:val="0"/>
          <w:i w:val="0"/>
        </w:rPr>
        <w:t xml:space="preserve">Explicitly out of scope for any version of this project, named here for completeness rather than as a to-do: TV/radio/out-of-home advertising, call-centre scripts, in-app push notifications, and e-mail marketing — each would require an entirely different collection method and is not addressed by this addendum.</w:t>
      </w:r>
    </w:p>
    <w:p>
      <w:pPr>
        <w:pStyle w:val="Heading1"/>
      </w:pPr>
      <w:r>
        <w:rPr>
          <w:b w:val="0"/>
          <w:i w:val="0"/>
        </w:rPr>
        <w:t>12. Expected method (indicative)</w:t>
      </w:r>
    </w:p>
    <w:p>
      <w:r>
        <w:rPr>
          <w:b w:val="0"/>
          <w:i w:val="0"/>
        </w:rPr>
        <w:t>The stakeholders do not prescribe a method — "different possible approaches" — but the brief does prescribe the workflow the project must move through. The requirements above are method-agnostic; this section only fixes the sequence, so that the end-to-end chain in the MVP is unambiguous.</w:t>
      </w:r>
    </w:p>
    <w:tbl>
      <w:tblPr>
        <w:tblStyle w:val="TableGrid"/>
        <w:jc w:val="center"/>
        <w:tblLook w:firstColumn="1" w:firstRow="1" w:lastColumn="0" w:lastRow="0" w:noHBand="0" w:noVBand="1" w:val="04A0"/>
        <w:tblLayout w:type="fixed"/>
        <w:tblW w:w="9412" w:type="dxa"/>
      </w:tblPr>
      <w:tblGrid>
        <w:gridCol w:w="1701"/>
        <w:gridCol w:w="5103"/>
        <w:gridCol w:w="2608"/>
      </w:tblGrid>
      <w:tr>
        <w:tc>
          <w:tcPr>
            <w:tcW w:type="dxa" w:w="1701"/>
            <w:shd w:val="clear" w:color="auto" w:fill="FF6200"/>
          </w:tcPr>
          <w:p>
            <w:pPr>
              <w:spacing w:after="40" w:before="40"/>
            </w:pPr>
            <w:r/>
            <w:r>
              <w:rPr>
                <w:b/>
                <w:color w:val="FFFFFF"/>
                <w:sz w:val="19"/>
              </w:rPr>
              <w:t>Stage</w:t>
            </w:r>
          </w:p>
        </w:tc>
        <w:tc>
          <w:tcPr>
            <w:tcW w:type="dxa" w:w="5102"/>
            <w:shd w:val="clear" w:color="auto" w:fill="FF6200"/>
          </w:tcPr>
          <w:p>
            <w:pPr>
              <w:spacing w:after="40" w:before="40"/>
            </w:pPr>
            <w:r/>
            <w:r>
              <w:rPr>
                <w:b/>
                <w:color w:val="FFFFFF"/>
                <w:sz w:val="19"/>
              </w:rPr>
              <w:t>What happens</w:t>
            </w:r>
          </w:p>
        </w:tc>
        <w:tc>
          <w:tcPr>
            <w:tcW w:type="dxa" w:w="2608"/>
            <w:shd w:val="clear" w:color="auto" w:fill="FF6200"/>
          </w:tcPr>
          <w:p>
            <w:pPr>
              <w:spacing w:after="40" w:before="40"/>
            </w:pPr>
            <w:r/>
            <w:r>
              <w:rPr>
                <w:b/>
                <w:color w:val="FFFFFF"/>
                <w:sz w:val="19"/>
              </w:rPr>
              <w:t>Requirements covered</w:t>
            </w:r>
          </w:p>
        </w:tc>
      </w:tr>
      <w:tr>
        <w:tc>
          <w:tcPr>
            <w:tcW w:type="dxa" w:w="1701"/>
          </w:tcPr>
          <w:p>
            <w:pPr>
              <w:spacing w:after="20" w:before="20"/>
            </w:pPr>
            <w:r/>
            <w:r>
              <w:rPr>
                <w:b/>
                <w:sz w:val="18"/>
              </w:rPr>
              <w:t>1. Frame</w:t>
            </w:r>
          </w:p>
        </w:tc>
        <w:tc>
          <w:tcPr>
            <w:tcW w:type="dxa" w:w="5102"/>
          </w:tcPr>
          <w:p>
            <w:pPr>
              <w:spacing w:after="20" w:before="20"/>
            </w:pPr>
            <w:r/>
            <w:r>
              <w:rPr>
                <w:sz w:val="18"/>
              </w:rPr>
              <w:t>Define the business question, the product family, the banks and the pages. Write down what is excluded.</w:t>
            </w:r>
          </w:p>
        </w:tc>
        <w:tc>
          <w:tcPr>
            <w:tcW w:type="dxa" w:w="2608"/>
          </w:tcPr>
          <w:p>
            <w:pPr>
              <w:spacing w:after="20" w:before="20"/>
            </w:pPr>
            <w:r/>
            <w:r>
              <w:rPr>
                <w:sz w:val="18"/>
              </w:rPr>
              <w:t>FR-01, DR-04</w:t>
            </w:r>
          </w:p>
        </w:tc>
      </w:tr>
      <w:tr>
        <w:tc>
          <w:tcPr>
            <w:tcW w:type="dxa" w:w="1701"/>
            <w:shd w:val="clear" w:color="auto" w:fill="FDF0E6"/>
          </w:tcPr>
          <w:p>
            <w:pPr>
              <w:spacing w:after="20" w:before="20"/>
            </w:pPr>
            <w:r/>
            <w:r>
              <w:rPr>
                <w:b/>
                <w:sz w:val="18"/>
              </w:rPr>
              <w:t>2. Check compliance</w:t>
            </w:r>
          </w:p>
        </w:tc>
        <w:tc>
          <w:tcPr>
            <w:tcW w:type="dxa" w:w="5102"/>
            <w:shd w:val="clear" w:color="auto" w:fill="FDF0E6"/>
          </w:tcPr>
          <w:p>
            <w:pPr>
              <w:spacing w:after="20" w:before="20"/>
            </w:pPr>
            <w:r/>
            <w:r>
              <w:rPr>
                <w:sz w:val="18"/>
              </w:rPr>
              <w:t>Read robots.txt and sitemaps, review terms, fix the collection rules, write the compliance note.</w:t>
            </w:r>
          </w:p>
        </w:tc>
        <w:tc>
          <w:tcPr>
            <w:tcW w:type="dxa" w:w="2608"/>
            <w:shd w:val="clear" w:color="auto" w:fill="FDF0E6"/>
          </w:tcPr>
          <w:p>
            <w:pPr>
              <w:spacing w:after="20" w:before="20"/>
            </w:pPr>
            <w:r/>
            <w:r>
              <w:rPr>
                <w:sz w:val="18"/>
              </w:rPr>
              <w:t>LC-01 to LC-08</w:t>
            </w:r>
          </w:p>
        </w:tc>
      </w:tr>
      <w:tr>
        <w:tc>
          <w:tcPr>
            <w:tcW w:type="dxa" w:w="1701"/>
          </w:tcPr>
          <w:p>
            <w:pPr>
              <w:spacing w:after="20" w:before="20"/>
            </w:pPr>
            <w:r/>
            <w:r>
              <w:rPr>
                <w:b/>
                <w:sz w:val="18"/>
              </w:rPr>
              <w:t>3. Collect</w:t>
            </w:r>
          </w:p>
        </w:tc>
        <w:tc>
          <w:tcPr>
            <w:tcW w:type="dxa" w:w="5102"/>
          </w:tcPr>
          <w:p>
            <w:pPr>
              <w:spacing w:after="20" w:before="20"/>
            </w:pPr>
            <w:r/>
            <w:r>
              <w:rPr>
                <w:sz w:val="18"/>
              </w:rPr>
              <w:t>Fetch and snapshot the selected pages, with assets and provenance.</w:t>
            </w:r>
          </w:p>
        </w:tc>
        <w:tc>
          <w:tcPr>
            <w:tcW w:type="dxa" w:w="2608"/>
          </w:tcPr>
          <w:p>
            <w:pPr>
              <w:spacing w:after="20" w:before="20"/>
            </w:pPr>
            <w:r/>
            <w:r>
              <w:rPr>
                <w:sz w:val="18"/>
              </w:rPr>
              <w:t>FR-02, FR-03, DR-01 to DR-06</w:t>
            </w:r>
          </w:p>
        </w:tc>
      </w:tr>
      <w:tr>
        <w:tc>
          <w:tcPr>
            <w:tcW w:type="dxa" w:w="1701"/>
            <w:shd w:val="clear" w:color="auto" w:fill="FDF0E6"/>
          </w:tcPr>
          <w:p>
            <w:pPr>
              <w:spacing w:after="20" w:before="20"/>
            </w:pPr>
            <w:r/>
            <w:r>
              <w:rPr>
                <w:b/>
                <w:sz w:val="18"/>
              </w:rPr>
              <w:t>4. Structure</w:t>
            </w:r>
          </w:p>
        </w:tc>
        <w:tc>
          <w:tcPr>
            <w:tcW w:type="dxa" w:w="5102"/>
            <w:shd w:val="clear" w:color="auto" w:fill="FDF0E6"/>
          </w:tcPr>
          <w:p>
            <w:pPr>
              <w:spacing w:after="20" w:before="20"/>
            </w:pPr>
            <w:r/>
            <w:r>
              <w:rPr>
                <w:sz w:val="18"/>
              </w:rPr>
              <w:t>Define the feature dictionary and extract features into the dataset.</w:t>
            </w:r>
          </w:p>
        </w:tc>
        <w:tc>
          <w:tcPr>
            <w:tcW w:type="dxa" w:w="2608"/>
            <w:shd w:val="clear" w:color="auto" w:fill="FDF0E6"/>
          </w:tcPr>
          <w:p>
            <w:pPr>
              <w:spacing w:after="20" w:before="20"/>
            </w:pPr>
            <w:r/>
            <w:r>
              <w:rPr>
                <w:sz w:val="18"/>
              </w:rPr>
              <w:t>FR-04 to FR-07, NFR-05</w:t>
            </w:r>
          </w:p>
        </w:tc>
      </w:tr>
      <w:tr>
        <w:tc>
          <w:tcPr>
            <w:tcW w:type="dxa" w:w="1701"/>
          </w:tcPr>
          <w:p>
            <w:pPr>
              <w:spacing w:after="20" w:before="20"/>
            </w:pPr>
            <w:r/>
            <w:r>
              <w:rPr>
                <w:b/>
                <w:sz w:val="18"/>
              </w:rPr>
              <w:t>5. Analyse</w:t>
            </w:r>
          </w:p>
        </w:tc>
        <w:tc>
          <w:tcPr>
            <w:tcW w:type="dxa" w:w="5102"/>
          </w:tcPr>
          <w:p>
            <w:pPr>
              <w:spacing w:after="20" w:before="20"/>
            </w:pPr>
            <w:r/>
            <w:r>
              <w:rPr>
                <w:sz w:val="18"/>
              </w:rPr>
              <w:t>Compare banks, position ING, group by similarity, identify patterns.</w:t>
            </w:r>
          </w:p>
        </w:tc>
        <w:tc>
          <w:tcPr>
            <w:tcW w:type="dxa" w:w="2608"/>
          </w:tcPr>
          <w:p>
            <w:pPr>
              <w:spacing w:after="20" w:before="20"/>
            </w:pPr>
            <w:r/>
            <w:r>
              <w:rPr>
                <w:sz w:val="18"/>
              </w:rPr>
              <w:t>FR-08, FR-09, FR-14</w:t>
            </w:r>
          </w:p>
        </w:tc>
      </w:tr>
      <w:tr>
        <w:tc>
          <w:tcPr>
            <w:tcW w:type="dxa" w:w="1701"/>
            <w:shd w:val="clear" w:color="auto" w:fill="FDF0E6"/>
          </w:tcPr>
          <w:p>
            <w:pPr>
              <w:spacing w:after="20" w:before="20"/>
            </w:pPr>
            <w:r/>
            <w:r>
              <w:rPr>
                <w:b/>
                <w:sz w:val="18"/>
              </w:rPr>
              <w:t>6. Conclude</w:t>
            </w:r>
          </w:p>
        </w:tc>
        <w:tc>
          <w:tcPr>
            <w:tcW w:type="dxa" w:w="5102"/>
            <w:shd w:val="clear" w:color="auto" w:fill="FDF0E6"/>
          </w:tcPr>
          <w:p>
            <w:pPr>
              <w:spacing w:after="20" w:before="20"/>
            </w:pPr>
            <w:r/>
            <w:r>
              <w:rPr>
                <w:sz w:val="18"/>
              </w:rPr>
              <w:t>Derive insights and recommendations; document limitations.</w:t>
            </w:r>
          </w:p>
        </w:tc>
        <w:tc>
          <w:tcPr>
            <w:tcW w:type="dxa" w:w="2608"/>
            <w:shd w:val="clear" w:color="auto" w:fill="FDF0E6"/>
          </w:tcPr>
          <w:p>
            <w:pPr>
              <w:spacing w:after="20" w:before="20"/>
            </w:pPr>
            <w:r/>
            <w:r>
              <w:rPr>
                <w:sz w:val="18"/>
              </w:rPr>
              <w:t>FR-10, FR-12</w:t>
            </w:r>
          </w:p>
        </w:tc>
      </w:tr>
      <w:tr>
        <w:tc>
          <w:tcPr>
            <w:tcW w:type="dxa" w:w="1701"/>
          </w:tcPr>
          <w:p>
            <w:pPr>
              <w:spacing w:after="20" w:before="20"/>
            </w:pPr>
            <w:r/>
            <w:r>
              <w:rPr>
                <w:b/>
                <w:sz w:val="18"/>
              </w:rPr>
              <w:t>7. Present</w:t>
            </w:r>
          </w:p>
        </w:tc>
        <w:tc>
          <w:tcPr>
            <w:tcW w:type="dxa" w:w="5102"/>
          </w:tcPr>
          <w:p>
            <w:pPr>
              <w:spacing w:after="20" w:before="20"/>
            </w:pPr>
            <w:r/>
            <w:r>
              <w:rPr>
                <w:sz w:val="18"/>
              </w:rPr>
              <w:t>Build and deliver the business and data presentations.</w:t>
            </w:r>
          </w:p>
        </w:tc>
        <w:tc>
          <w:tcPr>
            <w:tcW w:type="dxa" w:w="2608"/>
          </w:tcPr>
          <w:p>
            <w:pPr>
              <w:spacing w:after="20" w:before="20"/>
            </w:pPr>
            <w:r/>
            <w:r>
              <w:rPr>
                <w:sz w:val="18"/>
              </w:rPr>
              <w:t>FR-13, NFR-10</w:t>
            </w:r>
          </w:p>
        </w:tc>
      </w:tr>
    </w:tbl>
    <w:p>
      <w:pPr>
        <w:spacing w:after="80"/>
      </w:pPr>
    </w:p>
    <w:p>
      <w:pPr>
        <w:pStyle w:val="Heading1"/>
      </w:pPr>
      <w:r>
        <w:rPr>
          <w:b w:val="0"/>
          <w:i w:val="0"/>
        </w:rPr>
        <w:t>13. Deliverables</w:t>
      </w:r>
    </w:p>
    <w:tbl>
      <w:tblPr>
        <w:tblStyle w:val="TableGrid"/>
        <w:jc w:val="center"/>
        <w:tblLook w:firstColumn="1" w:firstRow="1" w:lastColumn="0" w:lastRow="0" w:noHBand="0" w:noVBand="1" w:val="04A0"/>
        <w:tblLayout w:type="fixed"/>
        <w:tblW w:w="9412" w:type="dxa"/>
      </w:tblPr>
      <w:tblGrid>
        <w:gridCol w:w="737"/>
        <w:gridCol w:w="2097"/>
        <w:gridCol w:w="5273"/>
        <w:gridCol w:w="1304"/>
      </w:tblGrid>
      <w:tr>
        <w:tc>
          <w:tcPr>
            <w:tcW w:type="dxa" w:w="737"/>
            <w:shd w:val="clear" w:color="auto" w:fill="FF6200"/>
          </w:tcPr>
          <w:p>
            <w:pPr>
              <w:spacing w:after="40" w:before="40"/>
            </w:pPr>
            <w:r/>
            <w:r>
              <w:rPr>
                <w:b/>
                <w:color w:val="FFFFFF"/>
                <w:sz w:val="19"/>
              </w:rPr>
              <w:t>ID</w:t>
            </w:r>
          </w:p>
        </w:tc>
        <w:tc>
          <w:tcPr>
            <w:tcW w:type="dxa" w:w="2098"/>
            <w:shd w:val="clear" w:color="auto" w:fill="FF6200"/>
          </w:tcPr>
          <w:p>
            <w:pPr>
              <w:spacing w:after="40" w:before="40"/>
            </w:pPr>
            <w:r/>
            <w:r>
              <w:rPr>
                <w:b/>
                <w:color w:val="FFFFFF"/>
                <w:sz w:val="19"/>
              </w:rPr>
              <w:t>Deliverable</w:t>
            </w:r>
          </w:p>
        </w:tc>
        <w:tc>
          <w:tcPr>
            <w:tcW w:type="dxa" w:w="5272"/>
            <w:shd w:val="clear" w:color="auto" w:fill="FF6200"/>
          </w:tcPr>
          <w:p>
            <w:pPr>
              <w:spacing w:after="40" w:before="40"/>
            </w:pPr>
            <w:r/>
            <w:r>
              <w:rPr>
                <w:b/>
                <w:color w:val="FFFFFF"/>
                <w:sz w:val="19"/>
              </w:rPr>
              <w:t>Content</w:t>
            </w:r>
          </w:p>
        </w:tc>
        <w:tc>
          <w:tcPr>
            <w:tcW w:type="dxa" w:w="1304"/>
            <w:shd w:val="clear" w:color="auto" w:fill="FF6200"/>
          </w:tcPr>
          <w:p>
            <w:pPr>
              <w:spacing w:after="40" w:before="40"/>
            </w:pPr>
            <w:r/>
            <w:r>
              <w:rPr>
                <w:b/>
                <w:color w:val="FFFFFF"/>
                <w:sz w:val="19"/>
              </w:rPr>
              <w:t>Audience</w:t>
            </w:r>
          </w:p>
        </w:tc>
      </w:tr>
      <w:tr>
        <w:tc>
          <w:tcPr>
            <w:tcW w:type="dxa" w:w="737"/>
          </w:tcPr>
          <w:p>
            <w:pPr>
              <w:spacing w:after="20" w:before="20"/>
            </w:pPr>
            <w:r/>
            <w:r>
              <w:rPr>
                <w:b/>
                <w:sz w:val="18"/>
              </w:rPr>
              <w:t>D-01</w:t>
            </w:r>
          </w:p>
        </w:tc>
        <w:tc>
          <w:tcPr>
            <w:tcW w:type="dxa" w:w="2098"/>
          </w:tcPr>
          <w:p>
            <w:pPr>
              <w:spacing w:after="20" w:before="20"/>
            </w:pPr>
            <w:r/>
            <w:r>
              <w:rPr>
                <w:sz w:val="18"/>
              </w:rPr>
              <w:t>Scope and compliance note</w:t>
            </w:r>
          </w:p>
        </w:tc>
        <w:tc>
          <w:tcPr>
            <w:tcW w:type="dxa" w:w="5272"/>
          </w:tcPr>
          <w:p>
            <w:pPr>
              <w:spacing w:after="20" w:before="20"/>
            </w:pPr>
            <w:r/>
            <w:r>
              <w:rPr>
                <w:sz w:val="18"/>
              </w:rPr>
              <w:t>Banks, product family, pages and language selected, with justification; what was excluded and why; robots.txt and sitemap findings; the "what we considered acceptable, and why" statement.</w:t>
            </w:r>
          </w:p>
        </w:tc>
        <w:tc>
          <w:tcPr>
            <w:tcW w:type="dxa" w:w="1304"/>
          </w:tcPr>
          <w:p>
            <w:pPr>
              <w:spacing w:after="20" w:before="20"/>
            </w:pPr>
            <w:r/>
            <w:r>
              <w:rPr>
                <w:sz w:val="18"/>
              </w:rPr>
              <w:t>Both</w:t>
            </w:r>
          </w:p>
        </w:tc>
      </w:tr>
      <w:tr>
        <w:tc>
          <w:tcPr>
            <w:tcW w:type="dxa" w:w="737"/>
            <w:shd w:val="clear" w:color="auto" w:fill="FDF0E6"/>
          </w:tcPr>
          <w:p>
            <w:pPr>
              <w:spacing w:after="20" w:before="20"/>
            </w:pPr>
            <w:r/>
            <w:r>
              <w:rPr>
                <w:b/>
                <w:sz w:val="18"/>
              </w:rPr>
              <w:t>D-02</w:t>
            </w:r>
          </w:p>
        </w:tc>
        <w:tc>
          <w:tcPr>
            <w:tcW w:type="dxa" w:w="2098"/>
            <w:shd w:val="clear" w:color="auto" w:fill="FDF0E6"/>
          </w:tcPr>
          <w:p>
            <w:pPr>
              <w:spacing w:after="20" w:before="20"/>
            </w:pPr>
            <w:r/>
            <w:r>
              <w:rPr>
                <w:sz w:val="18"/>
              </w:rPr>
              <w:t>Collection pipeline</w:t>
            </w:r>
          </w:p>
        </w:tc>
        <w:tc>
          <w:tcPr>
            <w:tcW w:type="dxa" w:w="5272"/>
            <w:shd w:val="clear" w:color="auto" w:fill="FDF0E6"/>
          </w:tcPr>
          <w:p>
            <w:pPr>
              <w:spacing w:after="20" w:before="20"/>
            </w:pPr>
            <w:r/>
            <w:r>
              <w:rPr>
                <w:sz w:val="18"/>
              </w:rPr>
              <w:t>Code that discovers, fetches and snapshots the pages, plus the stored raw snapshots (HTML, screenshots, assets).</w:t>
            </w:r>
          </w:p>
        </w:tc>
        <w:tc>
          <w:tcPr>
            <w:tcW w:type="dxa" w:w="1304"/>
            <w:shd w:val="clear" w:color="auto" w:fill="FDF0E6"/>
          </w:tcPr>
          <w:p>
            <w:pPr>
              <w:spacing w:after="20" w:before="20"/>
            </w:pPr>
            <w:r/>
            <w:r>
              <w:rPr>
                <w:sz w:val="18"/>
              </w:rPr>
              <w:t>Data</w:t>
            </w:r>
          </w:p>
        </w:tc>
      </w:tr>
      <w:tr>
        <w:tc>
          <w:tcPr>
            <w:tcW w:type="dxa" w:w="737"/>
          </w:tcPr>
          <w:p>
            <w:pPr>
              <w:spacing w:after="20" w:before="20"/>
            </w:pPr>
            <w:r/>
            <w:r>
              <w:rPr>
                <w:b/>
                <w:sz w:val="18"/>
              </w:rPr>
              <w:t>D-03</w:t>
            </w:r>
          </w:p>
        </w:tc>
        <w:tc>
          <w:tcPr>
            <w:tcW w:type="dxa" w:w="2098"/>
          </w:tcPr>
          <w:p>
            <w:pPr>
              <w:spacing w:after="20" w:before="20"/>
            </w:pPr>
            <w:r/>
            <w:r>
              <w:rPr>
                <w:sz w:val="18"/>
              </w:rPr>
              <w:t>Feature dictionary</w:t>
            </w:r>
          </w:p>
        </w:tc>
        <w:tc>
          <w:tcPr>
            <w:tcW w:type="dxa" w:w="5272"/>
          </w:tcPr>
          <w:p>
            <w:pPr>
              <w:spacing w:after="20" w:before="20"/>
            </w:pPr>
            <w:r/>
            <w:r>
              <w:rPr>
                <w:sz w:val="18"/>
              </w:rPr>
              <w:t>Every feature: name, definition, type, allowed values, extraction method, objective or judgement-based, known limitations.</w:t>
            </w:r>
          </w:p>
        </w:tc>
        <w:tc>
          <w:tcPr>
            <w:tcW w:type="dxa" w:w="1304"/>
          </w:tcPr>
          <w:p>
            <w:pPr>
              <w:spacing w:after="20" w:before="20"/>
            </w:pPr>
            <w:r/>
            <w:r>
              <w:rPr>
                <w:sz w:val="18"/>
              </w:rPr>
              <w:t>Data</w:t>
            </w:r>
          </w:p>
        </w:tc>
      </w:tr>
      <w:tr>
        <w:tc>
          <w:tcPr>
            <w:tcW w:type="dxa" w:w="737"/>
            <w:shd w:val="clear" w:color="auto" w:fill="FDF0E6"/>
          </w:tcPr>
          <w:p>
            <w:pPr>
              <w:spacing w:after="20" w:before="20"/>
            </w:pPr>
            <w:r/>
            <w:r>
              <w:rPr>
                <w:b/>
                <w:sz w:val="18"/>
              </w:rPr>
              <w:t>D-04</w:t>
            </w:r>
          </w:p>
        </w:tc>
        <w:tc>
          <w:tcPr>
            <w:tcW w:type="dxa" w:w="2098"/>
            <w:shd w:val="clear" w:color="auto" w:fill="FDF0E6"/>
          </w:tcPr>
          <w:p>
            <w:pPr>
              <w:spacing w:after="20" w:before="20"/>
            </w:pPr>
            <w:r/>
            <w:r>
              <w:rPr>
                <w:sz w:val="18"/>
              </w:rPr>
              <w:t>Campaign dataset</w:t>
            </w:r>
          </w:p>
        </w:tc>
        <w:tc>
          <w:tcPr>
            <w:tcW w:type="dxa" w:w="5272"/>
            <w:shd w:val="clear" w:color="auto" w:fill="FDF0E6"/>
          </w:tcPr>
          <w:p>
            <w:pPr>
              <w:spacing w:after="20" w:before="20"/>
            </w:pPr>
            <w:r/>
            <w:r>
              <w:rPr>
                <w:sz w:val="18"/>
              </w:rPr>
              <w:t>One row per campaign page, one column per feature, with provenance columns, in CSV or Parquet.</w:t>
            </w:r>
          </w:p>
        </w:tc>
        <w:tc>
          <w:tcPr>
            <w:tcW w:type="dxa" w:w="1304"/>
            <w:shd w:val="clear" w:color="auto" w:fill="FDF0E6"/>
          </w:tcPr>
          <w:p>
            <w:pPr>
              <w:spacing w:after="20" w:before="20"/>
            </w:pPr>
            <w:r/>
            <w:r>
              <w:rPr>
                <w:sz w:val="18"/>
              </w:rPr>
              <w:t>Data</w:t>
            </w:r>
          </w:p>
        </w:tc>
      </w:tr>
      <w:tr>
        <w:tc>
          <w:tcPr>
            <w:tcW w:type="dxa" w:w="737"/>
          </w:tcPr>
          <w:p>
            <w:pPr>
              <w:spacing w:after="20" w:before="20"/>
            </w:pPr>
            <w:r/>
            <w:r>
              <w:rPr>
                <w:b/>
                <w:sz w:val="18"/>
              </w:rPr>
              <w:t>D-05</w:t>
            </w:r>
          </w:p>
        </w:tc>
        <w:tc>
          <w:tcPr>
            <w:tcW w:type="dxa" w:w="2098"/>
          </w:tcPr>
          <w:p>
            <w:pPr>
              <w:spacing w:after="20" w:before="20"/>
            </w:pPr>
            <w:r/>
            <w:r>
              <w:rPr>
                <w:sz w:val="18"/>
              </w:rPr>
              <w:t>Analysis report or notebook</w:t>
            </w:r>
          </w:p>
        </w:tc>
        <w:tc>
          <w:tcPr>
            <w:tcW w:type="dxa" w:w="5272"/>
          </w:tcPr>
          <w:p>
            <w:pPr>
              <w:spacing w:after="20" w:before="20"/>
            </w:pPr>
            <w:r/>
            <w:r>
              <w:rPr>
                <w:sz w:val="18"/>
              </w:rPr>
              <w:t>The comparison itself: ING vs competitors, traditional vs challenger, similarity grouping, patterns, with the figures used in the presentations.</w:t>
            </w:r>
          </w:p>
        </w:tc>
        <w:tc>
          <w:tcPr>
            <w:tcW w:type="dxa" w:w="1304"/>
          </w:tcPr>
          <w:p>
            <w:pPr>
              <w:spacing w:after="20" w:before="20"/>
            </w:pPr>
            <w:r/>
            <w:r>
              <w:rPr>
                <w:sz w:val="18"/>
              </w:rPr>
              <w:t>Data</w:t>
            </w:r>
          </w:p>
        </w:tc>
      </w:tr>
      <w:tr>
        <w:tc>
          <w:tcPr>
            <w:tcW w:type="dxa" w:w="737"/>
            <w:shd w:val="clear" w:color="auto" w:fill="FDF0E6"/>
          </w:tcPr>
          <w:p>
            <w:pPr>
              <w:spacing w:after="20" w:before="20"/>
            </w:pPr>
            <w:r/>
            <w:r>
              <w:rPr>
                <w:b/>
                <w:sz w:val="18"/>
              </w:rPr>
              <w:t>D-06</w:t>
            </w:r>
          </w:p>
        </w:tc>
        <w:tc>
          <w:tcPr>
            <w:tcW w:type="dxa" w:w="2098"/>
            <w:shd w:val="clear" w:color="auto" w:fill="FDF0E6"/>
          </w:tcPr>
          <w:p>
            <w:pPr>
              <w:spacing w:after="20" w:before="20"/>
            </w:pPr>
            <w:r/>
            <w:r>
              <w:rPr>
                <w:sz w:val="18"/>
              </w:rPr>
              <w:t>Business presentation</w:t>
            </w:r>
          </w:p>
        </w:tc>
        <w:tc>
          <w:tcPr>
            <w:tcW w:type="dxa" w:w="5272"/>
            <w:shd w:val="clear" w:color="auto" w:fill="FDF0E6"/>
          </w:tcPr>
          <w:p>
            <w:pPr>
              <w:spacing w:after="20" w:before="20"/>
            </w:pPr>
            <w:r/>
            <w:r>
              <w:rPr>
                <w:sz w:val="18"/>
              </w:rPr>
              <w:t>What this means for ING: positioning, similarities and differences, a few well-argued insights and improvement ideas. No method detail.</w:t>
            </w:r>
          </w:p>
        </w:tc>
        <w:tc>
          <w:tcPr>
            <w:tcW w:type="dxa" w:w="1304"/>
            <w:shd w:val="clear" w:color="auto" w:fill="FDF0E6"/>
          </w:tcPr>
          <w:p>
            <w:pPr>
              <w:spacing w:after="20" w:before="20"/>
            </w:pPr>
            <w:r/>
            <w:r>
              <w:rPr>
                <w:sz w:val="18"/>
              </w:rPr>
              <w:t>Business</w:t>
            </w:r>
          </w:p>
        </w:tc>
      </w:tr>
      <w:tr>
        <w:tc>
          <w:tcPr>
            <w:tcW w:type="dxa" w:w="737"/>
          </w:tcPr>
          <w:p>
            <w:pPr>
              <w:spacing w:after="20" w:before="20"/>
            </w:pPr>
            <w:r/>
            <w:r>
              <w:rPr>
                <w:b/>
                <w:sz w:val="18"/>
              </w:rPr>
              <w:t>D-07</w:t>
            </w:r>
          </w:p>
        </w:tc>
        <w:tc>
          <w:tcPr>
            <w:tcW w:type="dxa" w:w="2098"/>
          </w:tcPr>
          <w:p>
            <w:pPr>
              <w:spacing w:after="20" w:before="20"/>
            </w:pPr>
            <w:r/>
            <w:r>
              <w:rPr>
                <w:sz w:val="18"/>
              </w:rPr>
              <w:t>Data presentation</w:t>
            </w:r>
          </w:p>
        </w:tc>
        <w:tc>
          <w:tcPr>
            <w:tcW w:type="dxa" w:w="5272"/>
          </w:tcPr>
          <w:p>
            <w:pPr>
              <w:spacing w:after="20" w:before="20"/>
            </w:pPr>
            <w:r/>
            <w:r>
              <w:rPr>
                <w:sz w:val="18"/>
              </w:rPr>
              <w:t>How the problem was approached, the choices made and why, the feature framework, and the limitations.</w:t>
            </w:r>
          </w:p>
        </w:tc>
        <w:tc>
          <w:tcPr>
            <w:tcW w:type="dxa" w:w="1304"/>
          </w:tcPr>
          <w:p>
            <w:pPr>
              <w:spacing w:after="20" w:before="20"/>
            </w:pPr>
            <w:r/>
            <w:r>
              <w:rPr>
                <w:sz w:val="18"/>
              </w:rPr>
              <w:t>Data</w:t>
            </w:r>
          </w:p>
        </w:tc>
      </w:tr>
      <w:tr>
        <w:tc>
          <w:tcPr>
            <w:tcW w:type="dxa" w:w="737"/>
            <w:shd w:val="clear" w:color="auto" w:fill="FDF0E6"/>
          </w:tcPr>
          <w:p>
            <w:pPr>
              <w:spacing w:after="20" w:before="20"/>
            </w:pPr>
            <w:r/>
            <w:r>
              <w:rPr>
                <w:b/>
                <w:sz w:val="18"/>
              </w:rPr>
              <w:t>D-08</w:t>
            </w:r>
          </w:p>
        </w:tc>
        <w:tc>
          <w:tcPr>
            <w:tcW w:type="dxa" w:w="2098"/>
            <w:shd w:val="clear" w:color="auto" w:fill="FDF0E6"/>
          </w:tcPr>
          <w:p>
            <w:pPr>
              <w:spacing w:after="20" w:before="20"/>
            </w:pPr>
            <w:r/>
            <w:r>
              <w:rPr>
                <w:sz w:val="18"/>
              </w:rPr>
              <w:t>Repository and README</w:t>
            </w:r>
          </w:p>
        </w:tc>
        <w:tc>
          <w:tcPr>
            <w:tcW w:type="dxa" w:w="5272"/>
            <w:shd w:val="clear" w:color="auto" w:fill="FDF0E6"/>
          </w:tcPr>
          <w:p>
            <w:pPr>
              <w:spacing w:after="20" w:before="20"/>
            </w:pPr>
            <w:r/>
            <w:r>
              <w:rPr>
                <w:sz w:val="18"/>
              </w:rPr>
              <w:t>Versioned code and documentation sufficient for a third party to re-run the work.</w:t>
            </w:r>
          </w:p>
        </w:tc>
        <w:tc>
          <w:tcPr>
            <w:tcW w:type="dxa" w:w="1304"/>
            <w:shd w:val="clear" w:color="auto" w:fill="FDF0E6"/>
          </w:tcPr>
          <w:p>
            <w:pPr>
              <w:spacing w:after="20" w:before="20"/>
            </w:pPr>
            <w:r/>
            <w:r>
              <w:rPr>
                <w:sz w:val="18"/>
              </w:rPr>
              <w:t>Data</w:t>
            </w:r>
          </w:p>
        </w:tc>
      </w:tr>
      <w:tr>
        <w:tc>
          <w:tcPr>
            <w:tcW w:type="dxa" w:w="737"/>
          </w:tcPr>
          <w:p>
            <w:pPr>
              <w:spacing w:after="20" w:before="20"/>
            </w:pPr>
            <w:r/>
            <w:r>
              <w:rPr>
                <w:b/>
                <w:sz w:val="18"/>
              </w:rPr>
              <w:t>D-09</w:t>
            </w:r>
          </w:p>
        </w:tc>
        <w:tc>
          <w:tcPr>
            <w:tcW w:type="dxa" w:w="2098"/>
          </w:tcPr>
          <w:p>
            <w:pPr>
              <w:spacing w:after="20" w:before="20"/>
            </w:pPr>
            <w:r/>
            <w:r>
              <w:rPr>
                <w:sz w:val="18"/>
              </w:rPr>
              <w:t>Limitations and next steps</w:t>
            </w:r>
          </w:p>
        </w:tc>
        <w:tc>
          <w:tcPr>
            <w:tcW w:type="dxa" w:w="5272"/>
          </w:tcPr>
          <w:p>
            <w:pPr>
              <w:spacing w:after="20" w:before="20"/>
            </w:pPr>
            <w:r/>
            <w:r>
              <w:rPr>
                <w:sz w:val="18"/>
              </w:rPr>
              <w:t>What the analysis cannot support, and how the framework could extend to social media, in-app banners and larger-scale automated analysis.</w:t>
            </w:r>
          </w:p>
        </w:tc>
        <w:tc>
          <w:tcPr>
            <w:tcW w:type="dxa" w:w="1304"/>
          </w:tcPr>
          <w:p>
            <w:pPr>
              <w:spacing w:after="20" w:before="20"/>
            </w:pPr>
            <w:r/>
            <w:r>
              <w:rPr>
                <w:sz w:val="18"/>
              </w:rPr>
              <w:t>Both</w:t>
            </w:r>
          </w:p>
        </w:tc>
      </w:tr>
    </w:tbl>
    <w:p>
      <w:pPr>
        <w:spacing w:after="80"/>
      </w:pPr>
    </w:p>
    <w:p>
      <w:pPr>
        <w:pStyle w:val="Heading1"/>
      </w:pPr>
      <w:r>
        <w:rPr>
          <w:b w:val="0"/>
          <w:i w:val="0"/>
        </w:rPr>
        <w:t>14. Acceptance criteria</w:t>
      </w:r>
    </w:p>
    <w:p>
      <w:r>
        <w:rPr>
          <w:b w:val="0"/>
          <w:i w:val="0"/>
        </w:rPr>
        <w:t>The delivery is accepted when all of the following hold:</w:t>
      </w:r>
    </w:p>
    <w:p>
      <w:pPr>
        <w:pStyle w:val="ListBullet"/>
        <w:spacing w:after="60"/>
      </w:pPr>
      <w:r>
        <w:t>The scope is explicitly stated and justified, including what was deliberately excluded (FR-01).</w:t>
      </w:r>
    </w:p>
    <w:p>
      <w:pPr>
        <w:pStyle w:val="ListBullet"/>
        <w:spacing w:after="60"/>
      </w:pPr>
      <w:r>
        <w:t>Every collected page was collected within the rules in section 9, and the compliance note exists and is specific (LC-08).</w:t>
      </w:r>
    </w:p>
    <w:p>
      <w:pPr>
        <w:pStyle w:val="ListBullet"/>
        <w:spacing w:after="60"/>
      </w:pPr>
      <w:r>
        <w:t>No personal data appears anywhere in the raw snapshots or the dataset (DR-09).</w:t>
      </w:r>
    </w:p>
    <w:p>
      <w:pPr>
        <w:pStyle w:val="ListBullet"/>
        <w:spacing w:after="60"/>
      </w:pPr>
      <w:r>
        <w:t>The dataset exists, covers at least four banks including ING and at least one neobank, and uses one shared feature set (DR-08, NFR-02).</w:t>
      </w:r>
    </w:p>
    <w:p>
      <w:pPr>
        <w:pStyle w:val="ListBullet"/>
        <w:spacing w:after="60"/>
      </w:pPr>
      <w:r>
        <w:t>The feature dictionary documents every feature in the dataset (FR-06).</w:t>
      </w:r>
    </w:p>
    <w:p>
      <w:pPr>
        <w:pStyle w:val="ListBullet"/>
        <w:spacing w:after="60"/>
      </w:pPr>
      <w:r>
        <w:t>The analysis answers the positioning question — where ING stands, and whether it sits closer to traditional banks or challengers — with reference to specific features (BO-01, BO-02).</w:t>
      </w:r>
    </w:p>
    <w:p>
      <w:pPr>
        <w:pStyle w:val="ListBullet"/>
        <w:spacing w:after="60"/>
      </w:pPr>
      <w:r>
        <w:t>Banks are grouped by communication similarity, and the grouping is explained (BO-03).</w:t>
      </w:r>
    </w:p>
    <w:p>
      <w:pPr>
        <w:pStyle w:val="ListBullet"/>
        <w:spacing w:after="60"/>
      </w:pPr>
      <w:r>
        <w:t>At least three insights or improvement ideas are stated, each traceable to features and source pages (BO-06, NFR-03).</w:t>
      </w:r>
    </w:p>
    <w:p>
      <w:pPr>
        <w:pStyle w:val="ListBullet"/>
        <w:spacing w:after="60"/>
      </w:pPr>
      <w:r>
        <w:t>The pipeline re-runs end to end from the repository and reproduces the dataset from the stored snapshots (FR-11, NFR-01).</w:t>
      </w:r>
    </w:p>
    <w:p>
      <w:pPr>
        <w:pStyle w:val="ListBullet"/>
        <w:spacing w:after="60"/>
      </w:pPr>
      <w:r>
        <w:t>Limitations, sample size, subjectivity and the snapshot date are stated in the deliverables themselves (FR-12, NFR-06).</w:t>
      </w:r>
    </w:p>
    <w:p>
      <w:pPr>
        <w:pStyle w:val="ListBullet"/>
        <w:spacing w:after="60"/>
      </w:pPr>
      <w:r>
        <w:t>Both presentations exist and are pitched at their own audience (FR-13).</w:t>
      </w:r>
    </w:p>
    <w:p>
      <w:pPr>
        <w:pStyle w:val="ListBullet"/>
        <w:spacing w:after="60"/>
      </w:pPr>
      <w:r>
        <w:t>The same method and the same scrutiny were applied to ING as to competitors (LC-09).</w:t>
      </w:r>
    </w:p>
    <w:p>
      <w:pPr>
        <w:pStyle w:val="Heading1"/>
      </w:pPr>
      <w:r>
        <w:rPr>
          <w:b w:val="0"/>
          <w:i w:val="0"/>
        </w:rPr>
        <w:t>15. Assumptions and constraints</w:t>
      </w:r>
    </w:p>
    <w:p>
      <w:pPr>
        <w:pStyle w:val="Heading2"/>
      </w:pPr>
      <w:r>
        <w:rPr>
          <w:b w:val="0"/>
          <w:i w:val="0"/>
        </w:rPr>
        <w:t>15.1 Assumptions</w:t>
      </w:r>
    </w:p>
    <w:p>
      <w:pPr>
        <w:pStyle w:val="ListBullet"/>
      </w:pPr>
      <w:r>
        <w:t>The project team has no access to ING internal campaign performance data (CTR, accepts, NPS verbatims). The figures in section 2.2 are context from the deck, not an available dataset.</w:t>
      </w:r>
    </w:p>
    <w:p>
      <w:pPr>
        <w:pStyle w:val="ListBullet"/>
      </w:pPr>
      <w:r>
        <w:t>Competitor campaign pages remain publicly reachable, without authentication, for the duration of the project.</w:t>
      </w:r>
    </w:p>
    <w:p>
      <w:pPr>
        <w:pStyle w:val="ListBullet"/>
      </w:pPr>
      <w:r>
        <w:t>Public campaign pages are a reasonable proxy for a bank’s communication strategy on the open web — acknowledging that they are only one of several channels.</w:t>
      </w:r>
    </w:p>
    <w:p>
      <w:pPr>
        <w:pStyle w:val="ListBullet"/>
      </w:pPr>
      <w:r>
        <w:t>A comparable product family exists across the banks in scope at the time of capture (the September term-account cycle makes this likely).</w:t>
      </w:r>
    </w:p>
    <w:p>
      <w:pPr>
        <w:pStyle w:val="ListBullet"/>
      </w:pPr>
      <w:r>
        <w:t>The deck observations in section 2.4 are informal impressions, not validated findings.</w:t>
      </w:r>
    </w:p>
    <w:p>
      <w:pPr>
        <w:pStyle w:val="Heading2"/>
      </w:pPr>
      <w:r>
        <w:rPr>
          <w:b w:val="0"/>
          <w:i w:val="0"/>
        </w:rPr>
        <w:t>15.2 Constraints</w:t>
      </w:r>
    </w:p>
    <w:p>
      <w:pPr>
        <w:pStyle w:val="ListBullet"/>
      </w:pPr>
      <w:r>
        <w:t>Public data only — no internal ING data, no purchased data, no personal data.</w:t>
      </w:r>
    </w:p>
    <w:p>
      <w:pPr>
        <w:pStyle w:val="ListBullet"/>
      </w:pPr>
      <w:r>
        <w:t>The result is a POC. Production readiness is not required and is not a criterion.</w:t>
      </w:r>
    </w:p>
    <w:p>
      <w:pPr>
        <w:pStyle w:val="ListBullet"/>
      </w:pPr>
      <w:r>
        <w:t>Limited project duration and team capacity, which is the reason the MVP in section 5.3 is scoped narrowly.</w:t>
      </w:r>
    </w:p>
    <w:p>
      <w:pPr>
        <w:pStyle w:val="ListBullet"/>
      </w:pPr>
      <w:r>
        <w:t>Whatever robots.txt, sitemaps and terms of use allow is a hard ceiling on what can be collected.</w:t>
      </w:r>
    </w:p>
    <w:p>
      <w:pPr>
        <w:pStyle w:val="ListBullet"/>
      </w:pPr>
      <w:r>
        <w:t>Third-party brand assets can be shown inside the deliverables for analysis, but not redistributed.</w:t>
      </w:r>
    </w:p>
    <w:p>
      <w:pPr>
        <w:pStyle w:val="Heading1"/>
      </w:pPr>
      <w:r>
        <w:rPr>
          <w:b w:val="0"/>
          <w:i w:val="0"/>
        </w:rPr>
        <w:t>16. Risks and mitigations</w:t>
      </w:r>
    </w:p>
    <w:tbl>
      <w:tblPr>
        <w:tblStyle w:val="TableGrid"/>
        <w:jc w:val="center"/>
        <w:tblLook w:firstColumn="1" w:firstRow="1" w:lastColumn="0" w:lastRow="0" w:noHBand="0" w:noVBand="1" w:val="04A0"/>
        <w:tblLayout w:type="fixed"/>
        <w:tblW w:w="9412" w:type="dxa"/>
      </w:tblPr>
      <w:tblGrid>
        <w:gridCol w:w="680"/>
        <w:gridCol w:w="2381"/>
        <w:gridCol w:w="1927"/>
        <w:gridCol w:w="4422"/>
      </w:tblGrid>
      <w:tr>
        <w:tc>
          <w:tcPr>
            <w:tcW w:type="dxa" w:w="680"/>
            <w:shd w:val="clear" w:color="auto" w:fill="FF6200"/>
          </w:tcPr>
          <w:p>
            <w:pPr>
              <w:spacing w:after="40" w:before="40"/>
            </w:pPr>
            <w:r/>
            <w:r>
              <w:rPr>
                <w:b/>
                <w:color w:val="FFFFFF"/>
                <w:sz w:val="19"/>
              </w:rPr>
              <w:t>ID</w:t>
            </w:r>
          </w:p>
        </w:tc>
        <w:tc>
          <w:tcPr>
            <w:tcW w:type="dxa" w:w="2381"/>
            <w:shd w:val="clear" w:color="auto" w:fill="FF6200"/>
          </w:tcPr>
          <w:p>
            <w:pPr>
              <w:spacing w:after="40" w:before="40"/>
            </w:pPr>
            <w:r/>
            <w:r>
              <w:rPr>
                <w:b/>
                <w:color w:val="FFFFFF"/>
                <w:sz w:val="19"/>
              </w:rPr>
              <w:t>Risk</w:t>
            </w:r>
          </w:p>
        </w:tc>
        <w:tc>
          <w:tcPr>
            <w:tcW w:type="dxa" w:w="1928"/>
            <w:shd w:val="clear" w:color="auto" w:fill="FF6200"/>
          </w:tcPr>
          <w:p>
            <w:pPr>
              <w:spacing w:after="40" w:before="40"/>
            </w:pPr>
            <w:r/>
            <w:r>
              <w:rPr>
                <w:b/>
                <w:color w:val="FFFFFF"/>
                <w:sz w:val="19"/>
              </w:rPr>
              <w:t>Impact</w:t>
            </w:r>
          </w:p>
        </w:tc>
        <w:tc>
          <w:tcPr>
            <w:tcW w:type="dxa" w:w="4422"/>
            <w:shd w:val="clear" w:color="auto" w:fill="FF6200"/>
          </w:tcPr>
          <w:p>
            <w:pPr>
              <w:spacing w:after="40" w:before="40"/>
            </w:pPr>
            <w:r/>
            <w:r>
              <w:rPr>
                <w:b/>
                <w:color w:val="FFFFFF"/>
                <w:sz w:val="19"/>
              </w:rPr>
              <w:t>Mitigation</w:t>
            </w:r>
          </w:p>
        </w:tc>
      </w:tr>
      <w:tr>
        <w:tc>
          <w:tcPr>
            <w:tcW w:type="dxa" w:w="680"/>
          </w:tcPr>
          <w:p>
            <w:pPr>
              <w:spacing w:after="20" w:before="20"/>
            </w:pPr>
            <w:r/>
            <w:r>
              <w:rPr>
                <w:b/>
                <w:sz w:val="18"/>
              </w:rPr>
              <w:t>R-01</w:t>
            </w:r>
          </w:p>
        </w:tc>
        <w:tc>
          <w:tcPr>
            <w:tcW w:type="dxa" w:w="2381"/>
          </w:tcPr>
          <w:p>
            <w:pPr>
              <w:spacing w:after="20" w:before="20"/>
            </w:pPr>
            <w:r/>
            <w:r>
              <w:rPr>
                <w:sz w:val="18"/>
              </w:rPr>
              <w:t>robots.txt or terms disallow the pages needed for a bank</w:t>
            </w:r>
          </w:p>
        </w:tc>
        <w:tc>
          <w:tcPr>
            <w:tcW w:type="dxa" w:w="1928"/>
          </w:tcPr>
          <w:p>
            <w:pPr>
              <w:spacing w:after="20" w:before="20"/>
            </w:pPr>
            <w:r/>
            <w:r>
              <w:rPr>
                <w:sz w:val="18"/>
              </w:rPr>
              <w:t>A bank drops out of scope, weakening the comparison</w:t>
            </w:r>
          </w:p>
        </w:tc>
        <w:tc>
          <w:tcPr>
            <w:tcW w:type="dxa" w:w="4422"/>
          </w:tcPr>
          <w:p>
            <w:pPr>
              <w:spacing w:after="20" w:before="20"/>
            </w:pPr>
            <w:r/>
            <w:r>
              <w:rPr>
                <w:sz w:val="18"/>
              </w:rPr>
              <w:t>Check compliance before committing to the scope. Substitute another bank in the same category, and document the drop.</w:t>
            </w:r>
          </w:p>
        </w:tc>
      </w:tr>
      <w:tr>
        <w:tc>
          <w:tcPr>
            <w:tcW w:type="dxa" w:w="680"/>
            <w:shd w:val="clear" w:color="auto" w:fill="FDF0E6"/>
          </w:tcPr>
          <w:p>
            <w:pPr>
              <w:spacing w:after="20" w:before="20"/>
            </w:pPr>
            <w:r/>
            <w:r>
              <w:rPr>
                <w:b/>
                <w:sz w:val="18"/>
              </w:rPr>
              <w:t>R-02</w:t>
            </w:r>
          </w:p>
        </w:tc>
        <w:tc>
          <w:tcPr>
            <w:tcW w:type="dxa" w:w="2381"/>
            <w:shd w:val="clear" w:color="auto" w:fill="FDF0E6"/>
          </w:tcPr>
          <w:p>
            <w:pPr>
              <w:spacing w:after="20" w:before="20"/>
            </w:pPr>
            <w:r/>
            <w:r>
              <w:rPr>
                <w:sz w:val="18"/>
              </w:rPr>
              <w:t>Pages are JavaScript-rendered and a simple fetch returns no content</w:t>
            </w:r>
          </w:p>
        </w:tc>
        <w:tc>
          <w:tcPr>
            <w:tcW w:type="dxa" w:w="1928"/>
            <w:shd w:val="clear" w:color="auto" w:fill="FDF0E6"/>
          </w:tcPr>
          <w:p>
            <w:pPr>
              <w:spacing w:after="20" w:before="20"/>
            </w:pPr>
            <w:r/>
            <w:r>
              <w:rPr>
                <w:sz w:val="18"/>
              </w:rPr>
              <w:t>Missing or wrong content and layout features</w:t>
            </w:r>
          </w:p>
        </w:tc>
        <w:tc>
          <w:tcPr>
            <w:tcW w:type="dxa" w:w="4422"/>
            <w:shd w:val="clear" w:color="auto" w:fill="FDF0E6"/>
          </w:tcPr>
          <w:p>
            <w:pPr>
              <w:spacing w:after="20" w:before="20"/>
            </w:pPr>
            <w:r/>
            <w:r>
              <w:rPr>
                <w:sz w:val="18"/>
              </w:rPr>
              <w:t>Use a headless browser for rendering and screenshots, or narrow to pages that render server-side and state the restriction.</w:t>
            </w:r>
          </w:p>
        </w:tc>
      </w:tr>
      <w:tr>
        <w:tc>
          <w:tcPr>
            <w:tcW w:type="dxa" w:w="680"/>
          </w:tcPr>
          <w:p>
            <w:pPr>
              <w:spacing w:after="20" w:before="20"/>
            </w:pPr>
            <w:r/>
            <w:r>
              <w:rPr>
                <w:b/>
                <w:sz w:val="18"/>
              </w:rPr>
              <w:t>R-03</w:t>
            </w:r>
          </w:p>
        </w:tc>
        <w:tc>
          <w:tcPr>
            <w:tcW w:type="dxa" w:w="2381"/>
          </w:tcPr>
          <w:p>
            <w:pPr>
              <w:spacing w:after="20" w:before="20"/>
            </w:pPr>
            <w:r/>
            <w:r>
              <w:rPr>
                <w:sz w:val="18"/>
              </w:rPr>
              <w:t>Very small sample — a handful of pages per bank</w:t>
            </w:r>
          </w:p>
        </w:tc>
        <w:tc>
          <w:tcPr>
            <w:tcW w:type="dxa" w:w="1928"/>
          </w:tcPr>
          <w:p>
            <w:pPr>
              <w:spacing w:after="20" w:before="20"/>
            </w:pPr>
            <w:r/>
            <w:r>
              <w:rPr>
                <w:sz w:val="18"/>
              </w:rPr>
              <w:t>No statistical significance; conclusions can be over-read</w:t>
            </w:r>
          </w:p>
        </w:tc>
        <w:tc>
          <w:tcPr>
            <w:tcW w:type="dxa" w:w="4422"/>
          </w:tcPr>
          <w:p>
            <w:pPr>
              <w:spacing w:after="20" w:before="20"/>
            </w:pPr>
            <w:r/>
            <w:r>
              <w:rPr>
                <w:sz w:val="18"/>
              </w:rPr>
              <w:t>Frame results as descriptive, not inferential. Report sample sizes on every figure. Avoid significance language.</w:t>
            </w:r>
          </w:p>
        </w:tc>
      </w:tr>
      <w:tr>
        <w:tc>
          <w:tcPr>
            <w:tcW w:type="dxa" w:w="680"/>
            <w:shd w:val="clear" w:color="auto" w:fill="FDF0E6"/>
          </w:tcPr>
          <w:p>
            <w:pPr>
              <w:spacing w:after="20" w:before="20"/>
            </w:pPr>
            <w:r/>
            <w:r>
              <w:rPr>
                <w:b/>
                <w:sz w:val="18"/>
              </w:rPr>
              <w:t>R-04</w:t>
            </w:r>
          </w:p>
        </w:tc>
        <w:tc>
          <w:tcPr>
            <w:tcW w:type="dxa" w:w="2381"/>
            <w:shd w:val="clear" w:color="auto" w:fill="FDF0E6"/>
          </w:tcPr>
          <w:p>
            <w:pPr>
              <w:spacing w:after="20" w:before="20"/>
            </w:pPr>
            <w:r/>
            <w:r>
              <w:rPr>
                <w:sz w:val="18"/>
              </w:rPr>
              <w:t>Subjectivity in tone and design scoring</w:t>
            </w:r>
          </w:p>
        </w:tc>
        <w:tc>
          <w:tcPr>
            <w:tcW w:type="dxa" w:w="1928"/>
            <w:shd w:val="clear" w:color="auto" w:fill="FDF0E6"/>
          </w:tcPr>
          <w:p>
            <w:pPr>
              <w:spacing w:after="20" w:before="20"/>
            </w:pPr>
            <w:r/>
            <w:r>
              <w:rPr>
                <w:sz w:val="18"/>
              </w:rPr>
              <w:t>Findings reflect the annotator, not the bank</w:t>
            </w:r>
          </w:p>
        </w:tc>
        <w:tc>
          <w:tcPr>
            <w:tcW w:type="dxa" w:w="4422"/>
            <w:shd w:val="clear" w:color="auto" w:fill="FDF0E6"/>
          </w:tcPr>
          <w:p>
            <w:pPr>
              <w:spacing w:after="20" w:before="20"/>
            </w:pPr>
            <w:r/>
            <w:r>
              <w:rPr>
                <w:sz w:val="18"/>
              </w:rPr>
              <w:t>Written rubrics (NFR-05), independent double-scoring on a sample, and reported disagreement.</w:t>
            </w:r>
          </w:p>
        </w:tc>
      </w:tr>
      <w:tr>
        <w:tc>
          <w:tcPr>
            <w:tcW w:type="dxa" w:w="680"/>
          </w:tcPr>
          <w:p>
            <w:pPr>
              <w:spacing w:after="20" w:before="20"/>
            </w:pPr>
            <w:r/>
            <w:r>
              <w:rPr>
                <w:b/>
                <w:sz w:val="18"/>
              </w:rPr>
              <w:t>R-05</w:t>
            </w:r>
          </w:p>
        </w:tc>
        <w:tc>
          <w:tcPr>
            <w:tcW w:type="dxa" w:w="2381"/>
          </w:tcPr>
          <w:p>
            <w:pPr>
              <w:spacing w:after="20" w:before="20"/>
            </w:pPr>
            <w:r/>
            <w:r>
              <w:rPr>
                <w:sz w:val="18"/>
              </w:rPr>
              <w:t>Campaigns change mid-project</w:t>
            </w:r>
          </w:p>
        </w:tc>
        <w:tc>
          <w:tcPr>
            <w:tcW w:type="dxa" w:w="1928"/>
          </w:tcPr>
          <w:p>
            <w:pPr>
              <w:spacing w:after="20" w:before="20"/>
            </w:pPr>
            <w:r/>
            <w:r>
              <w:rPr>
                <w:sz w:val="18"/>
              </w:rPr>
              <w:t>Comparisons drift; results are not reproducible</w:t>
            </w:r>
          </w:p>
        </w:tc>
        <w:tc>
          <w:tcPr>
            <w:tcW w:type="dxa" w:w="4422"/>
          </w:tcPr>
          <w:p>
            <w:pPr>
              <w:spacing w:after="20" w:before="20"/>
            </w:pPr>
            <w:r/>
            <w:r>
              <w:rPr>
                <w:sz w:val="18"/>
              </w:rPr>
              <w:t>Capture all banks in one narrow time window, snapshot immutably, date-stamp every conclusion (DR-05).</w:t>
            </w:r>
          </w:p>
        </w:tc>
      </w:tr>
      <w:tr>
        <w:tc>
          <w:tcPr>
            <w:tcW w:type="dxa" w:w="680"/>
            <w:shd w:val="clear" w:color="auto" w:fill="FDF0E6"/>
          </w:tcPr>
          <w:p>
            <w:pPr>
              <w:spacing w:after="20" w:before="20"/>
            </w:pPr>
            <w:r/>
            <w:r>
              <w:rPr>
                <w:b/>
                <w:sz w:val="18"/>
              </w:rPr>
              <w:t>R-06</w:t>
            </w:r>
          </w:p>
        </w:tc>
        <w:tc>
          <w:tcPr>
            <w:tcW w:type="dxa" w:w="2381"/>
            <w:shd w:val="clear" w:color="auto" w:fill="FDF0E6"/>
          </w:tcPr>
          <w:p>
            <w:pPr>
              <w:spacing w:after="20" w:before="20"/>
            </w:pPr>
            <w:r/>
            <w:r>
              <w:rPr>
                <w:sz w:val="18"/>
              </w:rPr>
              <w:t>Language differences distort text features</w:t>
            </w:r>
          </w:p>
        </w:tc>
        <w:tc>
          <w:tcPr>
            <w:tcW w:type="dxa" w:w="1928"/>
            <w:shd w:val="clear" w:color="auto" w:fill="FDF0E6"/>
          </w:tcPr>
          <w:p>
            <w:pPr>
              <w:spacing w:after="20" w:before="20"/>
            </w:pPr>
            <w:r/>
            <w:r>
              <w:rPr>
                <w:sz w:val="18"/>
              </w:rPr>
              <w:t>Word counts and readability are not comparable across NL, FR and EN</w:t>
            </w:r>
          </w:p>
        </w:tc>
        <w:tc>
          <w:tcPr>
            <w:tcW w:type="dxa" w:w="4422"/>
            <w:shd w:val="clear" w:color="auto" w:fill="FDF0E6"/>
          </w:tcPr>
          <w:p>
            <w:pPr>
              <w:spacing w:after="20" w:before="20"/>
            </w:pPr>
            <w:r/>
            <w:r>
              <w:rPr>
                <w:sz w:val="18"/>
              </w:rPr>
              <w:t>Fix one language across all banks, or control for language explicitly (FR-15).</w:t>
            </w:r>
          </w:p>
        </w:tc>
      </w:tr>
      <w:tr>
        <w:tc>
          <w:tcPr>
            <w:tcW w:type="dxa" w:w="680"/>
          </w:tcPr>
          <w:p>
            <w:pPr>
              <w:spacing w:after="20" w:before="20"/>
            </w:pPr>
            <w:r/>
            <w:r>
              <w:rPr>
                <w:b/>
                <w:sz w:val="18"/>
              </w:rPr>
              <w:t>R-07</w:t>
            </w:r>
          </w:p>
        </w:tc>
        <w:tc>
          <w:tcPr>
            <w:tcW w:type="dxa" w:w="2381"/>
          </w:tcPr>
          <w:p>
            <w:pPr>
              <w:spacing w:after="20" w:before="20"/>
            </w:pPr>
            <w:r/>
            <w:r>
              <w:rPr>
                <w:sz w:val="18"/>
              </w:rPr>
              <w:t>Scope creep — attempting all eight banks and many pages</w:t>
            </w:r>
          </w:p>
        </w:tc>
        <w:tc>
          <w:tcPr>
            <w:tcW w:type="dxa" w:w="1928"/>
          </w:tcPr>
          <w:p>
            <w:pPr>
              <w:spacing w:after="20" w:before="20"/>
            </w:pPr>
            <w:r/>
            <w:r>
              <w:rPr>
                <w:sz w:val="18"/>
              </w:rPr>
              <w:t>Nothing is finished end to end</w:t>
            </w:r>
          </w:p>
        </w:tc>
        <w:tc>
          <w:tcPr>
            <w:tcW w:type="dxa" w:w="4422"/>
          </w:tcPr>
          <w:p>
            <w:pPr>
              <w:spacing w:after="20" w:before="20"/>
            </w:pPr>
            <w:r/>
            <w:r>
              <w:rPr>
                <w:sz w:val="18"/>
              </w:rPr>
              <w:t>Build the MVP first (5.3); extend only after the full chain works.</w:t>
            </w:r>
          </w:p>
        </w:tc>
      </w:tr>
      <w:tr>
        <w:tc>
          <w:tcPr>
            <w:tcW w:type="dxa" w:w="680"/>
            <w:shd w:val="clear" w:color="auto" w:fill="FDF0E6"/>
          </w:tcPr>
          <w:p>
            <w:pPr>
              <w:spacing w:after="20" w:before="20"/>
            </w:pPr>
            <w:r/>
            <w:r>
              <w:rPr>
                <w:b/>
                <w:sz w:val="18"/>
              </w:rPr>
              <w:t>R-08</w:t>
            </w:r>
          </w:p>
        </w:tc>
        <w:tc>
          <w:tcPr>
            <w:tcW w:type="dxa" w:w="2381"/>
            <w:shd w:val="clear" w:color="auto" w:fill="FDF0E6"/>
          </w:tcPr>
          <w:p>
            <w:pPr>
              <w:spacing w:after="20" w:before="20"/>
            </w:pPr>
            <w:r/>
            <w:r>
              <w:rPr>
                <w:sz w:val="18"/>
              </w:rPr>
              <w:t>Over-claiming: asserting that a design choice causes better performance</w:t>
            </w:r>
          </w:p>
        </w:tc>
        <w:tc>
          <w:tcPr>
            <w:tcW w:type="dxa" w:w="1928"/>
            <w:shd w:val="clear" w:color="auto" w:fill="FDF0E6"/>
          </w:tcPr>
          <w:p>
            <w:pPr>
              <w:spacing w:after="20" w:before="20"/>
            </w:pPr>
            <w:r/>
            <w:r>
              <w:rPr>
                <w:sz w:val="18"/>
              </w:rPr>
              <w:t>Conclusions unsupported by any performance data</w:t>
            </w:r>
          </w:p>
        </w:tc>
        <w:tc>
          <w:tcPr>
            <w:tcW w:type="dxa" w:w="4422"/>
            <w:shd w:val="clear" w:color="auto" w:fill="FDF0E6"/>
          </w:tcPr>
          <w:p>
            <w:pPr>
              <w:spacing w:after="20" w:before="20"/>
            </w:pPr>
            <w:r/>
            <w:r>
              <w:rPr>
                <w:sz w:val="18"/>
              </w:rPr>
              <w:t>No causal claims. Recommendations are framed as hypotheses to test, and the absence of performance data is stated.</w:t>
            </w:r>
          </w:p>
        </w:tc>
      </w:tr>
      <w:tr>
        <w:tc>
          <w:tcPr>
            <w:tcW w:type="dxa" w:w="680"/>
          </w:tcPr>
          <w:p>
            <w:pPr>
              <w:spacing w:after="20" w:before="20"/>
            </w:pPr>
            <w:r/>
            <w:r>
              <w:rPr>
                <w:b/>
                <w:sz w:val="18"/>
              </w:rPr>
              <w:t>R-09</w:t>
            </w:r>
          </w:p>
        </w:tc>
        <w:tc>
          <w:tcPr>
            <w:tcW w:type="dxa" w:w="2381"/>
          </w:tcPr>
          <w:p>
            <w:pPr>
              <w:spacing w:after="20" w:before="20"/>
            </w:pPr>
            <w:r/>
            <w:r>
              <w:rPr>
                <w:sz w:val="18"/>
              </w:rPr>
              <w:t>Home-bias towards ING</w:t>
            </w:r>
          </w:p>
        </w:tc>
        <w:tc>
          <w:tcPr>
            <w:tcW w:type="dxa" w:w="1928"/>
          </w:tcPr>
          <w:p>
            <w:pPr>
              <w:spacing w:after="20" w:before="20"/>
            </w:pPr>
            <w:r/>
            <w:r>
              <w:rPr>
                <w:sz w:val="18"/>
              </w:rPr>
              <w:t>Compromises the "fair and unbiased" requirement</w:t>
            </w:r>
          </w:p>
        </w:tc>
        <w:tc>
          <w:tcPr>
            <w:tcW w:type="dxa" w:w="4422"/>
          </w:tcPr>
          <w:p>
            <w:pPr>
              <w:spacing w:after="20" w:before="20"/>
            </w:pPr>
            <w:r/>
            <w:r>
              <w:rPr>
                <w:sz w:val="18"/>
              </w:rPr>
              <w:t>Identical method for every bank (LC-09); have someone outside the team review the ING section for favourable framing.</w:t>
            </w:r>
          </w:p>
        </w:tc>
      </w:tr>
      <w:tr>
        <w:tc>
          <w:tcPr>
            <w:tcW w:type="dxa" w:w="680"/>
            <w:shd w:val="clear" w:color="auto" w:fill="FDF0E6"/>
          </w:tcPr>
          <w:p>
            <w:pPr>
              <w:spacing w:after="20" w:before="20"/>
            </w:pPr>
            <w:r/>
            <w:r>
              <w:rPr>
                <w:b/>
                <w:sz w:val="18"/>
              </w:rPr>
              <w:t>R-10</w:t>
            </w:r>
          </w:p>
        </w:tc>
        <w:tc>
          <w:tcPr>
            <w:tcW w:type="dxa" w:w="2381"/>
            <w:shd w:val="clear" w:color="auto" w:fill="FDF0E6"/>
          </w:tcPr>
          <w:p>
            <w:pPr>
              <w:spacing w:after="20" w:before="20"/>
            </w:pPr>
            <w:r/>
            <w:r>
              <w:rPr>
                <w:sz w:val="18"/>
              </w:rPr>
              <w:t>Being blocked or rate-limited during collection</w:t>
            </w:r>
          </w:p>
        </w:tc>
        <w:tc>
          <w:tcPr>
            <w:tcW w:type="dxa" w:w="1928"/>
            <w:shd w:val="clear" w:color="auto" w:fill="FDF0E6"/>
          </w:tcPr>
          <w:p>
            <w:pPr>
              <w:spacing w:after="20" w:before="20"/>
            </w:pPr>
            <w:r/>
            <w:r>
              <w:rPr>
                <w:sz w:val="18"/>
              </w:rPr>
              <w:t>Incomplete data; risk of appearing abusive</w:t>
            </w:r>
          </w:p>
        </w:tc>
        <w:tc>
          <w:tcPr>
            <w:tcW w:type="dxa" w:w="4422"/>
            <w:shd w:val="clear" w:color="auto" w:fill="FDF0E6"/>
          </w:tcPr>
          <w:p>
            <w:pPr>
              <w:spacing w:after="20" w:before="20"/>
            </w:pPr>
            <w:r/>
            <w:r>
              <w:rPr>
                <w:sz w:val="18"/>
              </w:rPr>
              <w:t>Polite low-volume collection with caching (LC-05); on a block, stop and re-scope rather than evade (LC-04).</w:t>
            </w:r>
          </w:p>
        </w:tc>
      </w:tr>
    </w:tbl>
    <w:p>
      <w:pPr>
        <w:spacing w:after="80"/>
      </w:pPr>
    </w:p>
    <w:p>
      <w:pPr>
        <w:pStyle w:val="Heading1"/>
      </w:pPr>
      <w:r>
        <w:rPr>
          <w:b w:val="0"/>
          <w:i w:val="0"/>
        </w:rPr>
        <w:t>17. Open questions for the stakeholders</w:t>
      </w:r>
    </w:p>
    <w:p>
      <w:r>
        <w:rPr>
          <w:b w:val="0"/>
          <w:i w:val="0"/>
        </w:rPr>
        <w:t>These points are not answered by the two source documents and affect the work. They are carried as open until confirmed.</w:t>
      </w:r>
    </w:p>
    <w:tbl>
      <w:tblPr>
        <w:tblStyle w:val="TableGrid"/>
        <w:jc w:val="center"/>
        <w:tblLook w:firstColumn="1" w:firstRow="1" w:lastColumn="0" w:lastRow="0" w:noHBand="0" w:noVBand="1" w:val="04A0"/>
        <w:tblLayout w:type="fixed"/>
        <w:tblW w:w="9412" w:type="dxa"/>
      </w:tblPr>
      <w:tblGrid>
        <w:gridCol w:w="680"/>
        <w:gridCol w:w="2494"/>
        <w:gridCol w:w="2608"/>
        <w:gridCol w:w="3628"/>
      </w:tblGrid>
      <w:tr>
        <w:tc>
          <w:tcPr>
            <w:tcW w:type="dxa" w:w="680"/>
            <w:shd w:val="clear" w:color="auto" w:fill="FF6200"/>
          </w:tcPr>
          <w:p>
            <w:pPr>
              <w:spacing w:after="40" w:before="40"/>
            </w:pPr>
            <w:r/>
            <w:r>
              <w:rPr>
                <w:b/>
                <w:color w:val="FFFFFF"/>
                <w:sz w:val="19"/>
              </w:rPr>
              <w:t>ID</w:t>
            </w:r>
          </w:p>
        </w:tc>
        <w:tc>
          <w:tcPr>
            <w:tcW w:type="dxa" w:w="2494"/>
            <w:shd w:val="clear" w:color="auto" w:fill="FF6200"/>
          </w:tcPr>
          <w:p>
            <w:pPr>
              <w:spacing w:after="40" w:before="40"/>
            </w:pPr>
            <w:r/>
            <w:r>
              <w:rPr>
                <w:b/>
                <w:color w:val="FFFFFF"/>
                <w:sz w:val="19"/>
              </w:rPr>
              <w:t>Question</w:t>
            </w:r>
          </w:p>
        </w:tc>
        <w:tc>
          <w:tcPr>
            <w:tcW w:type="dxa" w:w="2608"/>
            <w:shd w:val="clear" w:color="auto" w:fill="FF6200"/>
          </w:tcPr>
          <w:p>
            <w:pPr>
              <w:spacing w:after="40" w:before="40"/>
            </w:pPr>
            <w:r/>
            <w:r>
              <w:rPr>
                <w:b/>
                <w:color w:val="FFFFFF"/>
                <w:sz w:val="19"/>
              </w:rPr>
              <w:t>Why it matters</w:t>
            </w:r>
          </w:p>
        </w:tc>
        <w:tc>
          <w:tcPr>
            <w:tcW w:type="dxa" w:w="3628"/>
            <w:shd w:val="clear" w:color="auto" w:fill="FF6200"/>
          </w:tcPr>
          <w:p>
            <w:pPr>
              <w:spacing w:after="40" w:before="40"/>
            </w:pPr>
            <w:r/>
            <w:r>
              <w:rPr>
                <w:b/>
                <w:color w:val="FFFFFF"/>
                <w:sz w:val="19"/>
              </w:rPr>
              <w:t>Working assumption until answered</w:t>
            </w:r>
          </w:p>
        </w:tc>
      </w:tr>
      <w:tr>
        <w:tc>
          <w:tcPr>
            <w:tcW w:type="dxa" w:w="680"/>
          </w:tcPr>
          <w:p>
            <w:pPr>
              <w:spacing w:after="20" w:before="20"/>
            </w:pPr>
            <w:r/>
            <w:r>
              <w:rPr>
                <w:b/>
                <w:sz w:val="18"/>
              </w:rPr>
              <w:t>Q-01</w:t>
            </w:r>
          </w:p>
        </w:tc>
        <w:tc>
          <w:tcPr>
            <w:tcW w:type="dxa" w:w="2494"/>
          </w:tcPr>
          <w:p>
            <w:pPr>
              <w:spacing w:after="20" w:before="20"/>
            </w:pPr>
            <w:r/>
            <w:r>
              <w:rPr>
                <w:sz w:val="18"/>
              </w:rPr>
              <w:t>What is the delivery date, and is there a fixed date for the two presentations?</w:t>
            </w:r>
          </w:p>
        </w:tc>
        <w:tc>
          <w:tcPr>
            <w:tcW w:type="dxa" w:w="2608"/>
          </w:tcPr>
          <w:p>
            <w:pPr>
              <w:spacing w:after="20" w:before="20"/>
            </w:pPr>
            <w:r/>
            <w:r>
              <w:rPr>
                <w:sz w:val="18"/>
              </w:rPr>
              <w:t>Determines how far the scope can extend beyond the MVP.</w:t>
            </w:r>
          </w:p>
        </w:tc>
        <w:tc>
          <w:tcPr>
            <w:tcW w:type="dxa" w:w="3628"/>
          </w:tcPr>
          <w:p>
            <w:pPr>
              <w:spacing w:after="20" w:before="20"/>
            </w:pPr>
            <w:r/>
            <w:r>
              <w:rPr>
                <w:sz w:val="18"/>
              </w:rPr>
              <w:t>Plan for the MVP first; treat everything beyond it as optional.</w:t>
            </w:r>
          </w:p>
        </w:tc>
      </w:tr>
      <w:tr>
        <w:tc>
          <w:tcPr>
            <w:tcW w:type="dxa" w:w="680"/>
            <w:shd w:val="clear" w:color="auto" w:fill="FDF0E6"/>
          </w:tcPr>
          <w:p>
            <w:pPr>
              <w:spacing w:after="20" w:before="20"/>
            </w:pPr>
            <w:r/>
            <w:r>
              <w:rPr>
                <w:b/>
                <w:sz w:val="18"/>
              </w:rPr>
              <w:t>Q-02</w:t>
            </w:r>
          </w:p>
        </w:tc>
        <w:tc>
          <w:tcPr>
            <w:tcW w:type="dxa" w:w="2494"/>
            <w:shd w:val="clear" w:color="auto" w:fill="FDF0E6"/>
          </w:tcPr>
          <w:p>
            <w:pPr>
              <w:spacing w:after="20" w:before="20"/>
            </w:pPr>
            <w:r/>
            <w:r>
              <w:rPr>
                <w:sz w:val="18"/>
              </w:rPr>
              <w:t>Is Belfius in or out of scope?</w:t>
            </w:r>
          </w:p>
        </w:tc>
        <w:tc>
          <w:tcPr>
            <w:tcW w:type="dxa" w:w="2608"/>
            <w:shd w:val="clear" w:color="auto" w:fill="FDF0E6"/>
          </w:tcPr>
          <w:p>
            <w:pPr>
              <w:spacing w:after="20" w:before="20"/>
            </w:pPr>
            <w:r/>
            <w:r>
              <w:rPr>
                <w:sz w:val="18"/>
              </w:rPr>
              <w:t>It appears in the deck comparison but not in the written bank list.</w:t>
            </w:r>
          </w:p>
        </w:tc>
        <w:tc>
          <w:tcPr>
            <w:tcW w:type="dxa" w:w="3628"/>
            <w:shd w:val="clear" w:color="auto" w:fill="FDF0E6"/>
          </w:tcPr>
          <w:p>
            <w:pPr>
              <w:spacing w:after="20" w:before="20"/>
            </w:pPr>
            <w:r/>
            <w:r>
              <w:rPr>
                <w:sz w:val="18"/>
              </w:rPr>
              <w:t>Treat as optional; include only if capacity allows.</w:t>
            </w:r>
          </w:p>
        </w:tc>
      </w:tr>
      <w:tr>
        <w:tc>
          <w:tcPr>
            <w:tcW w:type="dxa" w:w="680"/>
          </w:tcPr>
          <w:p>
            <w:pPr>
              <w:spacing w:after="20" w:before="20"/>
            </w:pPr>
            <w:r/>
            <w:r>
              <w:rPr>
                <w:b/>
                <w:sz w:val="18"/>
              </w:rPr>
              <w:t>Q-03</w:t>
            </w:r>
          </w:p>
        </w:tc>
        <w:tc>
          <w:tcPr>
            <w:tcW w:type="dxa" w:w="2494"/>
          </w:tcPr>
          <w:p>
            <w:pPr>
              <w:spacing w:after="20" w:before="20"/>
            </w:pPr>
            <w:r/>
            <w:r>
              <w:rPr>
                <w:sz w:val="18"/>
              </w:rPr>
              <w:t>Which product family should anchor the comparison — term accounts, or the current-account packs?</w:t>
            </w:r>
          </w:p>
        </w:tc>
        <w:tc>
          <w:tcPr>
            <w:tcW w:type="dxa" w:w="2608"/>
          </w:tcPr>
          <w:p>
            <w:pPr>
              <w:spacing w:after="20" w:before="20"/>
            </w:pPr>
            <w:r/>
            <w:r>
              <w:rPr>
                <w:sz w:val="18"/>
              </w:rPr>
              <w:t>The comparison is only valid like-for-like (DR-04).</w:t>
            </w:r>
          </w:p>
        </w:tc>
        <w:tc>
          <w:tcPr>
            <w:tcW w:type="dxa" w:w="3628"/>
          </w:tcPr>
          <w:p>
            <w:pPr>
              <w:spacing w:after="20" w:before="20"/>
            </w:pPr>
            <w:r/>
            <w:r>
              <w:rPr>
                <w:sz w:val="18"/>
              </w:rPr>
              <w:t>Term accounts, given the September cycle referenced in the deck; packs as a second family if capacity allows.</w:t>
            </w:r>
          </w:p>
        </w:tc>
      </w:tr>
      <w:tr>
        <w:tc>
          <w:tcPr>
            <w:tcW w:type="dxa" w:w="680"/>
            <w:shd w:val="clear" w:color="auto" w:fill="FDF0E6"/>
          </w:tcPr>
          <w:p>
            <w:pPr>
              <w:spacing w:after="20" w:before="20"/>
            </w:pPr>
            <w:r/>
            <w:r>
              <w:rPr>
                <w:b/>
                <w:sz w:val="18"/>
              </w:rPr>
              <w:t>Q-04</w:t>
            </w:r>
          </w:p>
        </w:tc>
        <w:tc>
          <w:tcPr>
            <w:tcW w:type="dxa" w:w="2494"/>
            <w:shd w:val="clear" w:color="auto" w:fill="FDF0E6"/>
          </w:tcPr>
          <w:p>
            <w:pPr>
              <w:spacing w:after="20" w:before="20"/>
            </w:pPr>
            <w:r/>
            <w:r>
              <w:rPr>
                <w:sz w:val="18"/>
              </w:rPr>
              <w:t>Is any ING campaign performance data (CTR per banner, accepts) available to join to the features?</w:t>
            </w:r>
          </w:p>
        </w:tc>
        <w:tc>
          <w:tcPr>
            <w:tcW w:type="dxa" w:w="2608"/>
            <w:shd w:val="clear" w:color="auto" w:fill="FDF0E6"/>
          </w:tcPr>
          <w:p>
            <w:pPr>
              <w:spacing w:after="20" w:before="20"/>
            </w:pPr>
            <w:r/>
            <w:r>
              <w:rPr>
                <w:sz w:val="18"/>
              </w:rPr>
              <w:t>It would turn descriptive comparison into something testable and would considerably raise the value of the framework.</w:t>
            </w:r>
          </w:p>
        </w:tc>
        <w:tc>
          <w:tcPr>
            <w:tcW w:type="dxa" w:w="3628"/>
            <w:shd w:val="clear" w:color="auto" w:fill="FDF0E6"/>
          </w:tcPr>
          <w:p>
            <w:pPr>
              <w:spacing w:after="20" w:before="20"/>
            </w:pPr>
            <w:r/>
            <w:r>
              <w:rPr>
                <w:sz w:val="18"/>
              </w:rPr>
              <w:t>Assume not available; no performance modelling (see 5.2).</w:t>
            </w:r>
          </w:p>
        </w:tc>
      </w:tr>
      <w:tr>
        <w:tc>
          <w:tcPr>
            <w:tcW w:type="dxa" w:w="680"/>
          </w:tcPr>
          <w:p>
            <w:pPr>
              <w:spacing w:after="20" w:before="20"/>
            </w:pPr>
            <w:r/>
            <w:r>
              <w:rPr>
                <w:b/>
                <w:sz w:val="18"/>
              </w:rPr>
              <w:t>Q-05</w:t>
            </w:r>
          </w:p>
        </w:tc>
        <w:tc>
          <w:tcPr>
            <w:tcW w:type="dxa" w:w="2494"/>
          </w:tcPr>
          <w:p>
            <w:pPr>
              <w:spacing w:after="20" w:before="20"/>
            </w:pPr>
            <w:r/>
            <w:r>
              <w:rPr>
                <w:sz w:val="18"/>
              </w:rPr>
              <w:t>Can the deliverables and the repository be public, or must they stay internal?</w:t>
            </w:r>
          </w:p>
        </w:tc>
        <w:tc>
          <w:tcPr>
            <w:tcW w:type="dxa" w:w="2608"/>
          </w:tcPr>
          <w:p>
            <w:pPr>
              <w:spacing w:after="20" w:before="20"/>
            </w:pPr>
            <w:r/>
            <w:r>
              <w:rPr>
                <w:sz w:val="18"/>
              </w:rPr>
              <w:t>Affects where code and snapshots are stored and how competitor assets are handled.</w:t>
            </w:r>
          </w:p>
        </w:tc>
        <w:tc>
          <w:tcPr>
            <w:tcW w:type="dxa" w:w="3628"/>
          </w:tcPr>
          <w:p>
            <w:pPr>
              <w:spacing w:after="20" w:before="20"/>
            </w:pPr>
            <w:r/>
            <w:r>
              <w:rPr>
                <w:sz w:val="18"/>
              </w:rPr>
              <w:t>Treat as internal; no public publication of competitor assets.</w:t>
            </w:r>
          </w:p>
        </w:tc>
      </w:tr>
      <w:tr>
        <w:tc>
          <w:tcPr>
            <w:tcW w:type="dxa" w:w="680"/>
            <w:shd w:val="clear" w:color="auto" w:fill="FDF0E6"/>
          </w:tcPr>
          <w:p>
            <w:pPr>
              <w:spacing w:after="20" w:before="20"/>
            </w:pPr>
            <w:r/>
            <w:r>
              <w:rPr>
                <w:b/>
                <w:sz w:val="18"/>
              </w:rPr>
              <w:t>Q-06</w:t>
            </w:r>
          </w:p>
        </w:tc>
        <w:tc>
          <w:tcPr>
            <w:tcW w:type="dxa" w:w="2494"/>
            <w:shd w:val="clear" w:color="auto" w:fill="FDF0E6"/>
          </w:tcPr>
          <w:p>
            <w:pPr>
              <w:spacing w:after="20" w:before="20"/>
            </w:pPr>
            <w:r/>
            <w:r>
              <w:rPr>
                <w:sz w:val="18"/>
              </w:rPr>
              <w:t>Is there an ING-preferred or ING-approved tooling or compliance process for web collection?</w:t>
            </w:r>
          </w:p>
        </w:tc>
        <w:tc>
          <w:tcPr>
            <w:tcW w:type="dxa" w:w="2608"/>
            <w:shd w:val="clear" w:color="auto" w:fill="FDF0E6"/>
          </w:tcPr>
          <w:p>
            <w:pPr>
              <w:spacing w:after="20" w:before="20"/>
            </w:pPr>
            <w:r/>
            <w:r>
              <w:rPr>
                <w:sz w:val="18"/>
              </w:rPr>
              <w:t>Avoids re-deciding what ING has already settled.</w:t>
            </w:r>
          </w:p>
        </w:tc>
        <w:tc>
          <w:tcPr>
            <w:tcW w:type="dxa" w:w="3628"/>
            <w:shd w:val="clear" w:color="auto" w:fill="FDF0E6"/>
          </w:tcPr>
          <w:p>
            <w:pPr>
              <w:spacing w:after="20" w:before="20"/>
            </w:pPr>
            <w:r/>
            <w:r>
              <w:rPr>
                <w:sz w:val="18"/>
              </w:rPr>
              <w:t>Apply the rules in section 9 and document the reasoning.</w:t>
            </w:r>
          </w:p>
        </w:tc>
      </w:tr>
      <w:tr>
        <w:tc>
          <w:tcPr>
            <w:tcW w:type="dxa" w:w="680"/>
          </w:tcPr>
          <w:p>
            <w:pPr>
              <w:spacing w:after="20" w:before="20"/>
            </w:pPr>
            <w:r/>
            <w:r>
              <w:rPr>
                <w:b/>
                <w:sz w:val="18"/>
              </w:rPr>
              <w:t>Q-07</w:t>
            </w:r>
          </w:p>
        </w:tc>
        <w:tc>
          <w:tcPr>
            <w:tcW w:type="dxa" w:w="2494"/>
          </w:tcPr>
          <w:p>
            <w:pPr>
              <w:spacing w:after="20" w:before="20"/>
            </w:pPr>
            <w:r/>
            <w:r>
              <w:rPr>
                <w:sz w:val="18"/>
              </w:rPr>
              <w:t>Which language should be the reference — NL, FR or EN?</w:t>
            </w:r>
          </w:p>
        </w:tc>
        <w:tc>
          <w:tcPr>
            <w:tcW w:type="dxa" w:w="2608"/>
          </w:tcPr>
          <w:p>
            <w:pPr>
              <w:spacing w:after="20" w:before="20"/>
            </w:pPr>
            <w:r/>
            <w:r>
              <w:rPr>
                <w:sz w:val="18"/>
              </w:rPr>
              <w:t>Text features are not comparable across languages (R-06).</w:t>
            </w:r>
          </w:p>
        </w:tc>
        <w:tc>
          <w:tcPr>
            <w:tcW w:type="dxa" w:w="3628"/>
          </w:tcPr>
          <w:p>
            <w:pPr>
              <w:spacing w:after="20" w:before="20"/>
            </w:pPr>
            <w:r/>
            <w:r>
              <w:rPr>
                <w:sz w:val="18"/>
              </w:rPr>
              <w:t>Use one language consistently across all banks and state the choice.</w:t>
            </w:r>
          </w:p>
        </w:tc>
      </w:tr>
    </w:tbl>
    <w:p>
      <w:pPr>
        <w:spacing w:after="80"/>
      </w:pPr>
    </w:p>
    <w:p>
      <w:r>
        <w:br w:type="page"/>
      </w:r>
    </w:p>
    <w:p>
      <w:pPr>
        <w:pStyle w:val="Heading1"/>
      </w:pPr>
      <w:r>
        <w:rPr>
          <w:b w:val="0"/>
          <w:i w:val="0"/>
        </w:rPr>
        <w:t>Appendix A — Traceability to the source documents</w:t>
      </w:r>
    </w:p>
    <w:tbl>
      <w:tblPr>
        <w:tblStyle w:val="TableGrid"/>
        <w:jc w:val="center"/>
        <w:tblLook w:firstColumn="1" w:firstRow="1" w:lastColumn="0" w:lastRow="0" w:noHBand="0" w:noVBand="1" w:val="04A0"/>
        <w:tblLayout w:type="fixed"/>
        <w:tblW w:w="9412" w:type="dxa"/>
      </w:tblPr>
      <w:tblGrid>
        <w:gridCol w:w="5443"/>
        <w:gridCol w:w="3969"/>
      </w:tblGrid>
      <w:tr>
        <w:tc>
          <w:tcPr>
            <w:tcW w:type="dxa" w:w="5443"/>
            <w:shd w:val="clear" w:color="auto" w:fill="FF6200"/>
          </w:tcPr>
          <w:p>
            <w:pPr>
              <w:spacing w:after="40" w:before="40"/>
            </w:pPr>
            <w:r/>
            <w:r>
              <w:rPr>
                <w:b/>
                <w:color w:val="FFFFFF"/>
                <w:sz w:val="19"/>
              </w:rPr>
              <w:t>Requirement area</w:t>
            </w:r>
          </w:p>
        </w:tc>
        <w:tc>
          <w:tcPr>
            <w:tcW w:type="dxa" w:w="3969"/>
            <w:shd w:val="clear" w:color="auto" w:fill="FF6200"/>
          </w:tcPr>
          <w:p>
            <w:pPr>
              <w:spacing w:after="40" w:before="40"/>
            </w:pPr>
            <w:r/>
            <w:r>
              <w:rPr>
                <w:b/>
                <w:color w:val="FFFFFF"/>
                <w:sz w:val="19"/>
              </w:rPr>
              <w:t>Source</w:t>
            </w:r>
          </w:p>
        </w:tc>
      </w:tr>
      <w:tr>
        <w:tc>
          <w:tcPr>
            <w:tcW w:type="dxa" w:w="5443"/>
          </w:tcPr>
          <w:p>
            <w:pPr>
              <w:spacing w:after="20" w:before="20"/>
            </w:pPr>
            <w:r/>
            <w:r>
              <w:rPr>
                <w:sz w:val="18"/>
              </w:rPr>
              <w:t>Business context, volumes, CTR and NPS figures, competitive framing, the four ING packs</w:t>
            </w:r>
          </w:p>
        </w:tc>
        <w:tc>
          <w:tcPr>
            <w:tcW w:type="dxa" w:w="3969"/>
          </w:tcPr>
          <w:p>
            <w:pPr>
              <w:spacing w:after="20" w:before="20"/>
            </w:pPr>
            <w:r/>
            <w:r>
              <w:rPr>
                <w:sz w:val="18"/>
              </w:rPr>
              <w:t>Kickoff deck, slides 7–17</w:t>
            </w:r>
          </w:p>
        </w:tc>
      </w:tr>
      <w:tr>
        <w:tc>
          <w:tcPr>
            <w:tcW w:type="dxa" w:w="5443"/>
            <w:shd w:val="clear" w:color="auto" w:fill="FDF0E6"/>
          </w:tcPr>
          <w:p>
            <w:pPr>
              <w:spacing w:after="20" w:before="20"/>
            </w:pPr>
            <w:r/>
            <w:r>
              <w:rPr>
                <w:sz w:val="18"/>
              </w:rPr>
              <w:t>Informal bank-by-bank observations (section 2.4)</w:t>
            </w:r>
          </w:p>
        </w:tc>
        <w:tc>
          <w:tcPr>
            <w:tcW w:type="dxa" w:w="3969"/>
            <w:shd w:val="clear" w:color="auto" w:fill="FDF0E6"/>
          </w:tcPr>
          <w:p>
            <w:pPr>
              <w:spacing w:after="20" w:before="20"/>
            </w:pPr>
            <w:r/>
            <w:r>
              <w:rPr>
                <w:sz w:val="18"/>
              </w:rPr>
              <w:t>Kickoff deck, slides 19–21</w:t>
            </w:r>
          </w:p>
        </w:tc>
      </w:tr>
      <w:tr>
        <w:tc>
          <w:tcPr>
            <w:tcW w:type="dxa" w:w="5443"/>
          </w:tcPr>
          <w:p>
            <w:pPr>
              <w:spacing w:after="20" w:before="20"/>
            </w:pPr>
            <w:r/>
            <w:r>
              <w:rPr>
                <w:sz w:val="18"/>
              </w:rPr>
              <w:t>The central problem statement and the three sub-questions (section 3)</w:t>
            </w:r>
          </w:p>
        </w:tc>
        <w:tc>
          <w:tcPr>
            <w:tcW w:type="dxa" w:w="3969"/>
          </w:tcPr>
          <w:p>
            <w:pPr>
              <w:spacing w:after="20" w:before="20"/>
            </w:pPr>
            <w:r/>
            <w:r>
              <w:rPr>
                <w:sz w:val="18"/>
              </w:rPr>
              <w:t>Kickoff deck, slide 21</w:t>
            </w:r>
          </w:p>
        </w:tc>
      </w:tr>
      <w:tr>
        <w:tc>
          <w:tcPr>
            <w:tcW w:type="dxa" w:w="5443"/>
            <w:shd w:val="clear" w:color="auto" w:fill="FDF0E6"/>
          </w:tcPr>
          <w:p>
            <w:pPr>
              <w:spacing w:after="20" w:before="20"/>
            </w:pPr>
            <w:r/>
            <w:r>
              <w:rPr>
                <w:sz w:val="18"/>
              </w:rPr>
              <w:t>POC status, scope definition, "fair, unbiased, reproducible", "convince the business"</w:t>
            </w:r>
          </w:p>
        </w:tc>
        <w:tc>
          <w:tcPr>
            <w:tcW w:type="dxa" w:w="3969"/>
            <w:shd w:val="clear" w:color="auto" w:fill="FDF0E6"/>
          </w:tcPr>
          <w:p>
            <w:pPr>
              <w:spacing w:after="20" w:before="20"/>
            </w:pPr>
            <w:r/>
            <w:r>
              <w:rPr>
                <w:sz w:val="18"/>
              </w:rPr>
              <w:t>Kickoff deck, slide 22</w:t>
            </w:r>
          </w:p>
        </w:tc>
      </w:tr>
      <w:tr>
        <w:tc>
          <w:tcPr>
            <w:tcW w:type="dxa" w:w="5443"/>
          </w:tcPr>
          <w:p>
            <w:pPr>
              <w:spacing w:after="20" w:before="20"/>
            </w:pPr>
            <w:r/>
            <w:r>
              <w:rPr>
                <w:sz w:val="18"/>
              </w:rPr>
              <w:t>Objectives, positioning questions, bank list, MVP approach</w:t>
            </w:r>
          </w:p>
        </w:tc>
        <w:tc>
          <w:tcPr>
            <w:tcW w:type="dxa" w:w="3969"/>
          </w:tcPr>
          <w:p>
            <w:pPr>
              <w:spacing w:after="20" w:before="20"/>
            </w:pPr>
            <w:r/>
            <w:r>
              <w:rPr>
                <w:sz w:val="18"/>
              </w:rPr>
              <w:t>Use case brief — Context, Objective, Approach</w:t>
            </w:r>
          </w:p>
        </w:tc>
      </w:tr>
      <w:tr>
        <w:tc>
          <w:tcPr>
            <w:tcW w:type="dxa" w:w="5443"/>
            <w:shd w:val="clear" w:color="auto" w:fill="FDF0E6"/>
          </w:tcPr>
          <w:p>
            <w:pPr>
              <w:spacing w:after="20" w:before="20"/>
            </w:pPr>
            <w:r/>
            <w:r>
              <w:rPr>
                <w:sz w:val="18"/>
              </w:rPr>
              <w:t>Legal and data constraints (section 9)</w:t>
            </w:r>
          </w:p>
        </w:tc>
        <w:tc>
          <w:tcPr>
            <w:tcW w:type="dxa" w:w="3969"/>
            <w:shd w:val="clear" w:color="auto" w:fill="FDF0E6"/>
          </w:tcPr>
          <w:p>
            <w:pPr>
              <w:spacing w:after="20" w:before="20"/>
            </w:pPr>
            <w:r/>
            <w:r>
              <w:rPr>
                <w:sz w:val="18"/>
              </w:rPr>
              <w:t>Use case brief — Legal and Data Constraints</w:t>
            </w:r>
          </w:p>
        </w:tc>
      </w:tr>
      <w:tr>
        <w:tc>
          <w:tcPr>
            <w:tcW w:type="dxa" w:w="5443"/>
          </w:tcPr>
          <w:p>
            <w:pPr>
              <w:spacing w:after="20" w:before="20"/>
            </w:pPr>
            <w:r/>
            <w:r>
              <w:rPr>
                <w:sz w:val="18"/>
              </w:rPr>
              <w:t>The five analysis dimensions (section 11)</w:t>
            </w:r>
          </w:p>
        </w:tc>
        <w:tc>
          <w:tcPr>
            <w:tcW w:type="dxa" w:w="3969"/>
          </w:tcPr>
          <w:p>
            <w:pPr>
              <w:spacing w:after="20" w:before="20"/>
            </w:pPr>
            <w:r/>
            <w:r>
              <w:rPr>
                <w:sz w:val="18"/>
              </w:rPr>
              <w:t>Use case brief — How to Analyse Campaigns</w:t>
            </w:r>
          </w:p>
        </w:tc>
      </w:tr>
      <w:tr>
        <w:tc>
          <w:tcPr>
            <w:tcW w:type="dxa" w:w="5443"/>
            <w:shd w:val="clear" w:color="auto" w:fill="FDF0E6"/>
          </w:tcPr>
          <w:p>
            <w:pPr>
              <w:spacing w:after="20" w:before="20"/>
            </w:pPr>
            <w:r/>
            <w:r>
              <w:rPr>
                <w:sz w:val="18"/>
              </w:rPr>
              <w:t>Feature framework and dataset requirement (FR-06, FR-07)</w:t>
            </w:r>
          </w:p>
        </w:tc>
        <w:tc>
          <w:tcPr>
            <w:tcW w:type="dxa" w:w="3969"/>
            <w:shd w:val="clear" w:color="auto" w:fill="FDF0E6"/>
          </w:tcPr>
          <w:p>
            <w:pPr>
              <w:spacing w:after="20" w:before="20"/>
            </w:pPr>
            <w:r/>
            <w:r>
              <w:rPr>
                <w:sz w:val="18"/>
              </w:rPr>
              <w:t>Use case brief — Feature Extraction</w:t>
            </w:r>
          </w:p>
        </w:tc>
      </w:tr>
      <w:tr>
        <w:tc>
          <w:tcPr>
            <w:tcW w:type="dxa" w:w="5443"/>
          </w:tcPr>
          <w:p>
            <w:pPr>
              <w:spacing w:after="20" w:before="20"/>
            </w:pPr>
            <w:r/>
            <w:r>
              <w:rPr>
                <w:sz w:val="18"/>
              </w:rPr>
              <w:t>Deliverables and the two audiences (sections 6 and 13)</w:t>
            </w:r>
          </w:p>
        </w:tc>
        <w:tc>
          <w:tcPr>
            <w:tcW w:type="dxa" w:w="3969"/>
          </w:tcPr>
          <w:p>
            <w:pPr>
              <w:spacing w:after="20" w:before="20"/>
            </w:pPr>
            <w:r/>
            <w:r>
              <w:rPr>
                <w:sz w:val="18"/>
              </w:rPr>
              <w:t>Use case brief — Expected Outputs</w:t>
            </w:r>
          </w:p>
        </w:tc>
      </w:tr>
      <w:tr>
        <w:tc>
          <w:tcPr>
            <w:tcW w:type="dxa" w:w="5443"/>
            <w:shd w:val="clear" w:color="auto" w:fill="FDF0E6"/>
          </w:tcPr>
          <w:p>
            <w:pPr>
              <w:spacing w:after="20" w:before="20"/>
            </w:pPr>
            <w:r/>
            <w:r>
              <w:rPr>
                <w:sz w:val="18"/>
              </w:rPr>
              <w:t>Extension to social media, banners, larger-scale analysis (D-09)</w:t>
            </w:r>
          </w:p>
        </w:tc>
        <w:tc>
          <w:tcPr>
            <w:tcW w:type="dxa" w:w="3969"/>
            <w:shd w:val="clear" w:color="auto" w:fill="FDF0E6"/>
          </w:tcPr>
          <w:p>
            <w:pPr>
              <w:spacing w:after="20" w:before="20"/>
            </w:pPr>
            <w:r/>
            <w:r>
              <w:rPr>
                <w:sz w:val="18"/>
              </w:rPr>
              <w:t>Use case brief — Why This Matters</w:t>
            </w:r>
          </w:p>
        </w:tc>
      </w:tr>
    </w:tbl>
    <w:p>
      <w:pPr>
        <w:spacing w:after="80"/>
      </w:pPr>
    </w:p>
    <w:p>
      <w:pPr>
        <w:pStyle w:val="Heading1"/>
      </w:pPr>
      <w:r>
        <w:rPr>
          <w:b w:val="0"/>
          <w:i w:val="0"/>
        </w:rPr>
        <w:t>Appendix B — Glossary</w:t>
      </w:r>
    </w:p>
    <w:tbl>
      <w:tblPr>
        <w:tblStyle w:val="TableGrid"/>
        <w:jc w:val="center"/>
        <w:tblLook w:firstColumn="1" w:firstRow="1" w:lastColumn="0" w:lastRow="0" w:noHBand="0" w:noVBand="1" w:val="04A0"/>
        <w:tblLayout w:type="fixed"/>
        <w:tblW w:w="9412" w:type="dxa"/>
      </w:tblPr>
      <w:tblGrid>
        <w:gridCol w:w="2381"/>
        <w:gridCol w:w="7030"/>
      </w:tblGrid>
      <w:tr>
        <w:tc>
          <w:tcPr>
            <w:tcW w:type="dxa" w:w="2381"/>
            <w:shd w:val="clear" w:color="auto" w:fill="FF6200"/>
          </w:tcPr>
          <w:p>
            <w:pPr>
              <w:spacing w:after="40" w:before="40"/>
            </w:pPr>
            <w:r/>
            <w:r>
              <w:rPr>
                <w:b/>
                <w:color w:val="FFFFFF"/>
                <w:sz w:val="19"/>
              </w:rPr>
              <w:t>Term</w:t>
            </w:r>
          </w:p>
        </w:tc>
        <w:tc>
          <w:tcPr>
            <w:tcW w:type="dxa" w:w="7030"/>
            <w:shd w:val="clear" w:color="auto" w:fill="FF6200"/>
          </w:tcPr>
          <w:p>
            <w:pPr>
              <w:spacing w:after="40" w:before="40"/>
            </w:pPr>
            <w:r/>
            <w:r>
              <w:rPr>
                <w:b/>
                <w:color w:val="FFFFFF"/>
                <w:sz w:val="19"/>
              </w:rPr>
              <w:t>Meaning</w:t>
            </w:r>
          </w:p>
        </w:tc>
      </w:tr>
      <w:tr>
        <w:tc>
          <w:tcPr>
            <w:tcW w:type="dxa" w:w="2381"/>
          </w:tcPr>
          <w:p>
            <w:pPr>
              <w:spacing w:after="20" w:before="20"/>
            </w:pPr>
            <w:r/>
            <w:r>
              <w:rPr>
                <w:sz w:val="18"/>
              </w:rPr>
              <w:t>POC</w:t>
            </w:r>
          </w:p>
        </w:tc>
        <w:tc>
          <w:tcPr>
            <w:tcW w:type="dxa" w:w="7030"/>
          </w:tcPr>
          <w:p>
            <w:pPr>
              <w:spacing w:after="20" w:before="20"/>
            </w:pPr>
            <w:r/>
            <w:r>
              <w:rPr>
                <w:sz w:val="18"/>
              </w:rPr>
              <w:t>Proof of Concept — a demonstration that an approach works, not a deployable system.</w:t>
            </w:r>
          </w:p>
        </w:tc>
      </w:tr>
      <w:tr>
        <w:tc>
          <w:tcPr>
            <w:tcW w:type="dxa" w:w="2381"/>
            <w:shd w:val="clear" w:color="auto" w:fill="FDF0E6"/>
          </w:tcPr>
          <w:p>
            <w:pPr>
              <w:spacing w:after="20" w:before="20"/>
            </w:pPr>
            <w:r/>
            <w:r>
              <w:rPr>
                <w:sz w:val="18"/>
              </w:rPr>
              <w:t>MVP</w:t>
            </w:r>
          </w:p>
        </w:tc>
        <w:tc>
          <w:tcPr>
            <w:tcW w:type="dxa" w:w="7030"/>
            <w:shd w:val="clear" w:color="auto" w:fill="FDF0E6"/>
          </w:tcPr>
          <w:p>
            <w:pPr>
              <w:spacing w:after="20" w:before="20"/>
            </w:pPr>
            <w:r/>
            <w:r>
              <w:rPr>
                <w:sz w:val="18"/>
              </w:rPr>
              <w:t>Minimum Viable Product — here, a complete end-to-end analysis on a deliberately limited scope.</w:t>
            </w:r>
          </w:p>
        </w:tc>
      </w:tr>
      <w:tr>
        <w:tc>
          <w:tcPr>
            <w:tcW w:type="dxa" w:w="2381"/>
          </w:tcPr>
          <w:p>
            <w:pPr>
              <w:spacing w:after="20" w:before="20"/>
            </w:pPr>
            <w:r/>
            <w:r>
              <w:rPr>
                <w:sz w:val="18"/>
              </w:rPr>
              <w:t>CTR</w:t>
            </w:r>
          </w:p>
        </w:tc>
        <w:tc>
          <w:tcPr>
            <w:tcW w:type="dxa" w:w="7030"/>
          </w:tcPr>
          <w:p>
            <w:pPr>
              <w:spacing w:after="20" w:before="20"/>
            </w:pPr>
            <w:r/>
            <w:r>
              <w:rPr>
                <w:sz w:val="18"/>
              </w:rPr>
              <w:t>Click-Through Rate — clicks divided by impressions of a message.</w:t>
            </w:r>
          </w:p>
        </w:tc>
      </w:tr>
      <w:tr>
        <w:tc>
          <w:tcPr>
            <w:tcW w:type="dxa" w:w="2381"/>
            <w:shd w:val="clear" w:color="auto" w:fill="FDF0E6"/>
          </w:tcPr>
          <w:p>
            <w:pPr>
              <w:spacing w:after="20" w:before="20"/>
            </w:pPr>
            <w:r/>
            <w:r>
              <w:rPr>
                <w:sz w:val="18"/>
              </w:rPr>
              <w:t>NPS</w:t>
            </w:r>
          </w:p>
        </w:tc>
        <w:tc>
          <w:tcPr>
            <w:tcW w:type="dxa" w:w="7030"/>
            <w:shd w:val="clear" w:color="auto" w:fill="FDF0E6"/>
          </w:tcPr>
          <w:p>
            <w:pPr>
              <w:spacing w:after="20" w:before="20"/>
            </w:pPr>
            <w:r/>
            <w:r>
              <w:rPr>
                <w:sz w:val="18"/>
              </w:rPr>
              <w:t>Net Promoter Score — ING’s customer satisfaction measure; "top irritator" means a leading cause of complaint.</w:t>
            </w:r>
          </w:p>
        </w:tc>
      </w:tr>
      <w:tr>
        <w:tc>
          <w:tcPr>
            <w:tcW w:type="dxa" w:w="2381"/>
          </w:tcPr>
          <w:p>
            <w:pPr>
              <w:spacing w:after="20" w:before="20"/>
            </w:pPr>
            <w:r/>
            <w:r>
              <w:rPr>
                <w:sz w:val="18"/>
              </w:rPr>
              <w:t>Neobank / challenger</w:t>
            </w:r>
          </w:p>
        </w:tc>
        <w:tc>
          <w:tcPr>
            <w:tcW w:type="dxa" w:w="7030"/>
          </w:tcPr>
          <w:p>
            <w:pPr>
              <w:spacing w:after="20" w:before="20"/>
            </w:pPr>
            <w:r/>
            <w:r>
              <w:rPr>
                <w:sz w:val="18"/>
              </w:rPr>
              <w:t>A digital-first bank without a branch network (Revolut, N26, bunq).</w:t>
            </w:r>
          </w:p>
        </w:tc>
      </w:tr>
      <w:tr>
        <w:tc>
          <w:tcPr>
            <w:tcW w:type="dxa" w:w="2381"/>
            <w:shd w:val="clear" w:color="auto" w:fill="FDF0E6"/>
          </w:tcPr>
          <w:p>
            <w:pPr>
              <w:spacing w:after="20" w:before="20"/>
            </w:pPr>
            <w:r/>
            <w:r>
              <w:rPr>
                <w:sz w:val="18"/>
              </w:rPr>
              <w:t>The Kraken</w:t>
            </w:r>
          </w:p>
        </w:tc>
        <w:tc>
          <w:tcPr>
            <w:tcW w:type="dxa" w:w="7030"/>
            <w:shd w:val="clear" w:color="auto" w:fill="FDF0E6"/>
          </w:tcPr>
          <w:p>
            <w:pPr>
              <w:spacing w:after="20" w:before="20"/>
            </w:pPr>
            <w:r/>
            <w:r>
              <w:rPr>
                <w:sz w:val="18"/>
              </w:rPr>
              <w:t>ING’s internal communication orchestration platform (Inbound, Sending and Lead Management engines).</w:t>
            </w:r>
          </w:p>
        </w:tc>
      </w:tr>
      <w:tr>
        <w:tc>
          <w:tcPr>
            <w:tcW w:type="dxa" w:w="2381"/>
          </w:tcPr>
          <w:p>
            <w:pPr>
              <w:spacing w:after="20" w:before="20"/>
            </w:pPr>
            <w:r/>
            <w:r>
              <w:rPr>
                <w:sz w:val="18"/>
              </w:rPr>
              <w:t>Campaign page</w:t>
            </w:r>
          </w:p>
        </w:tc>
        <w:tc>
          <w:tcPr>
            <w:tcW w:type="dxa" w:w="7030"/>
          </w:tcPr>
          <w:p>
            <w:pPr>
              <w:spacing w:after="20" w:before="20"/>
            </w:pPr>
            <w:r/>
            <w:r>
              <w:rPr>
                <w:sz w:val="18"/>
              </w:rPr>
              <w:t>A publicly accessible web page promoting a banking product or offer.</w:t>
            </w:r>
          </w:p>
        </w:tc>
      </w:tr>
      <w:tr>
        <w:tc>
          <w:tcPr>
            <w:tcW w:type="dxa" w:w="2381"/>
            <w:shd w:val="clear" w:color="auto" w:fill="FDF0E6"/>
          </w:tcPr>
          <w:p>
            <w:pPr>
              <w:spacing w:after="20" w:before="20"/>
            </w:pPr>
            <w:r/>
            <w:r>
              <w:rPr>
                <w:sz w:val="18"/>
              </w:rPr>
              <w:t>Feature</w:t>
            </w:r>
          </w:p>
        </w:tc>
        <w:tc>
          <w:tcPr>
            <w:tcW w:type="dxa" w:w="7030"/>
            <w:shd w:val="clear" w:color="auto" w:fill="FDF0E6"/>
          </w:tcPr>
          <w:p>
            <w:pPr>
              <w:spacing w:after="20" w:before="20"/>
            </w:pPr>
            <w:r/>
            <w:r>
              <w:rPr>
                <w:sz w:val="18"/>
              </w:rPr>
              <w:t>A single measurable or categorical property of a campaign page, defined in the feature dictionary.</w:t>
            </w:r>
          </w:p>
        </w:tc>
      </w:tr>
      <w:tr>
        <w:tc>
          <w:tcPr>
            <w:tcW w:type="dxa" w:w="2381"/>
          </w:tcPr>
          <w:p>
            <w:pPr>
              <w:spacing w:after="20" w:before="20"/>
            </w:pPr>
            <w:r/>
            <w:r>
              <w:rPr>
                <w:sz w:val="18"/>
              </w:rPr>
              <w:t>acov, AI, Enticement</w:t>
            </w:r>
          </w:p>
        </w:tc>
        <w:tc>
          <w:tcPr>
            <w:tcW w:type="dxa" w:w="7030"/>
          </w:tcPr>
          <w:p>
            <w:pPr>
              <w:spacing w:after="20" w:before="20"/>
            </w:pPr>
            <w:r/>
            <w:r>
              <w:rPr>
                <w:sz w:val="18"/>
              </w:rPr>
              <w:t>The three key inbound banner positions named in the deck. Exact definitions to be confirmed with the stakeholders.</w:t>
            </w:r>
          </w:p>
        </w:tc>
      </w:tr>
    </w:tbl>
    <w:p>
      <w:pPr>
        <w:spacing w:after="80"/>
      </w:pP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Banking Campaigns Comparator  –  Project Requirements Document  –  v1.0  –  14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i w:val="0"/>
      <w:color w:val="FF62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1F1F1F"/>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i w:val="0"/>
      <w:color w:val="5A5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i w:val="0"/>
      <w:color w:val="FF62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1F1F1F"/>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color w:val="1F1F1F"/>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