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400"/>
              <w:left w:type="dxa" w:w="400"/>
              <w:bottom w:type="dxa" w:w="400"/>
              <w:right w:type="dxa" w:w="400"/>
            </w:tcMar>
          </w:tcPr>
          <w:p>
            <w:pPr>
              <w:spacing w:after="60" w:before="0"/>
              <w:jc w:val="left"/>
            </w:pPr>
            <w:r>
              <w:rPr>
                <w:rFonts w:ascii="Arial" w:cs="Arial" w:eastAsia="Arial" w:hAnsi="Arial"/>
                <w:b/>
                <w:bCs/>
                <w:color w:val="FFFFFF"/>
                <w:sz w:val="56"/>
                <w:szCs w:val="56"/>
              </w:rPr>
              <w:t xml:space="preserve">COP UPSTREAM PLATFORM</w:t>
            </w:r>
          </w:p>
          <w:p>
            <w:pPr>
              <w:spacing w:after="0" w:before="0"/>
              <w:jc w:val="left"/>
            </w:pPr>
            <w:r>
              <w:rPr>
                <w:rFonts w:ascii="Arial" w:cs="Arial" w:eastAsia="Arial" w:hAnsi="Arial"/>
                <w:b w:val="false"/>
                <w:bCs w:val="false"/>
                <w:color w:val="A8C4E0"/>
                <w:sz w:val="28"/>
                <w:szCs w:val="28"/>
              </w:rPr>
              <w:t xml:space="preserve">ConocoPhillips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9A84C" w:val="clear"/>
            <w:tcMar>
              <w:top w:type="dxa" w:w="60"/>
              <w:left w:type="dxa" w:w="0"/>
              <w:bottom w:type="dxa" w:w="60"/>
              <w:right w:type="dxa" w:w="0"/>
            </w:tcMar>
          </w:tcPr>
          <w:p/>
        </w:tc>
      </w:tr>
    </w:tbl>
    <w:p>
      <w:pPr>
        <w:spacing w:after="0" w:before="480"/>
      </w:pPr>
    </w:p>
    <w:p>
      <w:pPr>
        <w:spacing w:after="120" w:before="0"/>
        <w:jc w:val="left"/>
      </w:pPr>
      <w:r>
        <w:rPr>
          <w:rFonts w:ascii="Arial" w:cs="Arial" w:eastAsia="Arial" w:hAnsi="Arial"/>
          <w:b/>
          <w:bCs/>
          <w:color w:val="1B2A4A"/>
          <w:sz w:val="40"/>
          <w:szCs w:val="40"/>
        </w:rPr>
        <w:t xml:space="preserve">SME Handover &amp; User Guide</w:t>
      </w:r>
    </w:p>
    <w:p>
      <w:pPr>
        <w:spacing w:after="60" w:before="0"/>
        <w:jc w:val="left"/>
      </w:pPr>
      <w:r>
        <w:rPr>
          <w:rFonts w:ascii="Arial" w:cs="Arial" w:eastAsia="Arial" w:hAnsi="Arial"/>
          <w:color w:val="555555"/>
          <w:sz w:val="24"/>
          <w:szCs w:val="24"/>
        </w:rPr>
        <w:t xml:space="preserve">Functional Overview for Subject Matter Experts, Business Analysts, and End Users</w:t>
      </w:r>
    </w:p>
    <w:p>
      <w:pPr>
        <w:spacing w:after="0" w:before="240"/>
      </w:pPr>
    </w:p>
    <w:p>
      <w:pPr>
        <w:pBdr>
          <w:bottom w:val="single" w:color="DDDDDD" w:sz="4" w:space="1"/>
        </w:pBdr>
        <w:spacing w:after="0" w:before="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Document Attribute</w:t>
            </w:r>
          </w:p>
        </w:tc>
        <w:tc>
          <w:tcPr>
            <w:tcW w:type="dxa" w:w="6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Version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v1.0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Publication Date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March 2026</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Classification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Internal — Restricted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COP Upstream Platform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ConocoPhillips Upstream Operations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Production URL</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cop-upstream-platform.azurewebsites.net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Prepared By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Platform Delivery Team</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none"/>
              <w:bottom w:val="none"/>
              <w:right w:val="none"/>
            </w:tcBorders>
            <w:shd w:fill="FFFFFF" w:val="clear"/>
            <w:tcMar>
              <w:top w:type="dxa" w:w="120"/>
              <w:left w:type="dxa" w:w="0"/>
              <w:bottom w:type="dxa" w:w="80"/>
              <w:right w:type="dxa" w:w="0"/>
            </w:tcMar>
          </w:tcPr>
          <w:p>
            <w:r>
              <w:rPr>
                <w:rFonts w:ascii="Arial" w:cs="Arial" w:eastAsia="Arial" w:hAnsi="Arial"/>
                <w:i/>
                <w:iCs/>
                <w:color w:val="777777"/>
                <w:sz w:val="16"/>
                <w:szCs w:val="16"/>
              </w:rPr>
              <w:t xml:space="preserve">CONFIDENTIAL — This document contains proprietary information of ConocoPhillips. Distribution is restricted to authorized personnel only. Not for external distribution.</w:t>
            </w:r>
          </w:p>
        </w:tc>
      </w:tr>
    </w:tbl>
    <w:p>
      <w:r>
        <w:br w:type="page"/>
      </w:r>
    </w:p>
    <w:p>
      <w:pPr>
        <w:sectPr>
          <w:pgSz w:w="12240" w:h="15840" w:orient="portrait"/>
          <w:pgMar w:top="1440" w:right="1440" w:bottom="1440" w:left="1440" w:header="708" w:footer="708" w:gutter="0"/>
          <w:pgNumType/>
          <w:docGrid w:linePitch="360"/>
        </w:sectPr>
      </w:pPr>
    </w:p>
    <w:p>
      <w:pPr>
        <w:pStyle w:val="Heading1"/>
        <w:spacing w:after="120" w:before="240"/>
      </w:pPr>
      <w:r>
        <w:rPr>
          <w:rFonts w:ascii="Arial" w:cs="Arial" w:eastAsia="Arial" w:hAnsi="Arial"/>
          <w:b/>
          <w:bCs/>
          <w:color w:val="1B2A4A"/>
          <w:sz w:val="32"/>
          <w:szCs w:val="32"/>
        </w:rPr>
        <w:t xml:space="preserve">Table of Contents</w:t>
      </w:r>
    </w:p>
    <w:p>
      <w:pPr>
        <w:pBdr>
          <w:bottom w:val="single" w:color="C9A84C" w:sz="6" w:space="1"/>
        </w:pBdr>
        <w:spacing w:after="0" w:before="0"/>
      </w:pPr>
    </w:p>
    <w:p>
      <w:pPr>
        <w:spacing w:after="0" w:before="120"/>
      </w:pPr>
    </w:p>
    <w:sdt>
      <w:sdtPr>
        <w:alias w:val="Table of Content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spacing w:after="120" w:before="240"/>
      </w:pPr>
      <w:r>
        <w:rPr>
          <w:rFonts w:ascii="Arial" w:cs="Arial" w:eastAsia="Arial" w:hAnsi="Arial"/>
          <w:b/>
          <w:bCs/>
          <w:color w:val="1B2A4A"/>
          <w:sz w:val="32"/>
          <w:szCs w:val="32"/>
        </w:rPr>
        <w:t xml:space="preserve">1  Executive Summary</w:t>
      </w:r>
    </w:p>
    <w:p>
      <w:pPr>
        <w:pBdr>
          <w:bottom w:val="single" w:color="C9A84C" w:sz="6" w:space="1"/>
        </w:pBdr>
        <w:spacing w:after="0" w:before="0"/>
      </w:pPr>
    </w:p>
    <w:p>
      <w:pPr>
        <w:spacing w:after="0" w:before="120"/>
      </w:pPr>
    </w:p>
    <w:p>
      <w:pPr>
        <w:spacing w:after="80" w:before="80"/>
      </w:pPr>
      <w:r>
        <w:rPr>
          <w:rFonts w:ascii="Arial" w:cs="Arial" w:eastAsia="Arial" w:hAnsi="Arial"/>
          <w:color w:val="1A1A1A"/>
          <w:sz w:val="20"/>
          <w:szCs w:val="20"/>
        </w:rPr>
        <w:t xml:space="preserve">The COP Upstream Platform is a web-based upstream oil and gas partner management system purpose-built for ConocoPhillips. The platform covers the full lifecycle of non-operator working interest partner relationships — from initial legal entity registration through revenue accounting, joint venture cost management, and multi-state tax compliance.</w:t>
      </w:r>
    </w:p>
    <w:p>
      <w:pPr>
        <w:spacing w:after="0" w:before="80"/>
      </w:pPr>
    </w:p>
    <w:p>
      <w:pPr>
        <w:spacing w:after="80" w:before="80"/>
      </w:pPr>
      <w:r>
        <w:rPr>
          <w:rFonts w:ascii="Arial" w:cs="Arial" w:eastAsia="Arial" w:hAnsi="Arial"/>
          <w:color w:val="1A1A1A"/>
          <w:sz w:val="20"/>
          <w:szCs w:val="20"/>
        </w:rPr>
        <w:t xml:space="preserve">The system is designed to support Accounting, Land, and Operations teams with a unified data model that eliminates spreadsheet-based workflows and manual reconciliation between disconnected systems.</w:t>
      </w:r>
    </w:p>
    <w:p>
      <w:pPr>
        <w:spacing w:after="0" w:before="120"/>
      </w:pPr>
    </w:p>
    <w:p>
      <w:pPr>
        <w:pStyle w:val="Heading2"/>
        <w:spacing w:after="80" w:before="160"/>
      </w:pPr>
      <w:r>
        <w:rPr>
          <w:rFonts w:ascii="Arial" w:cs="Arial" w:eastAsia="Arial" w:hAnsi="Arial"/>
          <w:b/>
          <w:bCs/>
          <w:color w:val="2E4A7A"/>
          <w:sz w:val="26"/>
          <w:szCs w:val="26"/>
        </w:rPr>
        <w:t xml:space="preserve">1.1  Functional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6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Functional Scope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 Partner Onboarding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7-step wizard to register new non-operator partners — entity setup, JOA terms, ACH/banking, COPAS acknowledgment, document collection, system access, final review</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2. Master Data Management (MDM)</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Properties, wells, working interests, division orders, price indices, AFE register, marketing contracts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Revenue &amp; Production Accounting (PRA)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Volume capture, royalty calculations, suspense management, owner payments (ACH/Check), remittance matching, gas balancing, severance tax, 1099-MISC</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4. Joint Venture Accounting (JVA)</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AFE management, NOP elections, JIB preparation &amp; billing, cash calls, receipt application, COPAS audit findings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 Tax &amp; Compliance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Multi-state severance tax returns (10 states) and 1099-MISC generation with FIRE system support</w:t>
            </w:r>
          </w:p>
        </w:tc>
      </w:tr>
    </w:tbl>
    <w:p>
      <w:pPr>
        <w:spacing w:after="0" w:before="160"/>
      </w:pPr>
    </w:p>
    <w:p>
      <w:pPr>
        <w:pStyle w:val="Heading2"/>
        <w:spacing w:after="80" w:before="160"/>
      </w:pPr>
      <w:r>
        <w:rPr>
          <w:rFonts w:ascii="Arial" w:cs="Arial" w:eastAsia="Arial" w:hAnsi="Arial"/>
          <w:b/>
          <w:bCs/>
          <w:color w:val="2E4A7A"/>
          <w:sz w:val="26"/>
          <w:szCs w:val="26"/>
        </w:rPr>
        <w:t xml:space="preserve">1.2  System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Access Point</w:t>
            </w:r>
          </w:p>
        </w:tc>
        <w:tc>
          <w:tcPr>
            <w:tcW w:type="dxa" w:w="6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Production 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https://cop-upstream-platform.azurewebsites.net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Development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http://localhost:3000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PostgreSQL (Azure Database for PostgreSQL)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Azure App Service (cop-upstream-platform)</w:t>
            </w:r>
          </w:p>
        </w:tc>
      </w:tr>
    </w:tbl>
    <w:p>
      <w:pPr>
        <w:spacing w:after="0" w:before="160"/>
      </w:pPr>
    </w:p>
    <w:p>
      <w:pPr>
        <w:pStyle w:val="Heading2"/>
        <w:spacing w:after="80" w:before="160"/>
      </w:pPr>
      <w:r>
        <w:rPr>
          <w:rFonts w:ascii="Arial" w:cs="Arial" w:eastAsia="Arial" w:hAnsi="Arial"/>
          <w:b/>
          <w:bCs/>
          <w:color w:val="2E4A7A"/>
          <w:sz w:val="26"/>
          <w:szCs w:val="26"/>
        </w:rPr>
        <w:t xml:space="preserve">1.3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Permissions</w:t>
            </w:r>
          </w:p>
        </w:tc>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Typical User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 including user management and all write operations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Administrator, IT Security</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Analyst</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Full access except user management — can create, edit, and delete records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Revenue Accountant, JV Accountant, Land Analyst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Viewer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Read-only access — can view all data but cannot modify any records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Auditor, Management Reviewer, External Consultant</w:t>
            </w:r>
          </w:p>
        </w:tc>
      </w:tr>
    </w:tbl>
    <w:p>
      <w:pPr>
        <w:spacing w:after="0" w:before="160"/>
      </w:pPr>
    </w:p>
    <w:p>
      <w:r>
        <w:br w:type="page"/>
      </w:r>
    </w:p>
    <w:p>
      <w:pPr>
        <w:pStyle w:val="Heading1"/>
        <w:spacing w:after="120" w:before="240"/>
      </w:pPr>
      <w:r>
        <w:rPr>
          <w:rFonts w:ascii="Arial" w:cs="Arial" w:eastAsia="Arial" w:hAnsi="Arial"/>
          <w:b/>
          <w:bCs/>
          <w:color w:val="1B2A4A"/>
          <w:sz w:val="32"/>
          <w:szCs w:val="32"/>
        </w:rPr>
        <w:t xml:space="preserve">2  System Architecture Overview</w:t>
      </w:r>
    </w:p>
    <w:p>
      <w:pPr>
        <w:pBdr>
          <w:bottom w:val="single" w:color="C9A84C" w:sz="6" w:space="1"/>
        </w:pBdr>
        <w:spacing w:after="0" w:before="0"/>
      </w:pPr>
    </w:p>
    <w:p>
      <w:pPr>
        <w:spacing w:after="0" w:before="120"/>
      </w:pPr>
    </w:p>
    <w:p>
      <w:pPr>
        <w:spacing w:after="80" w:before="80"/>
      </w:pPr>
      <w:r>
        <w:rPr>
          <w:rFonts w:ascii="Arial" w:cs="Arial" w:eastAsia="Arial" w:hAnsi="Arial"/>
          <w:color w:val="1A1A1A"/>
          <w:sz w:val="20"/>
          <w:szCs w:val="20"/>
        </w:rPr>
        <w:t xml:space="preserve">The COP Upstream Platform is a Node.js/Express.js single-page application (SPA). The architecture prioritizes simplicity and deployability over a multi-service microservices approach, enabling rapid iteration and straightforward Azure App Service hosting.</w:t>
      </w:r>
    </w:p>
    <w:p>
      <w:pPr>
        <w:spacing w:after="0" w:before="120"/>
      </w:pPr>
    </w:p>
    <w:p>
      <w:pPr>
        <w:pStyle w:val="Heading2"/>
        <w:spacing w:after="80" w:before="160"/>
      </w:pPr>
      <w:r>
        <w:rPr>
          <w:rFonts w:ascii="Arial" w:cs="Arial" w:eastAsia="Arial" w:hAnsi="Arial"/>
          <w:b/>
          <w:bCs/>
          <w:color w:val="2E4A7A"/>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Single HTML file (public/index.html) — vanilla JavaScript SPA, no build step required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Express.js REST API with PostgreSQL via pg Pool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tokens (bcryptjs), role-based middleware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PostgreSQL (Azure Database for PostgreSQL)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Deployment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Azure App Service with PostgreSQL backend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Runtime</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Node.js (LTS)</w:t>
            </w:r>
          </w:p>
        </w:tc>
      </w:tr>
    </w:tbl>
    <w:p>
      <w:pPr>
        <w:spacing w:after="0" w:before="160"/>
      </w:pPr>
    </w:p>
    <w:p>
      <w:pPr>
        <w:pStyle w:val="Heading2"/>
        <w:spacing w:after="80" w:before="160"/>
      </w:pPr>
      <w:r>
        <w:rPr>
          <w:rFonts w:ascii="Arial" w:cs="Arial" w:eastAsia="Arial" w:hAnsi="Arial"/>
          <w:b/>
          <w:bCs/>
          <w:color w:val="2E4A7A"/>
          <w:sz w:val="26"/>
          <w:szCs w:val="26"/>
        </w:rPr>
        <w:t xml:space="preserve">2.2  Key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File / Directory</w:t>
            </w:r>
          </w:p>
        </w:tc>
        <w:tc>
          <w:tcPr>
            <w:tcW w:type="dxa" w:w="3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server.js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Main Express server, route registration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Entry point for the application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routes/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One file per domain</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auth, partners, onboarding, pra, jva, mdm, tax</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models/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Database model layer per entity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 models covering all entities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database/schema.sql</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Full DDL — all tables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Auto-runs on first server start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public/index.html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Entire frontend SPA</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~4,700 lines; no build step</w:t>
            </w:r>
          </w:p>
        </w:tc>
      </w:tr>
    </w:tbl>
    <w:p>
      <w:pPr>
        <w:spacing w:after="0" w:before="160"/>
      </w:pPr>
    </w:p>
    <w:p>
      <w:pPr>
        <w:pStyle w:val="Heading2"/>
        <w:spacing w:after="80" w:before="160"/>
      </w:pPr>
      <w:r>
        <w:rPr>
          <w:rFonts w:ascii="Arial" w:cs="Arial" w:eastAsia="Arial" w:hAnsi="Arial"/>
          <w:b/>
          <w:bCs/>
          <w:color w:val="2E4A7A"/>
          <w:sz w:val="26"/>
          <w:szCs w:val="26"/>
        </w:rPr>
        <w:t xml:space="preserve">2.3  API Prefix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API Prefix</w:t>
            </w:r>
          </w:p>
        </w:tc>
        <w:tc>
          <w:tcPr>
            <w:tcW w:type="dxa" w:w="68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Module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/api/auth</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Login/logout, user management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/api/partners</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Partner CRUD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/api/onboarding</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Wizard steps (all 7)</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/api/pra</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Revenue &amp; Production Accounting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/api/jva</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Joint Venture Accounting</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/api/mdm</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Master Data Management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/api/tax</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Tax &amp; Compliance (severance tax, 1099)</w:t>
            </w:r>
          </w:p>
        </w:tc>
      </w:tr>
    </w:tbl>
    <w:p>
      <w:pPr>
        <w:spacing w:after="0" w:before="160"/>
      </w:pPr>
    </w:p>
    <w:p>
      <w:r>
        <w:br w:type="page"/>
      </w:r>
    </w:p>
    <w:p>
      <w:pPr>
        <w:pStyle w:val="Heading1"/>
        <w:spacing w:after="120" w:before="240"/>
      </w:pPr>
      <w:r>
        <w:rPr>
          <w:rFonts w:ascii="Arial" w:cs="Arial" w:eastAsia="Arial" w:hAnsi="Arial"/>
          <w:b/>
          <w:bCs/>
          <w:color w:val="1B2A4A"/>
          <w:sz w:val="32"/>
          <w:szCs w:val="32"/>
        </w:rPr>
        <w:t xml:space="preserve">3  Partner Onboarding Module</w:t>
      </w:r>
    </w:p>
    <w:p>
      <w:pPr>
        <w:pBdr>
          <w:bottom w:val="single" w:color="C9A84C" w:sz="6" w:space="1"/>
        </w:pBdr>
        <w:spacing w:after="0" w:before="0"/>
      </w:pPr>
    </w:p>
    <w:p>
      <w:pPr>
        <w:spacing w:after="0" w:before="120"/>
      </w:pPr>
    </w:p>
    <w:p>
      <w:pPr>
        <w:pStyle w:val="Heading2"/>
        <w:spacing w:after="80" w:before="160"/>
      </w:pPr>
      <w:r>
        <w:rPr>
          <w:rFonts w:ascii="Arial" w:cs="Arial" w:eastAsia="Arial" w:hAnsi="Arial"/>
          <w:b/>
          <w:bCs/>
          <w:color w:val="2E4A7A"/>
          <w:sz w:val="26"/>
          <w:szCs w:val="26"/>
        </w:rPr>
        <w:t xml:space="preserve">3.1  Business Purpose</w:t>
      </w:r>
    </w:p>
    <w:p>
      <w:pPr>
        <w:spacing w:after="80" w:before="80"/>
      </w:pPr>
      <w:r>
        <w:rPr>
          <w:rFonts w:ascii="Arial" w:cs="Arial" w:eastAsia="Arial" w:hAnsi="Arial"/>
          <w:color w:val="1A1A1A"/>
          <w:sz w:val="20"/>
          <w:szCs w:val="20"/>
        </w:rPr>
        <w:t xml:space="preserve">When ConocoPhillips brings on a new non-operating working interest partner, the 7-step onboarding wizard captures all required information. This includes legal entity details, JOA terms, financial and banking setup, COPAS acknowledgment, document collection, system access provisioning, and final review for system activation.</w:t>
      </w:r>
    </w:p>
    <w:p>
      <w:pPr>
        <w:spacing w:after="80" w:before="80"/>
      </w:pPr>
      <w:r>
        <w:rPr>
          <w:rFonts w:ascii="Arial" w:cs="Arial" w:eastAsia="Arial" w:hAnsi="Arial"/>
          <w:color w:val="1A1A1A"/>
          <w:sz w:val="20"/>
          <w:szCs w:val="20"/>
        </w:rPr>
        <w:t xml:space="preserve">Each partner is assigned a unique onboarding reference number (e.g., OB-2025-001) that tracks their onboarding record through all steps and serves as the primary key for cross-module references.</w:t>
      </w:r>
    </w:p>
    <w:p>
      <w:pPr>
        <w:spacing w:after="0" w:before="120"/>
      </w:pPr>
    </w:p>
    <w:p>
      <w:pPr>
        <w:pStyle w:val="Heading2"/>
        <w:spacing w:after="80" w:before="160"/>
      </w:pPr>
      <w:r>
        <w:rPr>
          <w:rFonts w:ascii="Arial" w:cs="Arial" w:eastAsia="Arial" w:hAnsi="Arial"/>
          <w:b/>
          <w:bCs/>
          <w:color w:val="2E4A7A"/>
          <w:sz w:val="26"/>
          <w:szCs w:val="26"/>
        </w:rPr>
        <w:t xml:space="preserve">3.2  Workflow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62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Data Captured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Step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Company Registration</w:t>
            </w:r>
          </w:p>
        </w:tc>
        <w:tc>
          <w:tcPr>
            <w:tcW w:type="dxa" w:w="6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Legal name, entity type (LLC/Corp/LP/LLP/Trust/Individual), EIN/TIN, DUNS number, registered address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Step 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JOA &amp; Working Interest</w:t>
            </w:r>
          </w:p>
        </w:tc>
        <w:tc>
          <w:tcPr>
            <w:tcW w:type="dxa" w:w="6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JOA reference number, effective date, election period (days), non-consent penalty %, working interest %, NRI %, royalty burden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Step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Financial Setup</w:t>
            </w:r>
          </w:p>
        </w:tc>
        <w:tc>
          <w:tcPr>
            <w:tcW w:type="dxa" w:w="6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Bank name, account/routing numbers, ACH details, W-9 status, tax classification, payment method (ACH/Check), JIB and cash call delivery preferences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Step 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COPAS Compliance</w:t>
            </w:r>
          </w:p>
        </w:tc>
        <w:tc>
          <w:tcPr>
            <w:tcW w:type="dxa" w:w="6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COPAS version (2005 MFI-51 Onshore), overhead rates acknowledgment, audit period (24 months from JIB receipt), dispute resolution terms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Step 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Document Collection</w:t>
            </w:r>
          </w:p>
        </w:tc>
        <w:tc>
          <w:tcPr>
            <w:tcW w:type="dxa" w:w="6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Checklist of required documents: executed JOA, W-9, ACH authorization form, insurance certificates. Track received and verified dates.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Step 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System Access</w:t>
            </w:r>
          </w:p>
        </w:tc>
        <w:tc>
          <w:tcPr>
            <w:tcW w:type="dxa" w:w="6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Portal access level, EDI gateway enablement (JIB 810, CC 820), AFE election portal access, MineralConnect, notification preferences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Step 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Review &amp; Submit</w:t>
            </w:r>
          </w:p>
        </w:tc>
        <w:tc>
          <w:tcPr>
            <w:tcW w:type="dxa" w:w="6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Final review of all prior steps, overall progress percentage display, submission for system activation</w:t>
            </w:r>
          </w:p>
        </w:tc>
      </w:tr>
    </w:tbl>
    <w:p>
      <w:pPr>
        <w:spacing w:after="0" w:before="160"/>
      </w:pPr>
    </w:p>
    <w:p>
      <w:pPr>
        <w:pStyle w:val="Heading2"/>
        <w:spacing w:after="80" w:before="160"/>
      </w:pPr>
      <w:r>
        <w:rPr>
          <w:rFonts w:ascii="Arial" w:cs="Arial" w:eastAsia="Arial" w:hAnsi="Arial"/>
          <w:b/>
          <w:bCs/>
          <w:color w:val="2E4A7A"/>
          <w:sz w:val="26"/>
          <w:szCs w:val="26"/>
        </w:rPr>
        <w:t xml:space="preserve">3.3  Key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2E4A7A" w:val="clear"/>
            <w:tcMar>
              <w:top w:type="dxa" w:w="80"/>
              <w:left w:type="dxa" w:w="160"/>
              <w:bottom w:type="dxa" w:w="80"/>
              <w:right w:type="dxa" w:w="160"/>
            </w:tcMar>
          </w:tcPr>
          <w:p>
            <w:r>
              <w:rPr>
                <w:rFonts w:ascii="Arial" w:cs="Arial" w:eastAsia="Arial" w:hAnsi="Arial"/>
                <w:b/>
                <w:bCs/>
                <w:color w:val="FFFFFF"/>
                <w:sz w:val="20"/>
                <w:szCs w:val="20"/>
              </w:rPr>
              <w:t xml:space="preserve">Business Rules — Partner Onboarding</w:t>
            </w:r>
          </w:p>
        </w:tc>
      </w:tr>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Each partner receives a unique onboarding reference number (e.g., OB-2025-001) upon creation.</w:t>
            </w:r>
          </w:p>
          <w:p>
            <w:pPr>
              <w:spacing w:after="40" w:before="40"/>
            </w:pPr>
            <w:r>
              <w:rPr>
                <w:rFonts w:ascii="Arial" w:cs="Arial" w:eastAsia="Arial" w:hAnsi="Arial"/>
                <w:color w:val="1A1A1A"/>
                <w:sz w:val="20"/>
                <w:szCs w:val="20"/>
              </w:rPr>
              <w:t xml:space="preserve">Steps track progress independently; overall_progress percentage is auto-calculated from step completion.</w:t>
            </w:r>
          </w:p>
          <w:p>
            <w:pPr>
              <w:spacing w:after="40" w:before="40"/>
            </w:pPr>
            <w:r>
              <w:rPr>
                <w:rFonts w:ascii="Arial" w:cs="Arial" w:eastAsia="Arial" w:hAnsi="Arial"/>
                <w:color w:val="1A1A1A"/>
                <w:sz w:val="20"/>
                <w:szCs w:val="20"/>
              </w:rPr>
              <w:t xml:space="preserve">The JOA effective date drives election_period_days, which sets the deadline for AFE election responses.</w:t>
            </w:r>
          </w:p>
          <w:p>
            <w:pPr>
              <w:spacing w:after="40" w:before="40"/>
            </w:pPr>
            <w:r>
              <w:rPr>
                <w:rFonts w:ascii="Arial" w:cs="Arial" w:eastAsia="Arial" w:hAnsi="Arial"/>
                <w:color w:val="1A1A1A"/>
                <w:sz w:val="20"/>
                <w:szCs w:val="20"/>
              </w:rPr>
              <w:t xml:space="preserve">W-9 status must be set to 'received' before the ACH prenote process can be initiated.</w:t>
            </w:r>
          </w:p>
          <w:p>
            <w:pPr>
              <w:spacing w:after="40" w:before="40"/>
            </w:pPr>
            <w:r>
              <w:rPr>
                <w:rFonts w:ascii="Arial" w:cs="Arial" w:eastAsia="Arial" w:hAnsi="Arial"/>
                <w:color w:val="1A1A1A"/>
                <w:sz w:val="20"/>
                <w:szCs w:val="20"/>
              </w:rPr>
              <w:t xml:space="preserve">Document collection tracks compliance status; overdue documents trigger alerts for the managing analyst.</w:t>
            </w:r>
          </w:p>
        </w:tc>
      </w:tr>
    </w:tbl>
    <w:p>
      <w:pPr>
        <w:spacing w:after="0" w:before="160"/>
      </w:pPr>
    </w:p>
    <w:p>
      <w:pPr>
        <w:pStyle w:val="Heading2"/>
        <w:spacing w:after="80" w:before="160"/>
      </w:pPr>
      <w:r>
        <w:rPr>
          <w:rFonts w:ascii="Arial" w:cs="Arial" w:eastAsia="Arial" w:hAnsi="Arial"/>
          <w:b/>
          <w:bCs/>
          <w:color w:val="2E4A7A"/>
          <w:sz w:val="26"/>
          <w:szCs w:val="26"/>
        </w:rPr>
        <w:t xml:space="preserve">3.4  SME Validation Points</w:t>
      </w:r>
    </w:p>
    <w:p>
      <w:pPr>
        <w:pStyle w:val="ListParagraph"/>
        <w:numPr>
          <w:ilvl w:val="0"/>
          <w:numId w:val="2"/>
        </w:numPr>
        <w:spacing w:after="40" w:before="60"/>
      </w:pPr>
      <w:r>
        <w:rPr>
          <w:rFonts w:ascii="Arial" w:cs="Arial" w:eastAsia="Arial" w:hAnsi="Arial"/>
          <w:color w:val="1A1A1A"/>
          <w:sz w:val="20"/>
          <w:szCs w:val="20"/>
        </w:rPr>
        <w:t xml:space="preserve">Verify EIN/TIN format matches IRS records before advancing to Step 3 (Financial Setup).</w:t>
      </w:r>
    </w:p>
    <w:p>
      <w:pPr>
        <w:pStyle w:val="ListParagraph"/>
        <w:numPr>
          <w:ilvl w:val="0"/>
          <w:numId w:val="2"/>
        </w:numPr>
        <w:spacing w:after="40" w:before="40"/>
      </w:pPr>
      <w:r>
        <w:rPr>
          <w:rFonts w:ascii="Arial" w:cs="Arial" w:eastAsia="Arial" w:hAnsi="Arial"/>
          <w:color w:val="1A1A1A"/>
          <w:sz w:val="20"/>
          <w:szCs w:val="20"/>
        </w:rPr>
        <w:t xml:space="preserve">Confirm the JOA reference number matches the executed agreement on file in the document management system.</w:t>
      </w:r>
    </w:p>
    <w:p>
      <w:pPr>
        <w:pStyle w:val="ListParagraph"/>
        <w:numPr>
          <w:ilvl w:val="0"/>
          <w:numId w:val="2"/>
        </w:numPr>
        <w:spacing w:after="40" w:before="40"/>
      </w:pPr>
      <w:r>
        <w:rPr>
          <w:rFonts w:ascii="Arial" w:cs="Arial" w:eastAsia="Arial" w:hAnsi="Arial"/>
          <w:color w:val="1A1A1A"/>
          <w:sz w:val="20"/>
          <w:szCs w:val="20"/>
        </w:rPr>
        <w:t xml:space="preserve">Non-consent penalty (system default: 300%) must match the penalty specified in JOA Article VIII.</w:t>
      </w:r>
    </w:p>
    <w:p>
      <w:pPr>
        <w:pStyle w:val="ListParagraph"/>
        <w:numPr>
          <w:ilvl w:val="0"/>
          <w:numId w:val="2"/>
        </w:numPr>
        <w:spacing w:after="60" w:before="40"/>
      </w:pPr>
      <w:r>
        <w:rPr>
          <w:rFonts w:ascii="Arial" w:cs="Arial" w:eastAsia="Arial" w:hAnsi="Arial"/>
          <w:color w:val="1A1A1A"/>
          <w:sz w:val="20"/>
          <w:szCs w:val="20"/>
        </w:rPr>
        <w:t xml:space="preserve">ACH prenote must be initiated, sent, and confirmed by the bank before the first owner payment can be processed.</w:t>
      </w:r>
    </w:p>
    <w:p>
      <w:pPr>
        <w:spacing w:after="0" w:before="160"/>
      </w:pPr>
    </w:p>
    <w:p>
      <w:r>
        <w:br w:type="page"/>
      </w:r>
    </w:p>
    <w:p>
      <w:pPr>
        <w:pStyle w:val="Heading1"/>
        <w:spacing w:after="120" w:before="240"/>
      </w:pPr>
      <w:r>
        <w:rPr>
          <w:rFonts w:ascii="Arial" w:cs="Arial" w:eastAsia="Arial" w:hAnsi="Arial"/>
          <w:b/>
          <w:bCs/>
          <w:color w:val="1B2A4A"/>
          <w:sz w:val="32"/>
          <w:szCs w:val="32"/>
        </w:rPr>
        <w:t xml:space="preserve">4  Master Data Management (MDM)</w:t>
      </w:r>
    </w:p>
    <w:p>
      <w:pPr>
        <w:pBdr>
          <w:bottom w:val="single" w:color="C9A84C" w:sz="6" w:space="1"/>
        </w:pBdr>
        <w:spacing w:after="0" w:before="0"/>
      </w:pPr>
    </w:p>
    <w:p>
      <w:pPr>
        <w:spacing w:after="0" w:before="120"/>
      </w:pPr>
    </w:p>
    <w:p>
      <w:pPr>
        <w:pStyle w:val="Heading2"/>
        <w:spacing w:after="80" w:before="160"/>
      </w:pPr>
      <w:r>
        <w:rPr>
          <w:rFonts w:ascii="Arial" w:cs="Arial" w:eastAsia="Arial" w:hAnsi="Arial"/>
          <w:b/>
          <w:bCs/>
          <w:color w:val="2E4A7A"/>
          <w:sz w:val="26"/>
          <w:szCs w:val="26"/>
        </w:rPr>
        <w:t xml:space="preserve">4.1  Business Purpose</w:t>
      </w:r>
    </w:p>
    <w:p>
      <w:pPr>
        <w:spacing w:after="80" w:before="80"/>
      </w:pPr>
      <w:r>
        <w:rPr>
          <w:rFonts w:ascii="Arial" w:cs="Arial" w:eastAsia="Arial" w:hAnsi="Arial"/>
          <w:color w:val="1A1A1A"/>
          <w:sz w:val="20"/>
          <w:szCs w:val="20"/>
        </w:rPr>
        <w:t xml:space="preserve">MDM maintains the reference data upon which all operational modules depend. Changes to MDM records propagate downstream: property and well data drive PRA volume allocations, working interest percentages determine JVA cost splits, division orders govern royalty distributions, and price indices control the gross revenue amounts used for tax calculations.</w:t>
      </w:r>
    </w:p>
    <w:p>
      <w:pPr>
        <w:spacing w:after="80" w:before="80"/>
      </w:pPr>
      <w:r>
        <w:rPr>
          <w:rFonts w:ascii="Arial" w:cs="Arial" w:eastAsia="Arial" w:hAnsi="Arial"/>
          <w:color w:val="1A1A1A"/>
          <w:sz w:val="20"/>
          <w:szCs w:val="20"/>
        </w:rPr>
        <w:t xml:space="preserve">Data integrity in MDM is critical — an incorrect working interest percentage or division order decimal will result in incorrect billings, incorrect royalty payments, and potential tax filing errors.</w:t>
      </w:r>
    </w:p>
    <w:p>
      <w:pPr>
        <w:spacing w:after="0" w:before="120"/>
      </w:pPr>
    </w:p>
    <w:p>
      <w:pPr>
        <w:pStyle w:val="Heading2"/>
        <w:spacing w:after="80" w:before="160"/>
      </w:pPr>
      <w:r>
        <w:rPr>
          <w:rFonts w:ascii="Arial" w:cs="Arial" w:eastAsia="Arial" w:hAnsi="Arial"/>
          <w:b/>
          <w:bCs/>
          <w:color w:val="2E4A7A"/>
          <w:sz w:val="26"/>
          <w:szCs w:val="26"/>
        </w:rPr>
        <w:t xml:space="preserve">4.2  Properties &amp; Wells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Property or well name (free text)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Basin</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Geographic basin identifier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Type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OIL, GAS, or NGL — controls which volume unit (BBL/MCF) is used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Effective Date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Date the property record becomes active for operations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JOA Link (joa_id)</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Optional foreign key to onboarding JOA record — nullable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decimal_sum_valid</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System flag: TRUE when all working interests for this property sum to exactly 1.0 (100%)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SME Note: joa_id is nullable — properties can be established and managed independently of an active partner onboarding JOA. This supports operated properties where no active onboarding workflow exists.</w:t>
            </w:r>
          </w:p>
        </w:tc>
      </w:tr>
    </w:tbl>
    <w:p>
      <w:pPr>
        <w:spacing w:after="0" w:before="160"/>
      </w:pPr>
    </w:p>
    <w:p>
      <w:pPr>
        <w:pStyle w:val="Heading2"/>
        <w:spacing w:after="80" w:before="160"/>
      </w:pPr>
      <w:r>
        <w:rPr>
          <w:rFonts w:ascii="Arial" w:cs="Arial" w:eastAsia="Arial" w:hAnsi="Arial"/>
          <w:b/>
          <w:bCs/>
          <w:color w:val="2E4A7A"/>
          <w:sz w:val="26"/>
          <w:szCs w:val="26"/>
        </w:rPr>
        <w:t xml:space="preserve">4.3  Division Orders</w:t>
      </w:r>
    </w:p>
    <w:p>
      <w:pPr>
        <w:spacing w:after="80" w:before="80"/>
      </w:pPr>
      <w:r>
        <w:rPr>
          <w:rFonts w:ascii="Arial" w:cs="Arial" w:eastAsia="Arial" w:hAnsi="Arial"/>
          <w:color w:val="1A1A1A"/>
          <w:sz w:val="20"/>
          <w:szCs w:val="20"/>
        </w:rPr>
        <w:t xml:space="preserve">Division Orders (DOs) define the precise decimal interest each revenue owner holds in a given property and product. The DO record is the authoritative source for royalty distribution calculations in PRA.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Interest Type</w:t>
            </w:r>
          </w:p>
        </w:tc>
        <w:tc>
          <w:tcPr>
            <w:tcW w:type="dxa" w:w="1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6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Royalty Interest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Landowner or mineral rights holder — paid from gross revenue before costs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Overriding Royalty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ORRI</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Contractual royalty carved from the working interest — paid from gross revenue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Working Interest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Cost-bearing interest owner — paid net of royalties and costs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Net Profits Interest</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NPI</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Paid from net profits after deducting specified costs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2E4A7A" w:val="clear"/>
            <w:tcMar>
              <w:top w:type="dxa" w:w="80"/>
              <w:left w:type="dxa" w:w="160"/>
              <w:bottom w:type="dxa" w:w="80"/>
              <w:right w:type="dxa" w:w="160"/>
            </w:tcMar>
          </w:tcPr>
          <w:p>
            <w:r>
              <w:rPr>
                <w:rFonts w:ascii="Arial" w:cs="Arial" w:eastAsia="Arial" w:hAnsi="Arial"/>
                <w:b/>
                <w:bCs/>
                <w:color w:val="FFFFFF"/>
                <w:sz w:val="20"/>
                <w:szCs w:val="20"/>
              </w:rPr>
              <w:t xml:space="preserve">Division Order Integrity Rule</w:t>
            </w:r>
          </w:p>
        </w:tc>
      </w:tr>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CRITICAL RULE: The sum of all decimal_interest values for a given property/product combination must equal exactly 1.000000.</w:t>
            </w:r>
          </w:p>
          <w:p>
            <w:pPr>
              <w:spacing w:after="40" w:before="40"/>
            </w:pPr>
            <w:r>
              <w:rPr>
                <w:rFonts w:ascii="Arial" w:cs="Arial" w:eastAsia="Arial" w:hAnsi="Arial"/>
                <w:color w:val="1A1A1A"/>
                <w:sz w:val="20"/>
                <w:szCs w:val="20"/>
              </w:rPr>
              <w:t xml:space="preserve">Any discrepancy will cause the decimal_sum_valid flag on the parent property to be set to FALSE, blocking royalty calculation runs.</w:t>
            </w:r>
          </w:p>
          <w:p>
            <w:pPr>
              <w:spacing w:after="40" w:before="40"/>
            </w:pPr>
            <w:r>
              <w:rPr>
                <w:rFonts w:ascii="Arial" w:cs="Arial" w:eastAsia="Arial" w:hAnsi="Arial"/>
                <w:color w:val="1A1A1A"/>
                <w:sz w:val="20"/>
                <w:szCs w:val="20"/>
              </w:rPr>
              <w:t xml:space="preserve">Suspended Division Orders automatically divert their allocated revenue to suspense accounts — the owner does not receive payment until the DO is reinstated.</w:t>
            </w:r>
          </w:p>
        </w:tc>
      </w:tr>
    </w:tbl>
    <w:p>
      <w:pPr>
        <w:spacing w:after="0" w:before="160"/>
      </w:pPr>
    </w:p>
    <w:p>
      <w:pPr>
        <w:pStyle w:val="Heading2"/>
        <w:spacing w:after="80" w:before="160"/>
      </w:pPr>
      <w:r>
        <w:rPr>
          <w:rFonts w:ascii="Arial" w:cs="Arial" w:eastAsia="Arial" w:hAnsi="Arial"/>
          <w:b/>
          <w:bCs/>
          <w:color w:val="2E4A7A"/>
          <w:sz w:val="26"/>
          <w:szCs w:val="26"/>
        </w:rPr>
        <w:t xml:space="preserve">4.4  Working Interests</w:t>
      </w:r>
    </w:p>
    <w:p>
      <w:pPr>
        <w:spacing w:after="80" w:before="80"/>
      </w:pPr>
      <w:r>
        <w:rPr>
          <w:rFonts w:ascii="Arial" w:cs="Arial" w:eastAsia="Arial" w:hAnsi="Arial"/>
          <w:color w:val="1A1A1A"/>
          <w:sz w:val="20"/>
          <w:szCs w:val="20"/>
        </w:rPr>
        <w:t xml:space="preserve">A Working Interest record links a non-operator partner to a specific property, establishing their cost-sharing obligation and revenue entitlement.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Gross working interest — defines the partner's proportional share of all operating costs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NRI%</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Net revenue interest — defines the partner's proportional share of revenue after royalties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Royalty Burden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Stored as a decimal (e.g., 0.125 = 12.5%). Do NOT enter with a % symbol. The field is typed as REAL in PostgreSQL.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 Constraint</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Only one WI record per partner/property combination is permitted</w:t>
            </w:r>
          </w:p>
        </w:tc>
      </w:tr>
    </w:tbl>
    <w:p>
      <w:pPr>
        <w:spacing w:after="0" w:before="160"/>
      </w:pPr>
    </w:p>
    <w:p>
      <w:pPr>
        <w:pStyle w:val="Heading2"/>
        <w:spacing w:after="80" w:before="160"/>
      </w:pPr>
      <w:r>
        <w:rPr>
          <w:rFonts w:ascii="Arial" w:cs="Arial" w:eastAsia="Arial" w:hAnsi="Arial"/>
          <w:b/>
          <w:bCs/>
          <w:color w:val="2E4A7A"/>
          <w:sz w:val="26"/>
          <w:szCs w:val="26"/>
        </w:rPr>
        <w:t xml:space="preserve">4.5  AFE Register (MDM)</w:t>
      </w:r>
    </w:p>
    <w:p>
      <w:pPr>
        <w:spacing w:after="80" w:before="80"/>
      </w:pPr>
      <w:r>
        <w:rPr>
          <w:rFonts w:ascii="Arial" w:cs="Arial" w:eastAsia="Arial" w:hAnsi="Arial"/>
          <w:color w:val="1A1A1A"/>
          <w:sz w:val="20"/>
          <w:szCs w:val="20"/>
        </w:rPr>
        <w:t xml:space="preserve">The AFE Register in MDM is the master list of Authorizations for Expenditure. The JVA module references these records when managing elections, JIB line items, and cost tracking.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Allowed Values</w:t>
            </w:r>
          </w:p>
        </w:tc>
        <w:tc>
          <w:tcPr>
            <w:tcW w:type="dxa" w:w="3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AFE Type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drilling, workover, facility, p_and_a</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PostgreSQL CHECK constraint — must use exact values (underscore, lowercase)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Status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open, closed, supplemental_required</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Controls whether new JIB charges can be applied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Budget %</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Calculated field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Actual spend vs. authorized amount — system computed</w:t>
            </w:r>
          </w:p>
        </w:tc>
      </w:tr>
    </w:tbl>
    <w:p>
      <w:pPr>
        <w:spacing w:after="0" w:before="160"/>
      </w:pPr>
    </w:p>
    <w:p>
      <w:pPr>
        <w:pStyle w:val="Heading2"/>
        <w:spacing w:after="80" w:before="160"/>
      </w:pPr>
      <w:r>
        <w:rPr>
          <w:rFonts w:ascii="Arial" w:cs="Arial" w:eastAsia="Arial" w:hAnsi="Arial"/>
          <w:b/>
          <w:bCs/>
          <w:color w:val="2E4A7A"/>
          <w:sz w:val="26"/>
          <w:szCs w:val="26"/>
        </w:rPr>
        <w:t xml:space="preserve">4.6  Marketing Contracts</w:t>
      </w:r>
    </w:p>
    <w:p>
      <w:pPr>
        <w:spacing w:after="80" w:before="80"/>
      </w:pPr>
      <w:r>
        <w:rPr>
          <w:rFonts w:ascii="Arial" w:cs="Arial" w:eastAsia="Arial" w:hAnsi="Arial"/>
          <w:color w:val="1A1A1A"/>
          <w:sz w:val="20"/>
          <w:szCs w:val="20"/>
        </w:rPr>
        <w:t xml:space="preserve">Marketing Contracts link a purchaser to a property and product type, capturing the pricing formula and delivery terms. The Remittance Matching module in PRA uses these contracts as the baseline for comparing COP-calculated revenue against purchaser-reported revenue.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active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Contract is current and used for remittance matching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expiring</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Contract approaching end date — review and renew required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expired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Contract term has ended — no longer used for matching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terminated</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Contract terminated early — removed from active matching</w:t>
            </w:r>
          </w:p>
        </w:tc>
      </w:tr>
    </w:tbl>
    <w:p>
      <w:pPr>
        <w:spacing w:after="0" w:before="160"/>
      </w:pPr>
    </w:p>
    <w:p>
      <w:pPr>
        <w:pStyle w:val="Heading2"/>
        <w:spacing w:after="80" w:before="160"/>
      </w:pPr>
      <w:r>
        <w:rPr>
          <w:rFonts w:ascii="Arial" w:cs="Arial" w:eastAsia="Arial" w:hAnsi="Arial"/>
          <w:b/>
          <w:bCs/>
          <w:color w:val="2E4A7A"/>
          <w:sz w:val="26"/>
          <w:szCs w:val="26"/>
        </w:rPr>
        <w:t xml:space="preserve">4.7  Price Indices</w:t>
      </w:r>
    </w:p>
    <w:p>
      <w:pPr>
        <w:spacing w:after="80" w:before="80"/>
      </w:pPr>
      <w:r>
        <w:rPr>
          <w:rFonts w:ascii="Arial" w:cs="Arial" w:eastAsia="Arial" w:hAnsi="Arial"/>
          <w:color w:val="1A1A1A"/>
          <w:sz w:val="20"/>
          <w:szCs w:val="20"/>
        </w:rPr>
        <w:t xml:space="preserve">Price Indices store the commodity price for each production period, product type, and index name. Prices follow a two-state lifecycle: needs_lock (provisional) and locked (confirmed for calculation).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2E4A7A" w:val="clear"/>
            <w:tcMar>
              <w:top w:type="dxa" w:w="80"/>
              <w:left w:type="dxa" w:w="160"/>
              <w:bottom w:type="dxa" w:w="80"/>
              <w:right w:type="dxa" w:w="160"/>
            </w:tcMar>
          </w:tcPr>
          <w:p>
            <w:r>
              <w:rPr>
                <w:rFonts w:ascii="Arial" w:cs="Arial" w:eastAsia="Arial" w:hAnsi="Arial"/>
                <w:b/>
                <w:bCs/>
                <w:color w:val="FFFFFF"/>
                <w:sz w:val="20"/>
                <w:szCs w:val="20"/>
              </w:rPr>
              <w:t xml:space="preserve">Price Lock Rule</w:t>
            </w:r>
          </w:p>
        </w:tc>
      </w:tr>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Prices MUST be locked before royalty calculations for that period can be finalized.</w:t>
            </w:r>
          </w:p>
          <w:p>
            <w:pPr>
              <w:spacing w:after="40" w:before="40"/>
            </w:pPr>
            <w:r>
              <w:rPr>
                <w:rFonts w:ascii="Arial" w:cs="Arial" w:eastAsia="Arial" w:hAnsi="Arial"/>
                <w:color w:val="1A1A1A"/>
                <w:sz w:val="20"/>
                <w:szCs w:val="20"/>
              </w:rPr>
              <w:t xml:space="preserve">The lock action records the email address of the locking user (locked_by) and the timestamp (locked_at).</w:t>
            </w:r>
          </w:p>
          <w:p>
            <w:pPr>
              <w:spacing w:after="40" w:before="40"/>
            </w:pPr>
            <w:r>
              <w:rPr>
                <w:rFonts w:ascii="Arial" w:cs="Arial" w:eastAsia="Arial" w:hAnsi="Arial"/>
                <w:color w:val="1A1A1A"/>
                <w:sz w:val="20"/>
                <w:szCs w:val="20"/>
              </w:rPr>
              <w:t xml:space="preserve">Once locked, a price record cannot be modified without supervisor-level access and an audit trail entry.</w:t>
            </w:r>
          </w:p>
        </w:tc>
      </w:tr>
    </w:tbl>
    <w:p>
      <w:pPr>
        <w:spacing w:after="0" w:before="160"/>
      </w:pPr>
    </w:p>
    <w:p>
      <w:r>
        <w:br w:type="page"/>
      </w:r>
    </w:p>
    <w:p>
      <w:pPr>
        <w:pStyle w:val="Heading1"/>
        <w:spacing w:after="120" w:before="240"/>
      </w:pPr>
      <w:r>
        <w:rPr>
          <w:rFonts w:ascii="Arial" w:cs="Arial" w:eastAsia="Arial" w:hAnsi="Arial"/>
          <w:b/>
          <w:bCs/>
          <w:color w:val="1B2A4A"/>
          <w:sz w:val="32"/>
          <w:szCs w:val="32"/>
        </w:rPr>
        <w:t xml:space="preserve">5  Revenue &amp; Production Accounting (PRA)</w:t>
      </w:r>
    </w:p>
    <w:p>
      <w:pPr>
        <w:pBdr>
          <w:bottom w:val="single" w:color="C9A84C" w:sz="6" w:space="1"/>
        </w:pBdr>
        <w:spacing w:after="0" w:before="0"/>
      </w:pPr>
    </w:p>
    <w:p>
      <w:pPr>
        <w:spacing w:after="0" w:before="120"/>
      </w:pPr>
    </w:p>
    <w:p>
      <w:pPr>
        <w:pStyle w:val="Heading2"/>
        <w:spacing w:after="80" w:before="160"/>
      </w:pPr>
      <w:r>
        <w:rPr>
          <w:rFonts w:ascii="Arial" w:cs="Arial" w:eastAsia="Arial" w:hAnsi="Arial"/>
          <w:b/>
          <w:bCs/>
          <w:color w:val="2E4A7A"/>
          <w:sz w:val="26"/>
          <w:szCs w:val="26"/>
        </w:rPr>
        <w:t xml:space="preserve">5.1  Business Purpose</w:t>
      </w:r>
    </w:p>
    <w:p>
      <w:pPr>
        <w:spacing w:after="80" w:before="80"/>
      </w:pPr>
      <w:r>
        <w:rPr>
          <w:rFonts w:ascii="Arial" w:cs="Arial" w:eastAsia="Arial" w:hAnsi="Arial"/>
          <w:color w:val="1A1A1A"/>
          <w:sz w:val="20"/>
          <w:szCs w:val="20"/>
        </w:rPr>
        <w:t xml:space="preserve">PRA covers the full revenue cycle from raw production volumes through to owner payments. It encompasses volume measurement and validation, well allocation, gas balancing, pricing, purchaser remittance matching, royalty calculations, suspense account management, and tax reporting. PRA is the largest functional domain in the platform.</w:t>
      </w:r>
    </w:p>
    <w:p>
      <w:pPr>
        <w:spacing w:after="0" w:before="120"/>
      </w:pPr>
    </w:p>
    <w:p>
      <w:pPr>
        <w:pStyle w:val="Heading2"/>
        <w:spacing w:after="80" w:before="160"/>
      </w:pPr>
      <w:r>
        <w:rPr>
          <w:rFonts w:ascii="Arial" w:cs="Arial" w:eastAsia="Arial" w:hAnsi="Arial"/>
          <w:b/>
          <w:bCs/>
          <w:color w:val="2E4A7A"/>
          <w:sz w:val="26"/>
          <w:szCs w:val="26"/>
        </w:rPr>
        <w:t xml:space="preserve">5.2  Volume Capture</w:t>
      </w:r>
    </w:p>
    <w:p>
      <w:pPr>
        <w:spacing w:after="80" w:before="80"/>
      </w:pPr>
      <w:r>
        <w:rPr>
          <w:rFonts w:ascii="Arial" w:cs="Arial" w:eastAsia="Arial" w:hAnsi="Arial"/>
          <w:color w:val="1A1A1A"/>
          <w:sz w:val="20"/>
          <w:szCs w:val="20"/>
        </w:rPr>
        <w:t xml:space="preserve">Production volumes are entered by period (YYYY-MM format). Each record ties to a specific property and captures measured volumes by commodity.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Unit / Values</w:t>
            </w:r>
          </w:p>
        </w:tc>
        <w:tc>
          <w:tcPr>
            <w:tcW w:type="dxa" w:w="46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Oil Volume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BBL (barrels)</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Gross measured volume for the period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Gas Volume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MCF (thousand cubic feet)</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Gross measured volume for the period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NGL Volume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BBL (barrels)</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Natural gas liquids volume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Source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SCADA (default), Manual, Purchaser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SCADA is the standard automated feed source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Status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draft → validated → locked</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Must reach 'locked' before royalty calculation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Volumes MUST be in 'locked' status before royalty calculations for that period can proceed. The period selector displays a rolling 12-month dropdown. The system persists the selected period in STATE.volPeriod across page navigation.</w:t>
            </w:r>
          </w:p>
        </w:tc>
      </w:tr>
    </w:tbl>
    <w:p>
      <w:pPr>
        <w:spacing w:after="0" w:before="160"/>
      </w:pPr>
    </w:p>
    <w:p>
      <w:pPr>
        <w:pStyle w:val="Heading2"/>
        <w:spacing w:after="80" w:before="160"/>
      </w:pPr>
      <w:r>
        <w:rPr>
          <w:rFonts w:ascii="Arial" w:cs="Arial" w:eastAsia="Arial" w:hAnsi="Arial"/>
          <w:b/>
          <w:bCs/>
          <w:color w:val="2E4A7A"/>
          <w:sz w:val="26"/>
          <w:szCs w:val="26"/>
        </w:rPr>
        <w:t xml:space="preserve">5.3  Royalty Calculation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 / Actor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New run created by Analyst. System pulls locked volumes, locked prices, and active division orders.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calculated</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Analyst has reviewed owner amounts and advanced the run to calculated status.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approved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Supervisor has reviewed and approved the run totals. Ready for payment distribution.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distributed</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System has triggered owner payment records. Run is complete and closed.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Business Rule: Only one active (non-distributed) royalty run should exist per production period. Creating a second run for the same period while the first is not yet distributed will trigger a validation warning.</w:t>
            </w:r>
          </w:p>
        </w:tc>
      </w:tr>
    </w:tbl>
    <w:p>
      <w:pPr>
        <w:spacing w:after="0" w:before="160"/>
      </w:pPr>
    </w:p>
    <w:p>
      <w:pPr>
        <w:pStyle w:val="Heading2"/>
        <w:spacing w:after="80" w:before="160"/>
      </w:pPr>
      <w:r>
        <w:rPr>
          <w:rFonts w:ascii="Arial" w:cs="Arial" w:eastAsia="Arial" w:hAnsi="Arial"/>
          <w:b/>
          <w:bCs/>
          <w:color w:val="2E4A7A"/>
          <w:sz w:val="26"/>
          <w:szCs w:val="26"/>
        </w:rPr>
        <w:t xml:space="preserve">5.4  Suspense Accounts</w:t>
      </w:r>
    </w:p>
    <w:p>
      <w:pPr>
        <w:spacing w:after="80" w:before="80"/>
      </w:pPr>
      <w:r>
        <w:rPr>
          <w:rFonts w:ascii="Arial" w:cs="Arial" w:eastAsia="Arial" w:hAnsi="Arial"/>
          <w:color w:val="1A1A1A"/>
          <w:sz w:val="20"/>
          <w:szCs w:val="20"/>
        </w:rPr>
        <w:t xml:space="preserve">Suspense accounts hold revenue that cannot be distributed to an owner due to a data or compliance issue. Each suspense record tracks the hold reason, the amount, and the aging from the hold date.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Hold Reason</w:t>
            </w:r>
          </w:p>
        </w:tc>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 Lifecycle</w:t>
            </w:r>
          </w:p>
        </w:tc>
        <w:tc>
          <w:tcPr>
            <w:tcW w:type="dxa" w:w="4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Escheat Threshold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Missing W-9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active → resolved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TX: 3 years / NM: 3 years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Address Unknown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active → resolved or escheat_risk</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After 365 days in 'active' status, escalates to escheat_risk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Deceased Owner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active → resolved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Requires legal documentation to resolve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Title Dispute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active → resolved</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Requires court order or settlement agreement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Returned Check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active → resolved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Reissue after address verification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Escheat Risk: When a suspense account exceeds 365 days in 'active' status, the system escalates it to 'escheat_risk'. State unclaimed property laws require reporting of these amounts (TX and NM: 3-year holding period before escheat filing is required). The Revenue Accounting SME must confirm state-specific thresholds before go-live.</w:t>
            </w:r>
          </w:p>
        </w:tc>
      </w:tr>
    </w:tbl>
    <w:p>
      <w:pPr>
        <w:spacing w:after="0" w:before="160"/>
      </w:pPr>
    </w:p>
    <w:p>
      <w:pPr>
        <w:pStyle w:val="Heading2"/>
        <w:spacing w:after="80" w:before="160"/>
      </w:pPr>
      <w:r>
        <w:rPr>
          <w:rFonts w:ascii="Arial" w:cs="Arial" w:eastAsia="Arial" w:hAnsi="Arial"/>
          <w:b/>
          <w:bCs/>
          <w:color w:val="2E4A7A"/>
          <w:sz w:val="26"/>
          <w:szCs w:val="26"/>
        </w:rPr>
        <w:t xml:space="preserve">5.5  Check/EFT Run (Owner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Payment Status</w:t>
            </w:r>
          </w:p>
        </w:tc>
        <w:tc>
          <w:tcPr>
            <w:tcW w:type="dxa" w:w="7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pending</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Payment record created from royalty distribution; awaiting processing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sent</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Payment has been sent (ACH transmitted or check mailed)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held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Payment withheld pending owner contact or issue resolution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returned</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ACH return received or check undeliverable — amount returned to suspense</w:t>
            </w:r>
          </w:p>
        </w:tc>
      </w:tr>
    </w:tbl>
    <w:p>
      <w:pPr>
        <w:spacing w:after="0" w:before="160"/>
      </w:pPr>
    </w:p>
    <w:p>
      <w:pPr>
        <w:pStyle w:val="Heading2"/>
        <w:spacing w:after="80" w:before="160"/>
      </w:pPr>
      <w:r>
        <w:rPr>
          <w:rFonts w:ascii="Arial" w:cs="Arial" w:eastAsia="Arial" w:hAnsi="Arial"/>
          <w:b/>
          <w:bCs/>
          <w:color w:val="2E4A7A"/>
          <w:sz w:val="26"/>
          <w:szCs w:val="26"/>
        </w:rPr>
        <w:t xml:space="preserve">5.6  Remittance Matching</w:t>
      </w:r>
    </w:p>
    <w:p>
      <w:pPr>
        <w:spacing w:after="80" w:before="80"/>
      </w:pPr>
      <w:r>
        <w:rPr>
          <w:rFonts w:ascii="Arial" w:cs="Arial" w:eastAsia="Arial" w:hAnsi="Arial"/>
          <w:color w:val="1A1A1A"/>
          <w:sz w:val="20"/>
          <w:szCs w:val="20"/>
        </w:rPr>
        <w:t xml:space="preserve">Remittance Matching compares COP-calculated volumes and prices against purchaser-reported volumes and prices to identify discrepancies before payment is finalized.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Match Status</w:t>
            </w:r>
          </w:p>
        </w:tc>
        <w:tc>
          <w:tcPr>
            <w:tcW w:type="dxa" w:w="7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pending</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Match record created; comparison not yet run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matched</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COP and purchaser volumes/prices agree within variance thresholds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vol_variance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Volume discrepancy exceeds 0.5% threshold — requires analyst review</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price_variance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Price discrepancy exceeds $0.01/unit threshold — requires analyst review</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suspense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Unresolved variance — amount placed in suspense pending resolution</w:t>
            </w:r>
          </w:p>
        </w:tc>
      </w:tr>
    </w:tbl>
    <w:p>
      <w:pPr>
        <w:spacing w:after="0" w:before="160"/>
      </w:pPr>
    </w:p>
    <w:p>
      <w:pPr>
        <w:pStyle w:val="Heading2"/>
        <w:spacing w:after="80" w:before="160"/>
      </w:pPr>
      <w:r>
        <w:rPr>
          <w:rFonts w:ascii="Arial" w:cs="Arial" w:eastAsia="Arial" w:hAnsi="Arial"/>
          <w:b/>
          <w:bCs/>
          <w:color w:val="2E4A7A"/>
          <w:sz w:val="26"/>
          <w:szCs w:val="26"/>
        </w:rPr>
        <w:t xml:space="preserve">5.7  Gas Balancing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Imbalance Type</w:t>
            </w:r>
          </w:p>
        </w:tc>
        <w:tc>
          <w:tcPr>
            <w:tcW w:type="dxa" w:w="7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balanced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Cumulative liftings match entitlement within 5%</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overlift</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Partner has taken more gas than their entitlement — balance sheet liability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underlift</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Partner has taken less gas than their entitlement — balance sheet asset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alert</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Imbalance exceeds 5% threshold — triggers notification and management review</w:t>
            </w:r>
          </w:p>
        </w:tc>
      </w:tr>
    </w:tbl>
    <w:p>
      <w:pPr>
        <w:spacing w:after="0" w:before="80"/>
      </w:pPr>
    </w:p>
    <w:p>
      <w:pPr>
        <w:spacing w:after="80" w:before="80"/>
      </w:pPr>
      <w:r>
        <w:rPr>
          <w:rFonts w:ascii="Arial" w:cs="Arial" w:eastAsia="Arial" w:hAnsi="Arial"/>
          <w:color w:val="1A1A1A"/>
          <w:sz w:val="20"/>
          <w:szCs w:val="20"/>
        </w:rPr>
        <w:t xml:space="preserve">The bs_value (balance sheet value) field is used for statement-of-financial-position reporting and must be confirmed with reservoir engineering for the appropriate pricing basis.</w:t>
      </w:r>
    </w:p>
    <w:p>
      <w:pPr>
        <w:spacing w:after="0" w:before="160"/>
      </w:pPr>
    </w:p>
    <w:p>
      <w:pPr>
        <w:pStyle w:val="Heading2"/>
        <w:spacing w:after="80" w:before="160"/>
      </w:pPr>
      <w:r>
        <w:rPr>
          <w:rFonts w:ascii="Arial" w:cs="Arial" w:eastAsia="Arial" w:hAnsi="Arial"/>
          <w:b/>
          <w:bCs/>
          <w:color w:val="2E4A7A"/>
          <w:sz w:val="26"/>
          <w:szCs w:val="26"/>
        </w:rPr>
        <w:t xml:space="preserve">5.8  Severance Tax</w:t>
      </w:r>
    </w:p>
    <w:p>
      <w:pPr>
        <w:spacing w:after="80" w:before="80"/>
      </w:pPr>
      <w:r>
        <w:rPr>
          <w:rFonts w:ascii="Arial" w:cs="Arial" w:eastAsia="Arial" w:hAnsi="Arial"/>
          <w:color w:val="1A1A1A"/>
          <w:sz w:val="20"/>
          <w:szCs w:val="20"/>
        </w:rPr>
        <w:t xml:space="preserve">Severance tax is a state-level production tax on oil, gas, NGL, and condensate. The platform supports return preparation for ten producing states. Tax amounts auto-calculate as: Gross Value x Tax Rate when the modal is opened.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343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Oil Rate (approx.)</w:t>
            </w:r>
          </w:p>
        </w:tc>
        <w:tc>
          <w:tcPr>
            <w:tcW w:type="dxa" w:w="343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Gas Rate (approx.)</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Texas (TX)</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4.6%</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7.5%</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New Mexico (NM)</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3.75%</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7.5%</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Oklahoma (OK)</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7.0%</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7.0%</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North Dakota (ND)</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5.0%</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Wyoming (WY)</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6.0%</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6.0%</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Colorado (CO)</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2.0%</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Louisiana (LA)</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12.5%</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12.5%</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Pennsylvania (PA)</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Confirm with state</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Confirm with state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West Virginia (WV)</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Confirm with state</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Confirm with state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Montana (MT)</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Confirm with state</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Confirm with state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IMPORTANT: Reference rates shown above are approximate. The Tax &amp; Compliance SME MUST confirm current rates with each state tax authority before the go-live sign-off. Rates are subject to annual legislative changes. Filing due dates vary by state — the standard is the 25th day of the month following the production month.</w:t>
            </w:r>
          </w:p>
        </w:tc>
      </w:tr>
    </w:tbl>
    <w:p>
      <w:pPr>
        <w:spacing w:after="0" w:before="160"/>
      </w:pPr>
    </w:p>
    <w:p>
      <w:pPr>
        <w:pStyle w:val="Heading2"/>
        <w:spacing w:after="80" w:before="160"/>
      </w:pPr>
      <w:r>
        <w:rPr>
          <w:rFonts w:ascii="Arial" w:cs="Arial" w:eastAsia="Arial" w:hAnsi="Arial"/>
          <w:b/>
          <w:bCs/>
          <w:color w:val="2E4A7A"/>
          <w:sz w:val="26"/>
          <w:szCs w:val="26"/>
        </w:rPr>
        <w:t xml:space="preserve">5.9  1099-MISC Reporting</w:t>
      </w:r>
    </w:p>
    <w:p>
      <w:pPr>
        <w:spacing w:after="80" w:before="80"/>
      </w:pPr>
      <w:r>
        <w:rPr>
          <w:rFonts w:ascii="Arial" w:cs="Arial" w:eastAsia="Arial" w:hAnsi="Arial"/>
          <w:color w:val="1A1A1A"/>
          <w:sz w:val="20"/>
          <w:szCs w:val="20"/>
        </w:rPr>
        <w:t xml:space="preserve">The 1099-MISC module generates required IRS information returns for royalty owners and working interest owners who receive payments above the reporting threshold.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1099-MISC Feature</w:t>
            </w:r>
          </w:p>
        </w:tc>
        <w:tc>
          <w:tcPr>
            <w:tcW w:type="dxa" w:w="6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Auto-Generation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'Generate from Payments' function aggregates all 'sent' owner_payments for a tax year with amounts &gt;= $10 into 1099 records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Manual Entry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Individual records can be added via '+ Add 1099 Record' for owners not in the payment system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Box 2 (Royalties)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Primary field for royalty interest payments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Box 7 (WI Income)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For working interest owners receiving operating income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Backup Withholding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24% applied for owners with missing or invalid W-9 on file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IRS Deadline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January 31 — both recipient copies and IRS filing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 System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Electronic filing through IRS FIRE system required when 250 or more returns are filed</w:t>
            </w:r>
          </w:p>
        </w:tc>
      </w:tr>
    </w:tbl>
    <w:p>
      <w:pPr>
        <w:spacing w:after="0" w:before="160"/>
      </w:pPr>
    </w:p>
    <w:p>
      <w:r>
        <w:br w:type="page"/>
      </w:r>
    </w:p>
    <w:p>
      <w:pPr>
        <w:pStyle w:val="Heading1"/>
        <w:spacing w:after="120" w:before="240"/>
      </w:pPr>
      <w:r>
        <w:rPr>
          <w:rFonts w:ascii="Arial" w:cs="Arial" w:eastAsia="Arial" w:hAnsi="Arial"/>
          <w:b/>
          <w:bCs/>
          <w:color w:val="1B2A4A"/>
          <w:sz w:val="32"/>
          <w:szCs w:val="32"/>
        </w:rPr>
        <w:t xml:space="preserve">6  Joint Venture Accounting (JVA)</w:t>
      </w:r>
    </w:p>
    <w:p>
      <w:pPr>
        <w:pBdr>
          <w:bottom w:val="single" w:color="C9A84C" w:sz="6" w:space="1"/>
        </w:pBdr>
        <w:spacing w:after="0" w:before="0"/>
      </w:pPr>
    </w:p>
    <w:p>
      <w:pPr>
        <w:spacing w:after="0" w:before="120"/>
      </w:pPr>
    </w:p>
    <w:p>
      <w:pPr>
        <w:pStyle w:val="Heading2"/>
        <w:spacing w:after="80" w:before="160"/>
      </w:pPr>
      <w:r>
        <w:rPr>
          <w:rFonts w:ascii="Arial" w:cs="Arial" w:eastAsia="Arial" w:hAnsi="Arial"/>
          <w:b/>
          <w:bCs/>
          <w:color w:val="2E4A7A"/>
          <w:sz w:val="26"/>
          <w:szCs w:val="26"/>
        </w:rPr>
        <w:t xml:space="preserve">6.1  Business Purpose</w:t>
      </w:r>
    </w:p>
    <w:p>
      <w:pPr>
        <w:spacing w:after="80" w:before="80"/>
      </w:pPr>
      <w:r>
        <w:rPr>
          <w:rFonts w:ascii="Arial" w:cs="Arial" w:eastAsia="Arial" w:hAnsi="Arial"/>
          <w:color w:val="1A1A1A"/>
          <w:sz w:val="20"/>
          <w:szCs w:val="20"/>
        </w:rPr>
        <w:t xml:space="preserve">JVA manages the financial relationship between ConocoPhillips as operator and the non-operating working interest partners in each joint venture. The primary workflow activities are: authorizing capital and operating expenditures through AFEs, billing non-operators for their proportional share of costs through JIBs, collecting advance funding through cash calls, and managing the COPAS audit and dispute resolution process.</w:t>
      </w:r>
    </w:p>
    <w:p>
      <w:pPr>
        <w:spacing w:after="0" w:before="120"/>
      </w:pPr>
    </w:p>
    <w:p>
      <w:pPr>
        <w:pStyle w:val="Heading2"/>
        <w:spacing w:after="80" w:before="160"/>
      </w:pPr>
      <w:r>
        <w:rPr>
          <w:rFonts w:ascii="Arial" w:cs="Arial" w:eastAsia="Arial" w:hAnsi="Arial"/>
          <w:b/>
          <w:bCs/>
          <w:color w:val="2E4A7A"/>
          <w:sz w:val="26"/>
          <w:szCs w:val="26"/>
        </w:rPr>
        <w:t xml:space="preserve">6.2  AFE Management</w:t>
      </w:r>
    </w:p>
    <w:p>
      <w:pPr>
        <w:spacing w:after="80" w:before="80"/>
      </w:pPr>
      <w:r>
        <w:rPr>
          <w:rFonts w:ascii="Arial" w:cs="Arial" w:eastAsia="Arial" w:hAnsi="Arial"/>
          <w:color w:val="1A1A1A"/>
          <w:sz w:val="20"/>
          <w:szCs w:val="20"/>
        </w:rPr>
        <w:t xml:space="preserve">Authorizations for Expenditure (AFEs) are issued by the operator to obtain non-operator consent and advance funding for significant capital or operating projects.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AFE Type</w:t>
            </w:r>
          </w:p>
        </w:tc>
        <w:tc>
          <w:tcPr>
            <w:tcW w:type="dxa" w:w="3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 Values</w:t>
            </w:r>
          </w:p>
        </w:tc>
        <w:tc>
          <w:tcPr>
            <w:tcW w:type="dxa" w:w="40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drilling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 / closed / supplemental_required</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New well drilling projects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workover</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open / closed / supplemental_required</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Well intervention and remediation work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facility</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 / closed / supplemental_required</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Surface facilities and infrastructure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p_and_a</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open / closed / supplemental_required</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Plugging and abandonment operations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AFE Type values are enforced by a PostgreSQL CHECK constraint. When entering records programmatically or via SQL, you MUST use the exact values: drilling, workover, facility, p_and_a (with underscore, all lowercase). Invalid values will cause a database constraint violation.</w:t>
            </w:r>
          </w:p>
        </w:tc>
      </w:tr>
    </w:tbl>
    <w:p>
      <w:pPr>
        <w:spacing w:after="0" w:before="160"/>
      </w:pPr>
    </w:p>
    <w:p>
      <w:pPr>
        <w:pStyle w:val="Heading2"/>
        <w:spacing w:after="80" w:before="160"/>
      </w:pPr>
      <w:r>
        <w:rPr>
          <w:rFonts w:ascii="Arial" w:cs="Arial" w:eastAsia="Arial" w:hAnsi="Arial"/>
          <w:b/>
          <w:bCs/>
          <w:color w:val="2E4A7A"/>
          <w:sz w:val="26"/>
          <w:szCs w:val="26"/>
        </w:rPr>
        <w:t xml:space="preserve">6.3  NOP Elections</w:t>
      </w:r>
    </w:p>
    <w:p>
      <w:pPr>
        <w:spacing w:after="80" w:before="80"/>
      </w:pPr>
      <w:r>
        <w:rPr>
          <w:rFonts w:ascii="Arial" w:cs="Arial" w:eastAsia="Arial" w:hAnsi="Arial"/>
          <w:color w:val="1A1A1A"/>
          <w:sz w:val="20"/>
          <w:szCs w:val="20"/>
        </w:rPr>
        <w:t xml:space="preserve">When a new AFE is issued, each non-operating partner (NOP) must formally elect to participate in the proposed well or project, or declare non-consent.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Election Response</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Consequence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participate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Partner shares in costs (per WI%) and revenues (per NRI%) for the AFE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non_consent</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Partner is excluded from the AFE costs but subject to a non-consent penalty (default 300%) on their share of the working interest if the well is productive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pending (no response by deadline)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Treated as non-consent per JOA Article VIII — same penalty applies as a voluntary non-consent election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2E4A7A" w:val="clear"/>
            <w:tcMar>
              <w:top w:type="dxa" w:w="80"/>
              <w:left w:type="dxa" w:w="160"/>
              <w:bottom w:type="dxa" w:w="80"/>
              <w:right w:type="dxa" w:w="160"/>
            </w:tcMar>
          </w:tcPr>
          <w:p>
            <w:r>
              <w:rPr>
                <w:rFonts w:ascii="Arial" w:cs="Arial" w:eastAsia="Arial" w:hAnsi="Arial"/>
                <w:b/>
                <w:bCs/>
                <w:color w:val="FFFFFF"/>
                <w:sz w:val="20"/>
                <w:szCs w:val="20"/>
              </w:rPr>
              <w:t xml:space="preserve">Non-Consent Rule</w:t>
            </w:r>
          </w:p>
        </w:tc>
      </w:tr>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Election deadline is calculated as: AFE issued_date + election_period_days (from the JOA, default 30 days).</w:t>
            </w:r>
          </w:p>
          <w:p>
            <w:pPr>
              <w:spacing w:after="40" w:before="40"/>
            </w:pPr>
            <w:r>
              <w:rPr>
                <w:rFonts w:ascii="Arial" w:cs="Arial" w:eastAsia="Arial" w:hAnsi="Arial"/>
                <w:color w:val="1A1A1A"/>
                <w:sz w:val="20"/>
                <w:szCs w:val="20"/>
              </w:rPr>
              <w:t xml:space="preserve">Defaulted elections (no response by deadline) are automatically classified as non_consent per JOA terms.</w:t>
            </w:r>
          </w:p>
          <w:p>
            <w:pPr>
              <w:spacing w:after="40" w:before="40"/>
            </w:pPr>
            <w:r>
              <w:rPr>
                <w:rFonts w:ascii="Arial" w:cs="Arial" w:eastAsia="Arial" w:hAnsi="Arial"/>
                <w:color w:val="1A1A1A"/>
                <w:sz w:val="20"/>
                <w:szCs w:val="20"/>
              </w:rPr>
              <w:t xml:space="preserve">Non-consent penalty of 300% means the consenting parties recover 300% of the non-consenting partner's share of costs before the non-consenter receives any revenue from that well.</w:t>
            </w:r>
          </w:p>
        </w:tc>
      </w:tr>
    </w:tbl>
    <w:p>
      <w:pPr>
        <w:spacing w:after="0" w:before="160"/>
      </w:pPr>
    </w:p>
    <w:p>
      <w:pPr>
        <w:pStyle w:val="Heading2"/>
        <w:spacing w:after="80" w:before="160"/>
      </w:pPr>
      <w:r>
        <w:rPr>
          <w:rFonts w:ascii="Arial" w:cs="Arial" w:eastAsia="Arial" w:hAnsi="Arial"/>
          <w:b/>
          <w:bCs/>
          <w:color w:val="2E4A7A"/>
          <w:sz w:val="26"/>
          <w:szCs w:val="26"/>
        </w:rPr>
        <w:t xml:space="preserve">6.4  JIB Preparation &amp; Billing</w:t>
      </w:r>
    </w:p>
    <w:p>
      <w:pPr>
        <w:spacing w:after="80" w:before="80"/>
      </w:pPr>
      <w:r>
        <w:rPr>
          <w:rFonts w:ascii="Arial" w:cs="Arial" w:eastAsia="Arial" w:hAnsi="Arial"/>
          <w:color w:val="1A1A1A"/>
          <w:sz w:val="20"/>
          <w:szCs w:val="20"/>
        </w:rPr>
        <w:t xml:space="preserve">The Joint Interest Billing (JIB) is the monthly statement issued by ConocoPhillips to non-operator partners detailing their proportional share of all joint account costs.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COPAS Code</w:t>
            </w:r>
          </w:p>
        </w:tc>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56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Direct Labor</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Wages and benefits for employees directly working on joint operations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200</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Materials &amp; Supplies</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Equipment and consumables charged to the joint account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Transportation</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Freight and transportation of materials to location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400</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Services</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Third-party contract services charged to the joint account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Equipment</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Owned or rented equipment costs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600</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Facilities</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Surface facility operating and maintenance costs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700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Taxes</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Property taxes, payroll taxes, and other assessments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800</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Insurance</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Property and liability insurance premiums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900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Overhead (Schedule A)</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COPAS-defined overhead allowance — calculated automatically per Schedule 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2E4A7A" w:val="clear"/>
            <w:tcMar>
              <w:top w:type="dxa" w:w="80"/>
              <w:left w:type="dxa" w:w="160"/>
              <w:bottom w:type="dxa" w:w="80"/>
              <w:right w:type="dxa" w:w="160"/>
            </w:tcMar>
          </w:tcPr>
          <w:p>
            <w:r>
              <w:rPr>
                <w:rFonts w:ascii="Arial" w:cs="Arial" w:eastAsia="Arial" w:hAnsi="Arial"/>
                <w:b/>
                <w:bCs/>
                <w:color w:val="FFFFFF"/>
                <w:sz w:val="20"/>
                <w:szCs w:val="20"/>
              </w:rPr>
              <w:t xml:space="preserve">JIB Processing Rules</w:t>
            </w:r>
          </w:p>
        </w:tc>
      </w:tr>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COPAS Overhead (Code 900) is calculated automatically per Schedule A based on total direct costs.</w:t>
            </w:r>
          </w:p>
          <w:p>
            <w:pPr>
              <w:spacing w:after="40" w:before="40"/>
            </w:pPr>
            <w:r>
              <w:rPr>
                <w:rFonts w:ascii="Arial" w:cs="Arial" w:eastAsia="Arial" w:hAnsi="Arial"/>
                <w:color w:val="1A1A1A"/>
                <w:sz w:val="20"/>
                <w:szCs w:val="20"/>
              </w:rPr>
              <w:t xml:space="preserve">JIB status workflow: draft → issued → partial (partial payment received) → paid → overdue.</w:t>
            </w:r>
          </w:p>
          <w:p>
            <w:pPr>
              <w:spacing w:after="40" w:before="40"/>
            </w:pPr>
            <w:r>
              <w:rPr>
                <w:rFonts w:ascii="Arial" w:cs="Arial" w:eastAsia="Arial" w:hAnsi="Arial"/>
                <w:color w:val="1A1A1A"/>
                <w:sz w:val="20"/>
                <w:szCs w:val="20"/>
              </w:rPr>
              <w:t xml:space="preserve">Overdue JIBs trigger interest accrual per JOA terms and escalation notification to the JV Accounting team.</w:t>
            </w:r>
          </w:p>
        </w:tc>
      </w:tr>
    </w:tbl>
    <w:p>
      <w:pPr>
        <w:spacing w:after="0" w:before="160"/>
      </w:pPr>
    </w:p>
    <w:p>
      <w:pPr>
        <w:pStyle w:val="Heading2"/>
        <w:spacing w:after="80" w:before="160"/>
      </w:pPr>
      <w:r>
        <w:rPr>
          <w:rFonts w:ascii="Arial" w:cs="Arial" w:eastAsia="Arial" w:hAnsi="Arial"/>
          <w:b/>
          <w:bCs/>
          <w:color w:val="2E4A7A"/>
          <w:sz w:val="26"/>
          <w:szCs w:val="26"/>
        </w:rPr>
        <w:t xml:space="preserve">6.5  Cash Calls</w:t>
      </w:r>
    </w:p>
    <w:p>
      <w:pPr>
        <w:spacing w:after="80" w:before="80"/>
      </w:pPr>
      <w:r>
        <w:rPr>
          <w:rFonts w:ascii="Arial" w:cs="Arial" w:eastAsia="Arial" w:hAnsi="Arial"/>
          <w:color w:val="1A1A1A"/>
          <w:sz w:val="20"/>
          <w:szCs w:val="20"/>
        </w:rPr>
        <w:t xml:space="preserve">Cash calls are advance billing notices issued to non-operators for funding of upcoming AFE expenditures. They are typically issued 30 days before the expected expenditure date to ensure timely receipt of funds.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Cash Call Status</w:t>
            </w:r>
          </w:p>
        </w:tc>
        <w:tc>
          <w:tcPr>
            <w:tcW w:type="dxa" w:w="7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issued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Cash call sent to non-operator; awaiting payment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partial</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Partial payment received; remaining balance outstanding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paid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payment received and applied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overdue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Due date passed with no payment — interest accrual begins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default</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Extended non-payment — operator may exercise JOA remedies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Interest Accrual: Outstanding cash calls accrue interest at the Prime Rate + 2% per annum, per JOA Article VII.B. Default provisions allow the operator to exercise remedies including forfeiture of the non-operator's interest after the specified default period. The JV Accounting SME must confirm the exact default period from the applicable JOA.</w:t>
            </w:r>
          </w:p>
        </w:tc>
      </w:tr>
    </w:tbl>
    <w:p>
      <w:pPr>
        <w:spacing w:after="0" w:before="160"/>
      </w:pPr>
    </w:p>
    <w:p>
      <w:pPr>
        <w:pStyle w:val="Heading2"/>
        <w:spacing w:after="80" w:before="160"/>
      </w:pPr>
      <w:r>
        <w:rPr>
          <w:rFonts w:ascii="Arial" w:cs="Arial" w:eastAsia="Arial" w:hAnsi="Arial"/>
          <w:b/>
          <w:bCs/>
          <w:color w:val="2E4A7A"/>
          <w:sz w:val="26"/>
          <w:szCs w:val="26"/>
        </w:rPr>
        <w:t xml:space="preserve">6.6  Receipt Application</w:t>
      </w:r>
    </w:p>
    <w:p>
      <w:pPr>
        <w:spacing w:after="80" w:before="80"/>
      </w:pPr>
      <w:r>
        <w:rPr>
          <w:rFonts w:ascii="Arial" w:cs="Arial" w:eastAsia="Arial" w:hAnsi="Arial"/>
          <w:color w:val="1A1A1A"/>
          <w:sz w:val="20"/>
          <w:szCs w:val="20"/>
        </w:rPr>
        <w:t xml:space="preserve">When a non-operator wire transfer is received, a receipt record is logged and applied to the corresponding cash call. The system tracks partial applications and maintains remaining balance visibility.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Receipt Status</w:t>
            </w:r>
          </w:p>
        </w:tc>
        <w:tc>
          <w:tcPr>
            <w:tcW w:type="dxa" w:w="7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pending</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Receipt logged; not yet applied to a cash call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applied</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Receipt fully applied to the designated cash call — cash call balance cleared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partial</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Receipt partially applied — remaining amount shown on cash call balance</w:t>
            </w:r>
          </w:p>
        </w:tc>
      </w:tr>
    </w:tbl>
    <w:p>
      <w:pPr>
        <w:spacing w:after="0" w:before="160"/>
      </w:pPr>
    </w:p>
    <w:p>
      <w:pPr>
        <w:pStyle w:val="Heading2"/>
        <w:spacing w:after="80" w:before="160"/>
      </w:pPr>
      <w:r>
        <w:rPr>
          <w:rFonts w:ascii="Arial" w:cs="Arial" w:eastAsia="Arial" w:hAnsi="Arial"/>
          <w:b/>
          <w:bCs/>
          <w:color w:val="2E4A7A"/>
          <w:sz w:val="26"/>
          <w:szCs w:val="26"/>
        </w:rPr>
        <w:t xml:space="preserve">6.7  Audit Findings</w:t>
      </w:r>
    </w:p>
    <w:p>
      <w:pPr>
        <w:spacing w:after="80" w:before="80"/>
      </w:pPr>
      <w:r>
        <w:rPr>
          <w:rFonts w:ascii="Arial" w:cs="Arial" w:eastAsia="Arial" w:hAnsi="Arial"/>
          <w:color w:val="1A1A1A"/>
          <w:sz w:val="20"/>
          <w:szCs w:val="20"/>
        </w:rPr>
        <w:t xml:space="preserve">COPAS provides non-operators with a 24-month window from JIB receipt date to audit the joint account charges and raise exceptions. Audit findings must be tracked and responded to within the COPAS-specified timeframes.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Finding Status</w:t>
            </w:r>
          </w:p>
        </w:tc>
        <w:tc>
          <w:tcPr>
            <w:tcW w:type="dxa" w:w="7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Audit exception received from non-operator; under initial review by operator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disputed</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Operator contests the finding; formal response issued to the auditor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resolved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Both parties agree on the finding outcome — no adjustment or agreed adjustment amount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credit_due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Operator acknowledges the exception — credit adjustment to be issued on next JIB</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2E4A7A" w:val="clear"/>
            <w:tcMar>
              <w:top w:type="dxa" w:w="80"/>
              <w:left w:type="dxa" w:w="160"/>
              <w:bottom w:type="dxa" w:w="80"/>
              <w:right w:type="dxa" w:w="160"/>
            </w:tcMar>
          </w:tcPr>
          <w:p>
            <w:r>
              <w:rPr>
                <w:rFonts w:ascii="Arial" w:cs="Arial" w:eastAsia="Arial" w:hAnsi="Arial"/>
                <w:b/>
                <w:bCs/>
                <w:color w:val="FFFFFF"/>
                <w:sz w:val="20"/>
                <w:szCs w:val="20"/>
              </w:rPr>
              <w:t xml:space="preserve">COPAS Audit Compliance Rules</w:t>
            </w:r>
          </w:p>
        </w:tc>
      </w:tr>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Response Deadline: The operator must formally respond to audit exceptions within 60 days of receipt.</w:t>
            </w:r>
          </w:p>
          <w:p>
            <w:pPr>
              <w:spacing w:after="40" w:before="40"/>
            </w:pPr>
            <w:r>
              <w:rPr>
                <w:rFonts w:ascii="Arial" w:cs="Arial" w:eastAsia="Arial" w:hAnsi="Arial"/>
                <w:color w:val="1A1A1A"/>
                <w:sz w:val="20"/>
                <w:szCs w:val="20"/>
              </w:rPr>
              <w:t xml:space="preserve">Time Bar: Findings not raised within 24 months from the JIB receipt date are time-barred and cannot be submitted, per COPAS 2005 MFI-51 Section 5.</w:t>
            </w:r>
          </w:p>
          <w:p>
            <w:pPr>
              <w:spacing w:after="40" w:before="40"/>
            </w:pPr>
            <w:r>
              <w:rPr>
                <w:rFonts w:ascii="Arial" w:cs="Arial" w:eastAsia="Arial" w:hAnsi="Arial"/>
                <w:color w:val="1A1A1A"/>
                <w:sz w:val="20"/>
                <w:szCs w:val="20"/>
              </w:rPr>
              <w:t xml:space="preserve">Unresolved findings should be escalated to the JV Accounting Manager after 45 days to ensure the 60-day response deadline is met.</w:t>
            </w:r>
          </w:p>
        </w:tc>
      </w:tr>
    </w:tbl>
    <w:p>
      <w:pPr>
        <w:spacing w:after="0" w:before="160"/>
      </w:pPr>
    </w:p>
    <w:p>
      <w:pPr>
        <w:pStyle w:val="Heading2"/>
        <w:spacing w:after="80" w:before="160"/>
      </w:pPr>
      <w:r>
        <w:rPr>
          <w:rFonts w:ascii="Arial" w:cs="Arial" w:eastAsia="Arial" w:hAnsi="Arial"/>
          <w:b/>
          <w:bCs/>
          <w:color w:val="2E4A7A"/>
          <w:sz w:val="26"/>
          <w:szCs w:val="26"/>
        </w:rPr>
        <w:t xml:space="preserve">6.8  COPAS Compliance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COPAS Parameter</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Current Setting / Default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COPAS Version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2005 MFI-51 Onshore Standard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Overhead Method</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Fixed Rate per Well (Schedule A) — default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COPAS Escalation Index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2.2% per annum (2025 published index)</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 Period</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24 months from JIB receipt date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Dispute Response Window</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60 days from audit exception receipt</w:t>
            </w:r>
          </w:p>
        </w:tc>
      </w:tr>
    </w:tbl>
    <w:p>
      <w:pPr>
        <w:spacing w:after="0" w:before="160"/>
      </w:pPr>
    </w:p>
    <w:p>
      <w:r>
        <w:br w:type="page"/>
      </w:r>
    </w:p>
    <w:p>
      <w:pPr>
        <w:pStyle w:val="Heading1"/>
        <w:spacing w:after="120" w:before="240"/>
      </w:pPr>
      <w:r>
        <w:rPr>
          <w:rFonts w:ascii="Arial" w:cs="Arial" w:eastAsia="Arial" w:hAnsi="Arial"/>
          <w:b/>
          <w:bCs/>
          <w:color w:val="1B2A4A"/>
          <w:sz w:val="32"/>
          <w:szCs w:val="32"/>
        </w:rPr>
        <w:t xml:space="preserve">7  Known Limitations &amp; Future Enhancements</w:t>
      </w:r>
    </w:p>
    <w:p>
      <w:pPr>
        <w:pBdr>
          <w:bottom w:val="single" w:color="C9A84C" w:sz="6" w:space="1"/>
        </w:pBdr>
        <w:spacing w:after="0" w:before="0"/>
      </w:pPr>
    </w:p>
    <w:p>
      <w:pPr>
        <w:spacing w:after="0" w:before="120"/>
      </w:pPr>
    </w:p>
    <w:p>
      <w:pPr>
        <w:pStyle w:val="Heading2"/>
        <w:spacing w:after="80" w:before="160"/>
      </w:pPr>
      <w:r>
        <w:rPr>
          <w:rFonts w:ascii="Arial" w:cs="Arial" w:eastAsia="Arial" w:hAnsi="Arial"/>
          <w:b/>
          <w:bCs/>
          <w:color w:val="2E4A7A"/>
          <w:sz w:val="26"/>
          <w:szCs w:val="26"/>
        </w:rPr>
        <w:t xml:space="preserve">7.1  Current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68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Current Limitation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Volume Allocation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Well allocation and gas balance pages are read-only dashboards. Write-enabled PRA pages cover the primary volume capture workflow.</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Chart Library</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ChartJS charts are illustrative — data points are static in some dashboard widgets and do not reflect live database records.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Uploads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Document collection in onboarding tracks document metadata only. Actual file storage and retrieval is not yet implemented.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EDI Integration</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JIB 810 and CC 820 EDI delivery preferences are tracked in the system but actual EDI transmission is outside scope for the current release.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Remittance Matching</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matching engine compares records in the database. Actual purchaser remittance statement ingestion is a manual data entry process.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Generation</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 PDF output for JIBs, owner payment statements, or 1099 forms. The platform is a data management system only at this stage.</w:t>
            </w:r>
          </w:p>
        </w:tc>
      </w:tr>
    </w:tbl>
    <w:p>
      <w:pPr>
        <w:spacing w:after="0" w:before="160"/>
      </w:pPr>
    </w:p>
    <w:p>
      <w:pPr>
        <w:pStyle w:val="Heading2"/>
        <w:spacing w:after="80" w:before="160"/>
      </w:pPr>
      <w:r>
        <w:rPr>
          <w:rFonts w:ascii="Arial" w:cs="Arial" w:eastAsia="Arial" w:hAnsi="Arial"/>
          <w:b/>
          <w:bCs/>
          <w:color w:val="2E4A7A"/>
          <w:sz w:val="26"/>
          <w:szCs w:val="26"/>
        </w:rPr>
        <w:t xml:space="preserve">7.2  Recommended Future Enhancements (Sprint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Enhancement</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Business Benefit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Generation for JIBs, Owner Statements, and 1099-MISC</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Eliminates manual formatting and enables direct electronic delivery to non-operators and owners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Blob Storage for Document Management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Provides secure, auditable storage for executed JOAs, W-9s, and insurance certificates — eliminating off-system document management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Automated AFE Election Deadline Reminders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Email reminders to non-operators approaching their election deadline reduce defaulted elections and manual follow-up</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 System Integration</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Automated electronic filing for 250+ 1099 returns eliminates manual IRS FIRE portal submissions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ACH Prenote Integration with Banking APIs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Automated prenote initiation and confirmation replaces manual bank coordination for new owner setup</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Bulk Import/Export for Division Orders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Mass upload capability reduces time-intensive manual data entry for new property acquisitions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 Trail Logging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Complete write operation log for all changes — required for SOX compliance and internal audit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Mobile-Responsive Design</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Field operations access and management review from mobile devices</w:t>
            </w:r>
          </w:p>
        </w:tc>
      </w:tr>
    </w:tbl>
    <w:p>
      <w:pPr>
        <w:spacing w:after="0" w:before="160"/>
      </w:pPr>
    </w:p>
    <w:p>
      <w:r>
        <w:br w:type="page"/>
      </w:r>
    </w:p>
    <w:p>
      <w:pPr>
        <w:pStyle w:val="Heading1"/>
        <w:spacing w:after="120" w:before="240"/>
      </w:pPr>
      <w:r>
        <w:rPr>
          <w:rFonts w:ascii="Arial" w:cs="Arial" w:eastAsia="Arial" w:hAnsi="Arial"/>
          <w:b/>
          <w:bCs/>
          <w:color w:val="1B2A4A"/>
          <w:sz w:val="32"/>
          <w:szCs w:val="32"/>
        </w:rPr>
        <w:t xml:space="preserve">8  Data Administration Guide</w:t>
      </w:r>
    </w:p>
    <w:p>
      <w:pPr>
        <w:pBdr>
          <w:bottom w:val="single" w:color="C9A84C" w:sz="6" w:space="1"/>
        </w:pBdr>
        <w:spacing w:after="0" w:before="0"/>
      </w:pPr>
    </w:p>
    <w:p>
      <w:pPr>
        <w:spacing w:after="0" w:before="120"/>
      </w:pPr>
    </w:p>
    <w:p>
      <w:pPr>
        <w:pStyle w:val="Heading2"/>
        <w:spacing w:after="80" w:before="160"/>
      </w:pPr>
      <w:r>
        <w:rPr>
          <w:rFonts w:ascii="Arial" w:cs="Arial" w:eastAsia="Arial" w:hAnsi="Arial"/>
          <w:b/>
          <w:bCs/>
          <w:color w:val="2E4A7A"/>
          <w:sz w:val="26"/>
          <w:szCs w:val="26"/>
        </w:rPr>
        <w:t xml:space="preserve">8.1  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Value /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Connection String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DATABASE_URL environment variable — set in Azure App Service &gt; Configuration &gt; Application Settings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Connection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postgresql://localhost/copproject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Schema Initialization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Runs automatically on first server start if tables do not exist. DDL source: database/schema.sql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Schema Updates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Run ALTER TABLE or CREATE TABLE SQL statements directly on the Azure PostgreSQL instance for new sprint additions</w:t>
            </w:r>
          </w:p>
        </w:tc>
      </w:tr>
    </w:tbl>
    <w:p>
      <w:pPr>
        <w:spacing w:after="0" w:before="160"/>
      </w:pPr>
    </w:p>
    <w:p>
      <w:pPr>
        <w:pStyle w:val="Heading2"/>
        <w:spacing w:after="80" w:before="160"/>
      </w:pPr>
      <w:r>
        <w:rPr>
          <w:rFonts w:ascii="Arial" w:cs="Arial" w:eastAsia="Arial" w:hAnsi="Arial"/>
          <w:b/>
          <w:bCs/>
          <w:color w:val="2E4A7A"/>
          <w:sz w:val="26"/>
          <w:szCs w:val="26"/>
        </w:rPr>
        <w:t xml:space="preserve">8.2  User Management</w:t>
      </w:r>
    </w:p>
    <w:p>
      <w:pPr>
        <w:spacing w:after="80" w:before="80"/>
      </w:pPr>
      <w:r>
        <w:rPr>
          <w:rFonts w:ascii="Arial" w:cs="Arial" w:eastAsia="Arial" w:hAnsi="Arial"/>
          <w:color w:val="1A1A1A"/>
          <w:sz w:val="20"/>
          <w:szCs w:val="20"/>
        </w:rPr>
        <w:t xml:space="preserve">Administrative users are stored in the auth_users table, which is separate from the partner user_accounts table used for non-operator portal access.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4"/>
              <w:left w:val="single" w:color="2E4A7A" w:sz="4"/>
              <w:bottom w:val="single" w:color="2E4A7A" w:sz="4"/>
              <w:right w:val="single" w:color="2E4A7A" w:sz="4"/>
            </w:tcBorders>
            <w:shd w:fill="2E4A7A" w:val="clear"/>
            <w:tcMar>
              <w:top w:type="dxa" w:w="80"/>
              <w:left w:type="dxa" w:w="160"/>
              <w:bottom w:type="dxa" w:w="80"/>
              <w:right w:type="dxa" w:w="160"/>
            </w:tcMar>
          </w:tcPr>
          <w:p>
            <w:r>
              <w:rPr>
                <w:rFonts w:ascii="Arial" w:cs="Arial" w:eastAsia="Arial" w:hAnsi="Arial"/>
                <w:b/>
                <w:bCs/>
                <w:color w:val="FFFFFF"/>
                <w:sz w:val="20"/>
                <w:szCs w:val="20"/>
              </w:rPr>
              <w:t xml:space="preserve">User Management Commands</w:t>
            </w:r>
          </w:p>
        </w:tc>
      </w:tr>
      <w:tr>
        <w:tc>
          <w:tcPr>
            <w:tcW w:type="dxa" w:w="9360"/>
            <w:tcBorders>
              <w:top w:val="single" w:color="2E4A7A" w:sz="4"/>
              <w:left w:val="single" w:color="2E4A7A" w:sz="4"/>
              <w:bottom w:val="single" w:color="2E4A7A" w:sz="4"/>
              <w:right w:val="single" w:color="2E4A7A" w:sz="4"/>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To reset a user password, update the auth_users table directly:</w:t>
            </w:r>
          </w:p>
          <w:p>
            <w:pPr>
              <w:spacing w:after="40" w:before="40"/>
            </w:pPr>
            <w:r>
              <w:rPr>
                <w:rFonts w:ascii="Arial" w:cs="Arial" w:eastAsia="Arial" w:hAnsi="Arial"/>
                <w:color w:val="1A1A1A"/>
                <w:sz w:val="20"/>
                <w:szCs w:val="20"/>
              </w:rPr>
              <w:t xml:space="preserve">  UPDATE auth_users SET password_hash = '&lt;bcrypt hash&gt;' WHERE email = '&lt;email&gt;';</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To generate a bcrypt hash at the command line:</w:t>
            </w:r>
          </w:p>
          <w:p>
            <w:pPr>
              <w:spacing w:after="40" w:before="40"/>
            </w:pPr>
            <w:r>
              <w:rPr>
                <w:rFonts w:ascii="Arial" w:cs="Arial" w:eastAsia="Arial" w:hAnsi="Arial"/>
                <w:color w:val="1A1A1A"/>
                <w:sz w:val="20"/>
                <w:szCs w:val="20"/>
              </w:rPr>
              <w:t xml:space="preserve">  node -e "const b=require('bcryptjs');console.log(b.hashSync('newpassword',12))"</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DEFAULT ADMIN CREDENTIALS — MUST BE CHANGED IN PRODUCTION:</w:t>
            </w:r>
          </w:p>
          <w:p>
            <w:pPr>
              <w:spacing w:after="40" w:before="40"/>
            </w:pPr>
            <w:r>
              <w:rPr>
                <w:rFonts w:ascii="Arial" w:cs="Arial" w:eastAsia="Arial" w:hAnsi="Arial"/>
                <w:color w:val="1A1A1A"/>
                <w:sz w:val="20"/>
                <w:szCs w:val="20"/>
              </w:rPr>
              <w:t xml:space="preserve">  Email: admin@cop.com  |  Password: admin123</w:t>
            </w:r>
          </w:p>
        </w:tc>
      </w:tr>
    </w:tbl>
    <w:p>
      <w:pPr>
        <w:spacing w:after="0" w:before="160"/>
      </w:pPr>
    </w:p>
    <w:p>
      <w:pPr>
        <w:pStyle w:val="Heading2"/>
        <w:spacing w:after="80" w:before="160"/>
      </w:pPr>
      <w:r>
        <w:rPr>
          <w:rFonts w:ascii="Arial" w:cs="Arial" w:eastAsia="Arial" w:hAnsi="Arial"/>
          <w:b/>
          <w:bCs/>
          <w:color w:val="2E4A7A"/>
          <w:sz w:val="26"/>
          <w:szCs w:val="26"/>
        </w:rPr>
        <w:t xml:space="preserve">8.3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4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DATABASE_URL</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PostgreSQL connection string</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 application will not start without this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JWT_SECRET</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JWT token signing secret</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Required in production — must be a strong random string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PORT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 server port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Defaults to 3000 if not set</w:t>
            </w:r>
          </w:p>
        </w:tc>
      </w:tr>
    </w:tbl>
    <w:p>
      <w:pPr>
        <w:spacing w:after="0" w:before="160"/>
      </w:pPr>
    </w:p>
    <w:p>
      <w:pPr>
        <w:pStyle w:val="Heading2"/>
        <w:spacing w:after="80" w:before="160"/>
      </w:pPr>
      <w:r>
        <w:rPr>
          <w:rFonts w:ascii="Arial" w:cs="Arial" w:eastAsia="Arial" w:hAnsi="Arial"/>
          <w:b/>
          <w:bCs/>
          <w:color w:val="2E4A7A"/>
          <w:sz w:val="26"/>
          <w:szCs w:val="26"/>
        </w:rPr>
        <w:t xml:space="preserve">8.4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6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GitHub Repository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https://github.com/sriman2709/COPProject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App Service Name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cop-upstream-platform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Resource Group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cop-platform-rg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Deployment Command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az webapp deploy --resource-group cop-platform-rg --name cop-upstream-platform --src-path &lt;zipfile&gt; --type zip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CI/CD Pipeline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GitHub Actions workflow triggers on push to main branch — requires AZURE_WEBAPP_PUBLISH_PROFILE secret in GitHub repository settings</w:t>
            </w:r>
          </w:p>
        </w:tc>
      </w:tr>
    </w:tbl>
    <w:p>
      <w:pPr>
        <w:spacing w:after="0" w:before="160"/>
      </w:pPr>
    </w:p>
    <w:p>
      <w:r>
        <w:br w:type="page"/>
      </w:r>
    </w:p>
    <w:p>
      <w:pPr>
        <w:pStyle w:val="Heading1"/>
        <w:spacing w:after="120" w:before="240"/>
      </w:pPr>
      <w:r>
        <w:rPr>
          <w:rFonts w:ascii="Arial" w:cs="Arial" w:eastAsia="Arial" w:hAnsi="Arial"/>
          <w:b/>
          <w:bCs/>
          <w:color w:val="1B2A4A"/>
          <w:sz w:val="32"/>
          <w:szCs w:val="32"/>
        </w:rPr>
        <w:t xml:space="preserve">9  SME Sign-Off Checklist</w:t>
      </w:r>
    </w:p>
    <w:p>
      <w:pPr>
        <w:pBdr>
          <w:bottom w:val="single" w:color="C9A84C" w:sz="6" w:space="1"/>
        </w:pBdr>
        <w:spacing w:after="0" w:before="0"/>
      </w:pPr>
    </w:p>
    <w:p>
      <w:pPr>
        <w:spacing w:after="0" w:before="120"/>
      </w:pPr>
    </w:p>
    <w:p>
      <w:pPr>
        <w:spacing w:after="80" w:before="80"/>
      </w:pPr>
      <w:r>
        <w:rPr>
          <w:rFonts w:ascii="Arial" w:cs="Arial" w:eastAsia="Arial" w:hAnsi="Arial"/>
          <w:color w:val="1A1A1A"/>
          <w:sz w:val="20"/>
          <w:szCs w:val="20"/>
        </w:rPr>
        <w:t xml:space="preserve">Before the COP Upstream Platform is released to production, the following subject matter experts must validate and formally sign off on their respective domains. Each item in the checklist below must be completed, tested, and confirmed. The sign-off table serves as the formal go-live acceptance record.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rPr>
          <w:tblHeader/>
        </w:trPr>
        <w:tc>
          <w:tcPr>
            <w:tcW w:type="dxa" w:w="9360"/>
            <w:gridSpan w:val="3"/>
            <w:tcBorders>
              <w:top w:val="single" w:color="1B2A4A" w:sz="4"/>
              <w:left w:val="single" w:color="1B2A4A" w:sz="4"/>
              <w:bottom w:val="single" w:color="1B2A4A" w:sz="4"/>
              <w:right w:val="single" w:color="1B2A4A" w:sz="4"/>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Operations SME</w:t>
            </w:r>
          </w:p>
        </w:tc>
      </w:tr>
      <w:tr>
        <w:tc>
          <w:tcPr>
            <w:tcW w:type="dxa" w:w="70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Check</w:t>
            </w:r>
          </w:p>
        </w:tc>
        <w:tc>
          <w:tcPr>
            <w:tcW w:type="dxa" w:w="686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Validation Item</w:t>
            </w:r>
          </w:p>
        </w:tc>
        <w:tc>
          <w:tcPr>
            <w:tcW w:type="dxa" w:w="180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Sign-off / Date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Volume capture workflow tested and validated against SCADA data format and field reporting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Well allocation methodology confirmed as matching field operations reporting requirements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Gas balancing imbalance thresholds (5% alert) confirmed with reservoir engineering team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rPr>
          <w:tblHeader/>
        </w:trPr>
        <w:tc>
          <w:tcPr>
            <w:tcW w:type="dxa" w:w="9360"/>
            <w:gridSpan w:val="3"/>
            <w:tcBorders>
              <w:top w:val="single" w:color="1B2A4A" w:sz="4"/>
              <w:left w:val="single" w:color="1B2A4A" w:sz="4"/>
              <w:bottom w:val="single" w:color="1B2A4A" w:sz="4"/>
              <w:right w:val="single" w:color="1B2A4A" w:sz="4"/>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Revenue Accounting SME</w:t>
            </w:r>
          </w:p>
        </w:tc>
      </w:tr>
      <w:tr>
        <w:tc>
          <w:tcPr>
            <w:tcW w:type="dxa" w:w="70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Check</w:t>
            </w:r>
          </w:p>
        </w:tc>
        <w:tc>
          <w:tcPr>
            <w:tcW w:type="dxa" w:w="686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Validation Item</w:t>
            </w:r>
          </w:p>
        </w:tc>
        <w:tc>
          <w:tcPr>
            <w:tcW w:type="dxa" w:w="180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Sign-off / Date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Royalty calculation logic validated against independent manual calculation for a test period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Division order decimal verification process confirmed — sum-to-one validation tested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Suspense account escheat thresholds validated against current state-specific requirements (TX, NM, and all active states)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1099-MISC generation tested against payment data extract — amounts, boxes, and thresholds verified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rPr>
          <w:tblHeader/>
        </w:trPr>
        <w:tc>
          <w:tcPr>
            <w:tcW w:type="dxa" w:w="9360"/>
            <w:gridSpan w:val="3"/>
            <w:tcBorders>
              <w:top w:val="single" w:color="1B2A4A" w:sz="4"/>
              <w:left w:val="single" w:color="1B2A4A" w:sz="4"/>
              <w:bottom w:val="single" w:color="1B2A4A" w:sz="4"/>
              <w:right w:val="single" w:color="1B2A4A" w:sz="4"/>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JV Accounting SME</w:t>
            </w:r>
          </w:p>
        </w:tc>
      </w:tr>
      <w:tr>
        <w:tc>
          <w:tcPr>
            <w:tcW w:type="dxa" w:w="70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Check</w:t>
            </w:r>
          </w:p>
        </w:tc>
        <w:tc>
          <w:tcPr>
            <w:tcW w:type="dxa" w:w="686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Validation Item</w:t>
            </w:r>
          </w:p>
        </w:tc>
        <w:tc>
          <w:tcPr>
            <w:tcW w:type="dxa" w:w="180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Sign-off / Date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COPAS overhead rate schedule confirmed — Schedule A rates entered and validated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AFE election workflow tested end-to-end including deadline calculation and defaulted election handling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JIB line item COPAS codes validated against company chart of accounts and current COPAS 2005 standard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Cash call interest accrual formula confirmed as Prime Rate + 2% per JOA Article VII.B</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Audit finding response workflow tested — 60-day response deadline and time-bar rules validated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rPr>
          <w:tblHeader/>
        </w:trPr>
        <w:tc>
          <w:tcPr>
            <w:tcW w:type="dxa" w:w="9360"/>
            <w:gridSpan w:val="3"/>
            <w:tcBorders>
              <w:top w:val="single" w:color="1B2A4A" w:sz="4"/>
              <w:left w:val="single" w:color="1B2A4A" w:sz="4"/>
              <w:bottom w:val="single" w:color="1B2A4A" w:sz="4"/>
              <w:right w:val="single" w:color="1B2A4A" w:sz="4"/>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Tax &amp; Compliance SME</w:t>
            </w:r>
          </w:p>
        </w:tc>
      </w:tr>
      <w:tr>
        <w:tc>
          <w:tcPr>
            <w:tcW w:type="dxa" w:w="70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Check</w:t>
            </w:r>
          </w:p>
        </w:tc>
        <w:tc>
          <w:tcPr>
            <w:tcW w:type="dxa" w:w="686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Validation Item</w:t>
            </w:r>
          </w:p>
        </w:tc>
        <w:tc>
          <w:tcPr>
            <w:tcW w:type="dxa" w:w="180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Sign-off / Date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Severance tax rates confirmed with state tax authorities for all active producing states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1099-MISC reporting threshold ($10) and backup withholding rate (24%) confirmed with current IRS guidance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FIRE system filing requirements reviewed and 250-return threshold confirmed for current tax year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rPr>
          <w:tblHeader/>
        </w:trPr>
        <w:tc>
          <w:tcPr>
            <w:tcW w:type="dxa" w:w="9360"/>
            <w:gridSpan w:val="3"/>
            <w:tcBorders>
              <w:top w:val="single" w:color="1B2A4A" w:sz="4"/>
              <w:left w:val="single" w:color="1B2A4A" w:sz="4"/>
              <w:bottom w:val="single" w:color="1B2A4A" w:sz="4"/>
              <w:right w:val="single" w:color="1B2A4A" w:sz="4"/>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IT / Security</w:t>
            </w:r>
          </w:p>
        </w:tc>
      </w:tr>
      <w:tr>
        <w:tc>
          <w:tcPr>
            <w:tcW w:type="dxa" w:w="70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Check</w:t>
            </w:r>
          </w:p>
        </w:tc>
        <w:tc>
          <w:tcPr>
            <w:tcW w:type="dxa" w:w="686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Validation Item</w:t>
            </w:r>
          </w:p>
        </w:tc>
        <w:tc>
          <w:tcPr>
            <w:tcW w:type="dxa" w:w="1800"/>
            <w:tcBorders>
              <w:top w:val="single" w:color="1B2A4A" w:sz="4"/>
              <w:left w:val="single" w:color="1B2A4A" w:sz="4"/>
              <w:bottom w:val="single" w:color="1B2A4A" w:sz="4"/>
              <w:right w:val="single" w:color="1B2A4A" w:sz="4"/>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Sign-off / Date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JWT_SECRET rotated from default value — strong random secret set in Azure App Service configuration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Default admin password (admin123) changed to a compliant password for all production admin accounts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Database connection configured with least-privilege user — application user does not have DBA permissions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Unicode MS" w:cs="Arial Unicode MS" w:eastAsia="Arial Unicode MS" w:hAnsi="Arial Unicode MS"/>
                <w:color w:val="1B2A4A"/>
                <w:sz w:val="24"/>
                <w:szCs w:val="24"/>
              </w:rPr>
              <w:t xml:space="preserv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Azure App Service configured for HTTPS-only traffic — HTTP redirect enforced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18"/>
                <w:szCs w:val="18"/>
              </w:rPr>
              <w:t xml:space="preserve">_______________</w:t>
            </w:r>
          </w:p>
        </w:tc>
      </w:tr>
    </w:tbl>
    <w:p>
      <w:pPr>
        <w:spacing w:after="0" w:before="240"/>
      </w:pPr>
    </w:p>
    <w:p>
      <w:pPr>
        <w:pBdr>
          <w:bottom w:val="single" w:color="DDDDDD" w:sz="4" w:space="1"/>
        </w:pBdr>
        <w:spacing w:after="0" w:before="0"/>
      </w:pPr>
    </w:p>
    <w:p>
      <w:pPr>
        <w:spacing w:after="0" w:before="120"/>
      </w:pPr>
    </w:p>
    <w:p>
      <w:pPr>
        <w:spacing w:after="80" w:before="80"/>
        <w:jc w:val="center"/>
      </w:pPr>
      <w:r>
        <w:rPr>
          <w:rFonts w:ascii="Arial" w:cs="Arial" w:eastAsia="Arial" w:hAnsi="Arial"/>
          <w:i/>
          <w:iCs/>
          <w:color w:val="777777"/>
          <w:sz w:val="18"/>
          <w:szCs w:val="18"/>
        </w:rPr>
        <w:t xml:space="preserve">End of Document — COP Upstream Platform SME Handover &amp; User Guide v1.0</w:t>
      </w:r>
    </w:p>
    <w:sectPr>
      <w:headerReference w:type="default" r:id="rId7"/>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spacing w:before="80"/>
    </w:pPr>
    <w:r>
      <w:rPr>
        <w:rFonts w:ascii="Arial" w:cs="Arial" w:eastAsia="Arial" w:hAnsi="Arial"/>
        <w:color w:val="777777"/>
        <w:sz w:val="16"/>
        <w:szCs w:val="16"/>
      </w:rPr>
      <w:t xml:space="preserve">COP Upstream Platform SME Handover Guide  |  v1.0  |  March 2026</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6"/>
      </w:pBdr>
      <w:spacing w:after="80"/>
    </w:pPr>
    <w:r>
      <w:rPr>
        <w:rFonts w:ascii="Arial" w:cs="Arial" w:eastAsia="Arial" w:hAnsi="Arial"/>
        <w:b/>
        <w:bCs/>
        <w:color w:val="1B2A4A"/>
        <w:sz w:val="18"/>
        <w:szCs w:val="18"/>
      </w:rPr>
      <w:t xml:space="preserve">COP Upstream Platform</w:t>
    </w:r>
    <w:r>
      <w:rPr>
        <w:rFonts w:ascii="Arial" w:cs="Arial" w:eastAsia="Arial" w:hAnsi="Arial"/>
        <w:color w:val="777777"/>
        <w:sz w:val="18"/>
        <w:szCs w:val="18"/>
      </w:rPr>
      <w:t xml:space="preserve">   |   SME Handover &amp;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1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2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2026-03-24T21:53:07.532Z</dcterms:created>
  <dcterms:modified xsi:type="dcterms:W3CDTF">2026-03-24T21:53:07.533Z</dcterms:modified>
</cp:coreProperties>
</file>

<file path=docProps/custom.xml><?xml version="1.0" encoding="utf-8"?>
<Properties xmlns="http://schemas.openxmlformats.org/officeDocument/2006/custom-properties" xmlns:vt="http://schemas.openxmlformats.org/officeDocument/2006/docPropsVTypes"/>
</file>