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8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sz w:val="28"/>
        </w:rPr>
        <w:t>Калужский филиал федерального государственного автономного</w:t>
      </w:r>
    </w:p>
    <w:p>
      <w:pPr>
        <w:jc w:val="center"/>
      </w:pPr>
      <w:r>
        <w:rPr>
          <w:sz w:val="28"/>
        </w:rPr>
        <w:t>образовательного учреждения высшего образования</w:t>
      </w:r>
    </w:p>
    <w:p>
      <w:pPr>
        <w:jc w:val="center"/>
      </w:pPr>
      <w:r>
        <w:rPr>
          <w:sz w:val="28"/>
        </w:rPr>
        <w:t>«Московский государственный технический университет</w:t>
      </w:r>
    </w:p>
    <w:p>
      <w:pPr>
        <w:jc w:val="center"/>
      </w:pPr>
      <w:r>
        <w:rPr>
          <w:sz w:val="28"/>
        </w:rPr>
        <w:t>имени Н.Э. Баумана</w:t>
      </w:r>
    </w:p>
    <w:p>
      <w:pPr>
        <w:jc w:val="center"/>
      </w:pPr>
      <w:r>
        <w:rPr>
          <w:sz w:val="28"/>
        </w:rPr>
        <w:t>(национальный исследовательский университет)»</w:t>
      </w:r>
    </w:p>
    <w:p>
      <w:pPr>
        <w:jc w:val="center"/>
      </w:pPr>
      <w:r>
        <w:rPr>
          <w:sz w:val="28"/>
        </w:rPr>
        <w:t>(КФ МГТУ им. Н.Э. Баумана)</w:t>
      </w:r>
    </w:p>
    <w:p/>
    <w:p>
      <w:pPr>
        <w:jc w:val="center"/>
      </w:pPr>
      <w:r>
        <w:rPr>
          <w:sz w:val="28"/>
        </w:rPr>
        <w:t>ФАКУЛЬТЕТ ИУК Информатики и управления</w:t>
      </w:r>
    </w:p>
    <w:p>
      <w:pPr>
        <w:jc w:val="center"/>
      </w:pPr>
      <w:r>
        <w:rPr>
          <w:sz w:val="28"/>
        </w:rPr>
        <w:t>КАФЕДРА ИУК3 Системы автоматического управления</w:t>
      </w:r>
    </w:p>
    <w:p/>
    <w:p/>
    <w:p>
      <w:pPr>
        <w:jc w:val="center"/>
      </w:pPr>
      <w:r>
        <w:rPr>
          <w:b/>
          <w:sz w:val="28"/>
        </w:rPr>
        <w:t>ОТЧЕТ</w:t>
      </w:r>
    </w:p>
    <w:p>
      <w:pPr>
        <w:jc w:val="center"/>
      </w:pPr>
      <w:r>
        <w:rPr>
          <w:b/>
          <w:sz w:val="28"/>
        </w:rPr>
        <w:t>по НАУЧНО-ИССЛЕДОВАТЕЛЬСКОЙ РАБОТЕ</w:t>
      </w:r>
    </w:p>
    <w:p>
      <w:pPr>
        <w:jc w:val="center"/>
      </w:pPr>
      <w:r>
        <w:rPr>
          <w:b/>
          <w:sz w:val="28"/>
        </w:rPr>
        <w:t>НА ТЕМУ:</w:t>
      </w:r>
    </w:p>
    <w:p/>
    <w:p>
      <w:pPr>
        <w:jc w:val="center"/>
      </w:pPr>
      <w:r>
        <w:rPr>
          <w:b/>
          <w:sz w:val="28"/>
        </w:rPr>
        <w:t>Метод управляемого рассуждения при обучении с подкреплением языковых моделей для STEM-репетитора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Студент группы ИУК3-72Б</w:t>
            </w:r>
          </w:p>
        </w:tc>
        <w:tc>
          <w:tcPr>
            <w:tcW w:type="dxa" w:w="3230"/>
          </w:tcPr>
          <w:p/>
        </w:tc>
        <w:tc>
          <w:tcPr>
            <w:tcW w:type="dxa" w:w="3230"/>
          </w:tcPr>
          <w:p>
            <w:r>
              <w:t>М.О. Сухацкий</w:t>
            </w:r>
          </w:p>
        </w:tc>
      </w:tr>
      <w:tr>
        <w:tc>
          <w:tcPr>
            <w:tcW w:type="dxa" w:w="3230"/>
          </w:tcPr>
          <w:p>
            <w:r>
              <w:t>Руководитель НИР</w:t>
            </w:r>
          </w:p>
        </w:tc>
        <w:tc>
          <w:tcPr>
            <w:tcW w:type="dxa" w:w="3230"/>
          </w:tcPr>
          <w:p/>
        </w:tc>
        <w:tc>
          <w:tcPr>
            <w:tcW w:type="dxa" w:w="3230"/>
          </w:tcPr>
          <w:p>
            <w:r>
              <w:t>М.О. Корлякова</w:t>
            </w:r>
          </w:p>
        </w:tc>
      </w:tr>
      <w:tr>
        <w:tc>
          <w:tcPr>
            <w:tcW w:type="dxa" w:w="3230"/>
          </w:tcPr>
          <w:p>
            <w:r>
              <w:t>Оценка руководителя НИР</w:t>
            </w:r>
          </w:p>
        </w:tc>
        <w:tc>
          <w:tcPr>
            <w:tcW w:type="dxa" w:w="3230"/>
          </w:tcPr>
          <w:p/>
        </w:tc>
        <w:tc>
          <w:tcPr>
            <w:tcW w:type="dxa" w:w="3230"/>
          </w:tcPr>
          <w:p/>
        </w:tc>
      </w:tr>
    </w:tbl>
    <w:p/>
    <w:p/>
    <w:p>
      <w:pPr>
        <w:jc w:val="center"/>
      </w:pPr>
      <w:r>
        <w:rPr>
          <w:sz w:val="28"/>
        </w:rPr>
        <w:t>Калуга, 2026</w:t>
      </w:r>
    </w:p>
    <w:p>
      <w:r>
        <w:br w:type="page"/>
      </w:r>
    </w:p>
    <w:p>
      <w:pPr>
        <w:pStyle w:val="Heading1"/>
        <w:jc w:val="left"/>
      </w:pPr>
      <w:r>
        <w:t>ЗАДАНИЕ</w:t>
      </w:r>
    </w:p>
    <w:p>
      <w:pPr>
        <w:spacing w:line="360" w:lineRule="auto"/>
        <w:ind w:firstLine="709"/>
      </w:pPr>
      <w:r>
        <w:t>на научно-исследовательскую работу</w:t>
      </w:r>
    </w:p>
    <w:p>
      <w:pPr>
        <w:spacing w:line="360" w:lineRule="auto"/>
        <w:ind w:firstLine="709"/>
      </w:pPr>
      <w:r>
        <w:t>на тему: Метод управляемого рассуждения при обучении с подкреплением языковых моделей для STEM-репетитора</w:t>
      </w:r>
    </w:p>
    <w:p/>
    <w:p>
      <w:pPr>
        <w:spacing w:line="360" w:lineRule="auto"/>
        <w:ind w:firstLine="0"/>
      </w:pPr>
      <w:r>
        <w:t>Задание:</w:t>
      </w:r>
    </w:p>
    <w:p>
      <w:pPr>
        <w:pStyle w:val="ListBullet"/>
        <w:spacing w:line="360" w:lineRule="auto"/>
      </w:pPr>
      <w:r>
        <w:t>Разработать общую методику проведения исследования; выбрать последовательность и процедуры проведения исследования и обработки их результатов.</w:t>
      </w:r>
    </w:p>
    <w:p>
      <w:pPr>
        <w:pStyle w:val="ListBullet"/>
        <w:spacing w:line="360" w:lineRule="auto"/>
      </w:pPr>
      <w:r>
        <w:t>Изучить основную информацию о методиках применения обучения с подкреплением для языковых моделей, механизмах рассуждения (chain-of-thought) и проблемах сходимости GRPO-обучения thinking-моделей; провести теоретические исследования; подобрать подходящую архитектуру модели; изучить основные техники reward-сигналов и curriculum learning; собрать данные для обучения и тестирования; обработать полученные данные.</w:t>
      </w:r>
    </w:p>
    <w:p>
      <w:pPr>
        <w:pStyle w:val="ListBullet"/>
        <w:spacing w:line="360" w:lineRule="auto"/>
      </w:pPr>
      <w:r>
        <w:t>Обучить модель с использованием предложенного метода управляемого рассуждения и получить метрики качества для сравнения с базовой моделью и альтернативными подходами.</w:t>
      </w:r>
    </w:p>
    <w:p>
      <w:pPr>
        <w:pStyle w:val="ListBullet"/>
        <w:spacing w:line="360" w:lineRule="auto"/>
      </w:pPr>
      <w:r>
        <w:t>Получить рабочую модель с сократическим стилем обучения; провести сравнительный анализ полученной модели и базового варианта; сопоставить результаты эксперимента с теоретическими исследованиями; сделать выводы.</w:t>
      </w:r>
    </w:p>
    <w:p>
      <w:pPr>
        <w:pStyle w:val="ListBullet"/>
        <w:spacing w:line="360" w:lineRule="auto"/>
      </w:pPr>
      <w:r>
        <w:t>Подготовить доклад по материалам выполненных исследований; подготовить тезисы доклада и оформить их в соответствии с установленными требованиями; выступить с докладом на научной конференции.</w:t>
      </w:r>
    </w:p>
    <w:p>
      <w:pPr>
        <w:pStyle w:val="ListBullet"/>
        <w:spacing w:line="360" w:lineRule="auto"/>
      </w:pPr>
      <w:r>
        <w:t>Выбрать периодическое рецензируемое издание, соответствующее выполненным исследованиям и индексируемое в российском индексе научного цитирования; подготовить материалы для научной публикации и оформить их в соответствии с требованиями издания.</w:t>
      </w:r>
    </w:p>
    <w:p>
      <w:r>
        <w:br w:type="page"/>
      </w:r>
    </w:p>
    <w:p>
      <w:pPr>
        <w:pStyle w:val="Heading1"/>
        <w:jc w:val="left"/>
      </w:pPr>
      <w:r>
        <w:t>СОДЕРЖАНИЕ</w:t>
      </w:r>
    </w:p>
    <w:p>
      <w:pPr>
        <w:spacing w:line="360" w:lineRule="auto"/>
      </w:pPr>
      <w:r>
        <w:t>ВВЕДЕНИЕ</w:t>
      </w:r>
    </w:p>
    <w:p>
      <w:pPr>
        <w:spacing w:line="360" w:lineRule="auto"/>
      </w:pPr>
      <w:r>
        <w:t>1. ТЕОРЕТИЧЕСКИЕ ОСНОВЫ ИССЛЕДОВАНИЯ</w:t>
      </w:r>
    </w:p>
    <w:p>
      <w:pPr>
        <w:spacing w:line="360" w:lineRule="auto"/>
      </w:pPr>
      <w:r>
        <w:t xml:space="preserve">  1.1. Механизмы рассуждения в языковых моделях</w:t>
      </w:r>
    </w:p>
    <w:p>
      <w:pPr>
        <w:spacing w:line="360" w:lineRule="auto"/>
      </w:pPr>
      <w:r>
        <w:t xml:space="preserve">  1.2. Обучение с подкреплением на основе групповой политики (GRPO)</w:t>
      </w:r>
    </w:p>
    <w:p>
      <w:pPr>
        <w:spacing w:line="360" w:lineRule="auto"/>
      </w:pPr>
      <w:r>
        <w:t xml:space="preserve">  1.3. Проблема неограниченной генерации при RL-обучении thinking-моделей</w:t>
      </w:r>
    </w:p>
    <w:p>
      <w:pPr>
        <w:spacing w:line="360" w:lineRule="auto"/>
      </w:pPr>
      <w:r>
        <w:t xml:space="preserve">  1.4. Современные методы alignment: KTO и DPO</w:t>
      </w:r>
    </w:p>
    <w:p>
      <w:pPr>
        <w:spacing w:line="360" w:lineRule="auto"/>
      </w:pPr>
      <w:r>
        <w:t>2. МЕТОДОЛОГИЯ ИССЛЕДОВАНИЯ</w:t>
      </w:r>
    </w:p>
    <w:p>
      <w:pPr>
        <w:spacing w:line="360" w:lineRule="auto"/>
      </w:pPr>
      <w:r>
        <w:t xml:space="preserve">  2.1. Формализация задачи и архитектура решения</w:t>
      </w:r>
    </w:p>
    <w:p>
      <w:pPr>
        <w:spacing w:line="360" w:lineRule="auto"/>
      </w:pPr>
      <w:r>
        <w:t xml:space="preserve">  2.2. Компонент 1: ThinkingBudgetProcessor</w:t>
      </w:r>
    </w:p>
    <w:p>
      <w:pPr>
        <w:spacing w:line="360" w:lineRule="auto"/>
      </w:pPr>
      <w:r>
        <w:t xml:space="preserve">  2.3. Компонент 2: Cold-Start SFT</w:t>
      </w:r>
    </w:p>
    <w:p>
      <w:pPr>
        <w:spacing w:line="360" w:lineRule="auto"/>
      </w:pPr>
      <w:r>
        <w:t xml:space="preserve">  2.4. Компонент 3: ReDit-дитеринг наград</w:t>
      </w:r>
    </w:p>
    <w:p>
      <w:pPr>
        <w:spacing w:line="360" w:lineRule="auto"/>
      </w:pPr>
      <w:r>
        <w:t xml:space="preserve">  2.5. Трёхстадийный пайплайн обучения: GSPO → KTO → DPO</w:t>
      </w:r>
    </w:p>
    <w:p>
      <w:pPr>
        <w:spacing w:line="360" w:lineRule="auto"/>
      </w:pPr>
      <w:r>
        <w:t xml:space="preserve">  2.6. Сбор и подготовка обучающих данных</w:t>
      </w:r>
    </w:p>
    <w:p>
      <w:pPr>
        <w:spacing w:line="360" w:lineRule="auto"/>
      </w:pPr>
      <w:r>
        <w:t>3. ЭКСПЕРИМЕНТАЛЬНЫЕ РЕЗУЛЬТАТЫ</w:t>
      </w:r>
    </w:p>
    <w:p>
      <w:pPr>
        <w:spacing w:line="360" w:lineRule="auto"/>
      </w:pPr>
      <w:r>
        <w:t xml:space="preserve">  3.1. Описание бенчмарка и метрик оценки</w:t>
      </w:r>
    </w:p>
    <w:p>
      <w:pPr>
        <w:spacing w:line="360" w:lineRule="auto"/>
      </w:pPr>
      <w:r>
        <w:t xml:space="preserve">  3.2. Базовые результаты Qwen3.5-9B</w:t>
      </w:r>
    </w:p>
    <w:p>
      <w:pPr>
        <w:spacing w:line="360" w:lineRule="auto"/>
      </w:pPr>
      <w:r>
        <w:t xml:space="preserve">  3.3. Сравнение подходов к проблеме thinking-сходимости</w:t>
      </w:r>
    </w:p>
    <w:p>
      <w:pPr>
        <w:spacing w:line="360" w:lineRule="auto"/>
      </w:pPr>
      <w:r>
        <w:t xml:space="preserve">  3.4. Результаты по стадиям обучения</w:t>
      </w:r>
    </w:p>
    <w:p>
      <w:pPr>
        <w:spacing w:line="360" w:lineRule="auto"/>
      </w:pPr>
      <w:r>
        <w:t xml:space="preserve">  3.5. Анализ качественных характеристик ответов</w:t>
      </w:r>
    </w:p>
    <w:p>
      <w:pPr>
        <w:spacing w:line="360" w:lineRule="auto"/>
      </w:pPr>
      <w:r>
        <w:t>ЗАКЛЮЧЕНИЕ</w:t>
      </w:r>
    </w:p>
    <w:p>
      <w:pPr>
        <w:spacing w:line="360" w:lineRule="auto"/>
      </w:pPr>
      <w:r>
        <w:t>СПИСОК ИСПОЛЬЗОВАННЫХ ИСТОЧНИКОВ</w:t>
      </w:r>
    </w:p>
    <w:p>
      <w:pPr>
        <w:spacing w:line="360" w:lineRule="auto"/>
      </w:pPr>
      <w:r>
        <w:t>ПРИЛОЖЕНИЕ А — Реализация ThinkingBudgetProcessor</w:t>
      </w:r>
    </w:p>
    <w:p>
      <w:pPr>
        <w:spacing w:line="360" w:lineRule="auto"/>
      </w:pPr>
      <w:r>
        <w:t>ПРИЛОЖЕНИЕ Б — Конфигурация обучения</w:t>
      </w:r>
    </w:p>
    <w:p>
      <w:r>
        <w:br w:type="page"/>
      </w:r>
    </w:p>
    <w:p>
      <w:pPr>
        <w:pStyle w:val="Heading1"/>
        <w:jc w:val="left"/>
      </w:pPr>
      <w:r>
        <w:t>ВВЕДЕНИЕ</w:t>
      </w:r>
    </w:p>
    <w:p>
      <w:pPr>
        <w:spacing w:line="360" w:lineRule="auto"/>
        <w:ind w:firstLine="709"/>
      </w:pPr>
      <w:r>
        <w:t>В последние годы наблюдается стремительное развитие и повсеместное внедрение больших языковых моделей (Large Language Models, LLM). Особое место среди них занимают модели с режимом рассуждения (thinking mode или reasoning mode), такие как DeepSeek-R1 [1], Qwen3.5 [2] и QwQ. Эти модели способны генерировать промежуточные цепочки рассуждений (chain-of-thought, CoT) в специальных тегах `&lt;think&gt;...&lt;/think&gt;` перед формулировкой окончательного ответа, что существенно повышает качество решения задач, требующих многошагового логического вывода.</w:t>
      </w:r>
    </w:p>
    <w:p>
      <w:pPr>
        <w:spacing w:line="360" w:lineRule="auto"/>
        <w:ind w:firstLine="709"/>
      </w:pPr>
      <w:r>
        <w:t>Для STEM-дисциплин (наука, технологии, инженерия, математика) способность к рассуждению имеет критическое значение, поскольку решение задач этих областей требует последовательности математических преобразований, физических выкладок, химических расчётов и программного кода. Применение таких моделей в образовательном контексте — в качестве интеллектуальных систем обучения (Intelligent Tutoring Systems, ITS) — предъявляет дополнительные требования: модель должна не только решать задачи корректно, но и объяснять ход решения ученику, следуя сократическому методу обучения [4].</w:t>
      </w:r>
    </w:p>
    <w:p>
      <w:pPr>
        <w:spacing w:line="360" w:lineRule="auto"/>
        <w:ind w:firstLine="709"/>
      </w:pPr>
      <w:r>
        <w:t>Для достижения этих требований необходимо домен-специфичное дообучение базовой модели с использованием обучения с подкреплением (RL). Алгоритм Group Relative Policy Optimization (GRPO) [5] и его усовершенствованная версия GSPO (Group Sequence Policy Optimization) [2] являются современными методами RL-обучения для LLM, использующими относительные преимущества внутри группы completions для оценки качества ответов без необходимости отдельной value-network.</w:t>
      </w:r>
    </w:p>
    <w:p>
      <w:pPr>
        <w:spacing w:line="360" w:lineRule="auto"/>
        <w:ind w:firstLine="709"/>
      </w:pPr>
      <w:r>
        <w:t>Однако при применении GRPO/GSPO к моделям с thinking mode возникает критическая проблема: во время rollout-генерации модель может войти в неограниченный цикл рассуждений и не сгенерировать закрывающий токен `&lt;/think&gt;` в пределах бюджета максимальной длины последовательности. Данная проблема документирована в открытых источниках (vLLM issue #15418, open-r1) и приводит к тому, что 100 % сгенерированных completions обрезаются по максимальной длине, не содержат финального ответа и получают нулевую награду. В таких условиях алгоритм GRPO не может вычислить значимые преимущества (advantages), градиент равен нулю, и обучение не сходится.</w:t>
      </w:r>
    </w:p>
    <w:p>
      <w:pPr>
        <w:spacing w:line="360" w:lineRule="auto"/>
        <w:ind w:firstLine="709"/>
      </w:pPr>
      <w:r>
        <w:t>Актуальность данного исследования обусловлена практической необходимостью обучения домен-специфичных thinking-моделей для STEM-образования при отсутствии в открытых источниках готовых методов решения описанной проблемы. Имеющиеся публикации (DeepSeek-R1, DAPO, Dr. GRPO, S-GRPO, Tina, ReDit, DuP-PO, HAPO) рассматривают отдельные аспекты улучшения GRPO, но не предлагают целостной методологии обеспечения сходимости обучения thinking-моделей.</w:t>
      </w:r>
    </w:p>
    <w:p>
      <w:pPr>
        <w:spacing w:line="360" w:lineRule="auto"/>
        <w:ind w:firstLine="709"/>
      </w:pPr>
      <w:r>
        <w:t>Целью настоящей работы является разработка и апробация метода управляемого рассуждения, обеспечивающего сходимость GRPO/GSPO-обучения языковых моделей с thinking mode и позволяющего получить компактную STEM-специализированную тьюторскую модель на основе Qwen3.5-9B.</w:t>
      </w:r>
    </w:p>
    <w:p>
      <w:pPr>
        <w:spacing w:line="360" w:lineRule="auto"/>
        <w:ind w:firstLine="709"/>
      </w:pPr>
      <w:r>
        <w:t>Для достижения поставленной цели сформулированы задачи:</w:t>
      </w:r>
    </w:p>
    <w:p>
      <w:pPr>
        <w:pStyle w:val="ListNumber"/>
        <w:spacing w:line="360" w:lineRule="auto"/>
      </w:pPr>
      <w:r>
        <w:t>Провести анализ существующих методов RL-обучения языковых моделей (GRPO, GSPO, Dr. GRPO, KTO, DPO) и идентифицировать корневую причину несходимости thinking-режима.</w:t>
      </w:r>
    </w:p>
    <w:p>
      <w:pPr>
        <w:pStyle w:val="ListNumber"/>
        <w:spacing w:line="360" w:lineRule="auto"/>
      </w:pPr>
      <w:r>
        <w:t>Разработать компонент ThinkingBudgetProcessor — процессор логитов, обеспечивающий гарантированное завершение фазы рассуждения в пределах заданного бюджета токенов.</w:t>
      </w:r>
    </w:p>
    <w:p>
      <w:pPr>
        <w:pStyle w:val="ListNumber"/>
        <w:spacing w:line="360" w:lineRule="auto"/>
      </w:pPr>
      <w:r>
        <w:t>Предложить стратегию Cold-Start SFT, обеспечивающую ненулевую базовую точность для последующего RL-обучения.</w:t>
      </w:r>
    </w:p>
    <w:p>
      <w:pPr>
        <w:pStyle w:val="ListNumber"/>
        <w:spacing w:line="360" w:lineRule="auto"/>
      </w:pPr>
      <w:r>
        <w:t>Интегрировать ReDit-дитеринг наград для преодоления проблемы нулевой дисперсии преимуществ при разреженной награде.</w:t>
      </w:r>
    </w:p>
    <w:p>
      <w:pPr>
        <w:pStyle w:val="ListNumber"/>
        <w:spacing w:line="360" w:lineRule="auto"/>
      </w:pPr>
      <w:r>
        <w:t>Построить трёхстадийный пайплайн GSPO → KTO → DPO и провести эксперименты на бенчмарке из 3 678 STEM-задач.</w:t>
      </w:r>
    </w:p>
    <w:p>
      <w:pPr>
        <w:pStyle w:val="ListNumber"/>
        <w:spacing w:line="360" w:lineRule="auto"/>
      </w:pPr>
      <w:r>
        <w:t>Сравнить полученные результаты с базовой моделью и альтернативными подходами; подготовить научную публикацию.</w:t>
      </w:r>
    </w:p>
    <w:p>
      <w:pPr>
        <w:spacing w:line="360" w:lineRule="auto"/>
        <w:ind w:firstLine="709"/>
      </w:pPr>
      <w:r>
        <w:t>Научная новизна работы заключается в следующем:</w:t>
      </w:r>
    </w:p>
    <w:p>
      <w:pPr>
        <w:pStyle w:val="ListNumber"/>
        <w:spacing w:line="360" w:lineRule="auto"/>
      </w:pPr>
      <w:r>
        <w:t>Идентифицирована корневая причина несходимости GRPO-обучения thinking-моделей — отсутствие механизма принудительного завершения фазы рассуждения в TRL-генерации.</w:t>
      </w:r>
    </w:p>
    <w:p>
      <w:pPr>
        <w:pStyle w:val="ListNumber"/>
        <w:spacing w:line="360" w:lineRule="auto"/>
      </w:pPr>
      <w:r>
        <w:t>Предложен компонент ThinkingBudgetProcessor в виде LogitsProcessor с двухступенчатым механизмом «soft nudge + hard force», обеспечивающий завершение thinking при сохранении качества решений.</w:t>
      </w:r>
    </w:p>
    <w:p>
      <w:pPr>
        <w:pStyle w:val="ListNumber"/>
        <w:spacing w:line="360" w:lineRule="auto"/>
      </w:pPr>
      <w:r>
        <w:t>Предложена комбинация ThinkingBudgetProcessor + Cold-Start SFT + ReDit-дитеринг как целостная методология, устраняющая три ключевых барьера сходимости GSPO-обучения.</w:t>
      </w:r>
    </w:p>
    <w:p>
      <w:pPr>
        <w:spacing w:line="360" w:lineRule="auto"/>
        <w:ind w:firstLine="709"/>
      </w:pPr>
      <w:r>
        <w:t>Практическая значимость работы состоит в получении специализированной STEM-модели Qwen3.5-9B, превосходящей базовую версию на 11,4 процентных пункта на бенчмарке из 3 678 задач по 5 дисциплинам, с наибольшим приростом в биологии (+14,4 п.п.) и информатике (+12,1 п.п.), пригодной для интеграции в интеллектуальную тьюторскую систему для русскоязычных учеников 7–11 классов.</w:t>
      </w:r>
    </w:p>
    <w:p>
      <w:r>
        <w:br w:type="page"/>
      </w:r>
    </w:p>
    <w:p>
      <w:pPr>
        <w:pStyle w:val="Heading1"/>
        <w:jc w:val="left"/>
      </w:pPr>
      <w:r>
        <w:t>1. ТЕОРЕТИЧЕСКИЕ ОСНОВЫ ИССЛЕДОВАНИЯ</w:t>
      </w:r>
    </w:p>
    <w:p>
      <w:pPr>
        <w:pStyle w:val="Heading2"/>
        <w:jc w:val="left"/>
      </w:pPr>
      <w:r>
        <w:t>1.1. Механизмы рассуждения в языковых моделях</w:t>
      </w:r>
    </w:p>
    <w:p>
      <w:pPr>
        <w:spacing w:line="360" w:lineRule="auto"/>
        <w:ind w:firstLine="709"/>
      </w:pPr>
      <w:r>
        <w:t>Chain-of-Thought (CoT) prompting, предложенный Wei et al. в 2022 году [3], стал прорывным техническим приёмом, существенно повысившим качество решения LLM математических, логических и символических задач. Суть метода состоит в том, что модель пошагово генерирует промежуточные рассуждения перед формулировкой окончательного ответа. Это позволяет декомпозировать сложные задачи на более простые подзадачи и использовать расширенный контекст для окончательного принятия решения.</w:t>
      </w:r>
    </w:p>
    <w:p>
      <w:pPr>
        <w:spacing w:line="360" w:lineRule="auto"/>
        <w:ind w:firstLine="709"/>
      </w:pPr>
      <w:r>
        <w:t>Первоначальный подход CoT был prompt-based: специальные инструкции в системном промпте побуждали модель генерировать рассуждения. С появлением моделей семейства DeepSeek-R1 [1], QwQ и Qwen3.5 [2] возник новый класс моделей — thinking-модели, в которых механизм рассуждения интегрирован архитектурно через специальные токены-делимитеры `&lt;think&gt;` и `&lt;/think&gt;`. В зависимости от значения параметра `enable_thinking` в chat template модель может либо включать thinking-блок (расширенное рассуждение), либо сразу формулировать ответ.</w:t>
      </w:r>
    </w:p>
    <w:p>
      <w:pPr>
        <w:spacing w:line="360" w:lineRule="auto"/>
        <w:ind w:firstLine="709"/>
      </w:pPr>
      <w:r>
        <w:t>Thinking-модели демонстрируют значительное превосходство над своими non-thinking аналогами на задачах, требующих многоступенчатого вывода. DeepSeek-R1, например, достигает результатов, сопоставимых с OpenAI o1, на математических бенчмарках AIME и MATH. Однако при дообучении таких моделей для конкретных доменов возникают новые технические вызовы, не характерные для non-thinking моделей.</w:t>
      </w:r>
    </w:p>
    <w:p>
      <w:pPr>
        <w:pStyle w:val="Heading2"/>
        <w:jc w:val="left"/>
      </w:pPr>
      <w:r>
        <w:t>1.2. Обучение с подкреплением на основе групповой политики (GRPO)</w:t>
      </w:r>
    </w:p>
    <w:p>
      <w:pPr>
        <w:spacing w:line="360" w:lineRule="auto"/>
        <w:ind w:firstLine="709"/>
      </w:pPr>
      <w:r>
        <w:t>Group Relative Policy Optimization (GRPO) [5] — современный алгоритм RL-обучения языковых моделей, представленный компанией DeepSeek в работе DeepSeekMath. В отличие от PPO, GRPO не требует отдельной value-network (critic): для каждого prompt генерируется группа из G completions, и преимущества (advantages) вычисляются как нормированные отклонения награды от среднего по группе:</w:t>
      </w:r>
    </w:p>
    <w:p>
      <w:pPr>
        <w:spacing w:line="360" w:lineRule="auto"/>
        <w:ind w:firstLine="1134"/>
      </w:pPr>
      <w:r>
        <w:t>A_i = (r_i − mean(r)) / std(r)</w:t>
      </w:r>
    </w:p>
    <w:p>
      <w:pPr>
        <w:spacing w:line="360" w:lineRule="auto"/>
        <w:ind w:firstLine="709"/>
      </w:pPr>
      <w:r>
        <w:t>Это позволяет значительно сократить вычислительные затраты и устранить необходимость обучать вторую модель-critic. Группы обычно содержат G = 8–16 completions, что даёт достаточную статистику для оценки относительного качества.</w:t>
      </w:r>
    </w:p>
    <w:p>
      <w:pPr>
        <w:spacing w:line="360" w:lineRule="auto"/>
        <w:ind w:firstLine="709"/>
      </w:pPr>
      <w:r>
        <w:t>GRPO имеет несколько важных модификаций. Dr. GRPO [7] предлагает использовать константную нормировку длины (constant length normalization) вместо стандартной, что устраняет смещение в пользу более коротких completions. GSPO (Group Sequence Policy Optimization) [2], развиваемое командой Qwen, переносит importance sampling на уровень последовательности (а не токена), что даёт более стабильный сигнал при обучении длинных генераций.</w:t>
      </w:r>
    </w:p>
    <w:p>
      <w:pPr>
        <w:spacing w:line="360" w:lineRule="auto"/>
        <w:ind w:firstLine="709"/>
      </w:pPr>
      <w:r>
        <w:t>Ключевая проблема GRPO-обучения — разреженность наград. Если все G completions в группе получают одинаковую нулевую награду, то std(r) = 0, все advantages = 0, и градиент также нулевой. Это приводит к застою обучения.</w:t>
      </w:r>
    </w:p>
    <w:p>
      <w:pPr>
        <w:pStyle w:val="Heading2"/>
        <w:jc w:val="left"/>
      </w:pPr>
      <w:r>
        <w:t>1.3. Проблема неограниченной генерации при RL-обучении thinking-моделей</w:t>
      </w:r>
    </w:p>
    <w:p>
      <w:pPr>
        <w:spacing w:line="360" w:lineRule="auto"/>
        <w:ind w:firstLine="709"/>
      </w:pPr>
      <w:r>
        <w:t>При применении GRPO к моделям с thinking mode возникает специфическая проблема, не наблюдаемая для non-thinking моделей. Во время rollout-генерации модель входит в неограниченный цикл рассуждений и не генерирует закрывающий токен `&lt;/think&gt;` в пределах установленного лимита max_completion_length.</w:t>
      </w:r>
    </w:p>
    <w:p>
      <w:pPr>
        <w:spacing w:line="360" w:lineRule="auto"/>
        <w:ind w:firstLine="709"/>
      </w:pPr>
      <w:r>
        <w:t>Причина лежит в специфике обучения thinking-моделей: они обучались генерировать `&lt;/think&gt;` как «естественный» сигнал завершения рассуждения, основанный на внутренней уверенности в найденном решении. При RL-обучении на сложных задачах уверенность не достигается в пределах бюджета токенов, и модель продолжает рассуждать бесконечно, пока не сработает жёсткое ограничение по длине.</w:t>
      </w:r>
    </w:p>
    <w:p>
      <w:pPr>
        <w:spacing w:line="360" w:lineRule="auto"/>
        <w:ind w:firstLine="709"/>
      </w:pPr>
      <w:r>
        <w:t>Последствия для GRPO критичны: 100 % completions обрезаются без формулировки ответа и получают нулевую награду. Обратная связь для обучения отсутствует, и алгоритм не может продвигаться. Данная проблема документирована в open-source проектах (vLLM issue #15418, TRL issue #2801, open-r1), но общее решение в открытом доступе отсутствовало на момент начала исследования.</w:t>
      </w:r>
    </w:p>
    <w:p>
      <w:pPr>
        <w:pStyle w:val="Heading2"/>
        <w:jc w:val="left"/>
      </w:pPr>
      <w:r>
        <w:t>1.4. Современные методы alignment: KTO и DPO</w:t>
      </w:r>
    </w:p>
    <w:p>
      <w:pPr>
        <w:spacing w:line="360" w:lineRule="auto"/>
        <w:ind w:firstLine="709"/>
      </w:pPr>
      <w:r>
        <w:t>После RL-стадии (GRPO/GSPO) для полировки модели применяются методы на основе предпочтений — Kahneman-Tversky Optimization (KTO) [9] и Direct Preference Optimization (DPO) [10].</w:t>
      </w:r>
    </w:p>
    <w:p>
      <w:pPr>
        <w:spacing w:line="360" w:lineRule="auto"/>
        <w:ind w:firstLine="709"/>
      </w:pPr>
      <w:r>
        <w:t>DPO устанавливает прямую связь между парами предпочтений (выбранный ответ y⁺ и отвергнутый ответ y⁻) и градиентом обновления политики, минуя этап обучения reward-модели. Функция потерь DPO имеет вид:</w:t>
      </w:r>
    </w:p>
    <w:p>
      <w:pPr>
        <w:spacing w:line="360" w:lineRule="auto"/>
        <w:ind w:firstLine="1134"/>
      </w:pPr>
      <w:r>
        <w:t>L_DPO = −log σ(β·(log π(y⁺|x)/π_ref(y⁺|x) − log π(y⁻|x)/π_ref(y⁻|x)))</w:t>
      </w:r>
    </w:p>
    <w:p>
      <w:pPr>
        <w:spacing w:line="360" w:lineRule="auto"/>
        <w:ind w:firstLine="709"/>
      </w:pPr>
      <w:r>
        <w:t>KTO предлагает альтернативный подход, основанный на проспективной теории Канемана-Тверски: вместо пар (y⁺, y⁻) используются отдельные примеры с бинарной меткой (desirable / undesirable). Функция потерь KTO использует ассимметричную функцию ценности с точкой отсчёта, что лучше соответствует эмпирически наблюдаемому человеческому принятию решений.</w:t>
      </w:r>
    </w:p>
    <w:p>
      <w:pPr>
        <w:spacing w:line="360" w:lineRule="auto"/>
        <w:ind w:firstLine="709"/>
      </w:pPr>
      <w:r>
        <w:t>В контексте сократического STEM-тьютора KTO особенно эффективна для alignment по стилю объяснения: мы можем собрать большое количество примеров «сократических» ответов (с наводящими вопросами) и «прямых» ответов (с выдачей готового решения), без необходимости строить явные пары.</w:t>
      </w:r>
    </w:p>
    <w:p>
      <w:r>
        <w:br w:type="page"/>
      </w:r>
    </w:p>
    <w:p>
      <w:pPr>
        <w:pStyle w:val="Heading1"/>
        <w:jc w:val="left"/>
      </w:pPr>
      <w:r>
        <w:t>2. МЕТОДОЛОГИЯ ИССЛЕДОВАНИЯ</w:t>
      </w:r>
    </w:p>
    <w:p>
      <w:pPr>
        <w:pStyle w:val="Heading2"/>
        <w:jc w:val="left"/>
      </w:pPr>
      <w:r>
        <w:t>2.1. Формализация задачи и архитектура решения</w:t>
      </w:r>
    </w:p>
    <w:p>
      <w:pPr>
        <w:spacing w:line="360" w:lineRule="auto"/>
        <w:ind w:firstLine="709"/>
      </w:pPr>
      <w:r>
        <w:t>Задача исследования формализуется следующим образом. Дана базовая thinking-модель M₀ (Qwen3.5-9B с enable_thinking support) и обучающий набор STEM-задач D = {(x_i, y_i*)}_i=1^N с верифицируемыми правильными ответами y_i*. Требуется построить дообученную модель M*, максимизирующую ожидаемую награду:</w:t>
      </w:r>
    </w:p>
    <w:p>
      <w:pPr>
        <w:spacing w:line="360" w:lineRule="auto"/>
        <w:ind w:firstLine="1134"/>
      </w:pPr>
      <w:r>
        <w:t>M* = argmax E_{(x,y*) ∼ D} [r(M(x), y*)]</w:t>
      </w:r>
    </w:p>
    <w:p>
      <w:pPr>
        <w:spacing w:line="360" w:lineRule="auto"/>
        <w:ind w:firstLine="709"/>
      </w:pPr>
      <w:r>
        <w:t>где r — верифицируемая функция награды (SymPy-проверка для математики, ChemPy для химии, regex для физики, exact match для информатики и биологии). Дополнительное ограничение — Сохранение сократического стиля объяснений, измеряемое отдельным качественным показателем Socratic score [0, 1].</w:t>
      </w:r>
    </w:p>
    <w:p>
      <w:pPr>
        <w:spacing w:line="360" w:lineRule="auto"/>
        <w:ind w:firstLine="709"/>
      </w:pPr>
      <w:r>
        <w:t>Предлагаемая архитектура решения состоит из трёх взаимодополняющих компонентов, каждый из которых решает конкретный барьер сходимости RL-обучения:</w:t>
      </w:r>
    </w:p>
    <w:p>
      <w:pPr>
        <w:pStyle w:val="ListBullet"/>
        <w:spacing w:line="360" w:lineRule="auto"/>
      </w:pPr>
      <w:r>
        <w:t>ThinkingBudgetProcessor — устраняет проблему неограниченной генерации thinking-блоков через контролируемое завершение.</w:t>
      </w:r>
    </w:p>
    <w:p>
      <w:pPr>
        <w:pStyle w:val="ListBullet"/>
        <w:spacing w:line="360" w:lineRule="auto"/>
      </w:pPr>
      <w:r>
        <w:t>Cold-Start SFT — обеспечивает ненулевую базовую точность перед RL-обучением через короткое supervised дообучение.</w:t>
      </w:r>
    </w:p>
    <w:p>
      <w:pPr>
        <w:pStyle w:val="ListBullet"/>
        <w:spacing w:line="360" w:lineRule="auto"/>
      </w:pPr>
      <w:r>
        <w:t>ReDit-дитеринг наград — преодолевает проблему нулевой дисперсии преимуществ через гауссов шум на бинарных наградах.</w:t>
      </w:r>
    </w:p>
    <w:p>
      <w:pPr>
        <w:spacing w:line="360" w:lineRule="auto"/>
        <w:ind w:firstLine="709"/>
      </w:pPr>
      <w:r>
        <w:t>Эти три компонента применяются на Стадии 1 (GSPO). Далее, для полировки модели по стилю ответов используется последовательность KTO (Стадия 2) и DPO (Стадия 3).</w:t>
      </w:r>
    </w:p>
    <w:p>
      <w:pPr>
        <w:pStyle w:val="Heading2"/>
        <w:jc w:val="left"/>
      </w:pPr>
      <w:r>
        <w:t>2.2. Компонент 1: ThinkingBudgetProcessor</w:t>
      </w:r>
    </w:p>
    <w:p>
      <w:pPr>
        <w:spacing w:line="360" w:lineRule="auto"/>
        <w:ind w:firstLine="709"/>
      </w:pPr>
      <w:r>
        <w:t>ThinkingBudgetProcessor — процессор логитов, реализуемый как подкласс `transformers.LogitsProcessor`. Он интегрируется в процесс генерации токенов через `generation_config.logits_processor` и применяется к каждому токену в батче после вычисления логитов, но до операции softmax для выбора следующего токена.</w:t>
      </w:r>
    </w:p>
    <w:p>
      <w:pPr>
        <w:spacing w:line="360" w:lineRule="auto"/>
        <w:ind w:firstLine="709"/>
      </w:pPr>
      <w:r>
        <w:t>Процессор ведёт счёт токенов рассуждения для каждой последовательности в батче. При достижении заданной доли бюджета (SOFT_RATIO = 0,90, что для THINKING_BUDGET = 1500 соответствует 1350 токенам) процессор усиливает логит токена `&lt;/think&gt;` на константу +5,0, создавая «soft nudge» — мягкое подталкивание модели к завершению рассуждения.</w:t>
      </w:r>
    </w:p>
    <w:p>
      <w:pPr>
        <w:spacing w:line="360" w:lineRule="auto"/>
        <w:ind w:firstLine="709"/>
      </w:pPr>
      <w:r>
        <w:t>При полном исчерпании бюджета (1500 токенов) процессор устанавливает все логиты, кроме токена `&lt;/think&gt;`, в −∞, принудительно заставляя модель сгенерировать закрывающий токен на следующем шаге (hard force). После завершения thinking-фазы процессор переключается в пассивный режим и не влияет на дальнейшую генерацию ответа.</w:t>
      </w:r>
    </w:p>
    <w:p>
      <w:pPr>
        <w:spacing w:line="360" w:lineRule="auto"/>
        <w:ind w:firstLine="709"/>
      </w:pPr>
      <w:r>
        <w:t>Двухступенчатый подход «soft nudge + hard force» важен по двум причинам. Во-первых, soft nudge в зоне 1350–1500 токенов позволяет модели естественно завершить рассуждение вблизи границы бюджета, сохраняя качество решения. Во-вторых, hard force на 1500 токенов обеспечивает жёсткую гарантию завершения даже в случаях, когда модель «упорно» продолжает рассуждать.</w:t>
      </w:r>
    </w:p>
    <w:p>
      <w:pPr>
        <w:spacing w:line="360" w:lineRule="auto"/>
        <w:ind w:firstLine="709"/>
      </w:pPr>
      <w:r>
        <w:t>Важная техническая деталь реализации — корректная работа в батче. Процессор хранит отдельный счётчик токенов рассуждения для каждой последовательности в батче, и применяет соответствующий режим (soft / hard / off) индивидуально. Это критично для GRPO, где G completions генерируются параллельно в одном батче.</w:t>
      </w:r>
    </w:p>
    <w:p>
      <w:pPr>
        <w:pStyle w:val="Heading2"/>
        <w:jc w:val="left"/>
      </w:pPr>
      <w:r>
        <w:t>2.3. Компонент 2: Cold-Start SFT</w:t>
      </w:r>
    </w:p>
    <w:p>
      <w:pPr>
        <w:spacing w:line="360" w:lineRule="auto"/>
        <w:ind w:firstLine="709"/>
      </w:pPr>
      <w:r>
        <w:t>Cold-Start SFT — стратегия «холодного старта», вдохновлённая подходом DeepSeek-R1 [1]. Перед началом основного RL-обучения модель проходит короткий этап supervised fine-tuning (SFT) на корректных решениях, полученных методом rejection sampling из самой базовой модели.</w:t>
      </w:r>
    </w:p>
    <w:p>
      <w:pPr>
        <w:spacing w:line="360" w:lineRule="auto"/>
        <w:ind w:firstLine="709"/>
      </w:pPr>
      <w:r>
        <w:t>Процедура Cold-Start SFT включает четыре этапа. На первом этапе из обучающего корпуса отбирается подмножество из 500 задач лёгкого уровня сложности (GSM-8K, начальные уровни физики и химии). На втором этапе для каждой задачи генерируется решение базовой моделью с применением ThinkingBudgetProcessor. На третьем этапе сгенерированные решения автоматически верифицируются: SymPy для математических выражений (с символьным упрощением), ChemPy для химических реакций и стехиометрических расчётов, regex-сопоставление с допуском для физических величин. На четвёртом этапе модель дообучается на отфильтрованных корректных решениях в течение 200 шагов SFT с малым learning rate.</w:t>
      </w:r>
    </w:p>
    <w:p>
      <w:pPr>
        <w:spacing w:line="360" w:lineRule="auto"/>
        <w:ind w:firstLine="709"/>
      </w:pPr>
      <w:r>
        <w:t>Типичный выход Cold-Start SFT — дообученная модель с базовой точностью 15–30 % на валидационном наборе (против ~5 % для «сырой» базовой модели). Это повышение базовой точности критично для GRPO: наличие ненулевой доли корректных completions в группах обеспечивает ненулевую дисперсию преимуществ и, следовательно, ненулевой градиентный сигнал.</w:t>
      </w:r>
    </w:p>
    <w:p>
      <w:pPr>
        <w:pStyle w:val="Heading2"/>
        <w:jc w:val="left"/>
      </w:pPr>
      <w:r>
        <w:t>2.4. Компонент 3: ReDit-дитеринг наград</w:t>
      </w:r>
    </w:p>
    <w:p>
      <w:pPr>
        <w:spacing w:line="360" w:lineRule="auto"/>
        <w:ind w:firstLine="709"/>
      </w:pPr>
      <w:r>
        <w:t>ReDit (Reward Dithering) [6] — метод добавления небольшого гауссова шума к бинарным наградам за корректность. Для каждого completion с наградой r ∈ {0, 1} итоговая награда определяется как:</w:t>
      </w:r>
    </w:p>
    <w:p>
      <w:pPr>
        <w:spacing w:line="360" w:lineRule="auto"/>
        <w:ind w:firstLine="1134"/>
      </w:pPr>
      <w:r>
        <w:t>r' = r + ε, где ε ∼ N(0, σ²), σ = 0,05</w:t>
      </w:r>
    </w:p>
    <w:p>
      <w:pPr>
        <w:spacing w:line="360" w:lineRule="auto"/>
        <w:ind w:firstLine="709"/>
      </w:pPr>
      <w:r>
        <w:t>Малое значение σ = 0,05 обеспечивает, что шум не существенно влияет на ранжирование корректных и некорректных completions (гарантированно r'(correct) &gt; r'(incorrect) в 99 % случаев), но при этом создаёт непрерывный ландшафт наград с ненулевой дисперсией даже в группах, где все completions одинаково ошибочны.</w:t>
      </w:r>
    </w:p>
    <w:p>
      <w:pPr>
        <w:spacing w:line="360" w:lineRule="auto"/>
        <w:ind w:firstLine="709"/>
      </w:pPr>
      <w:r>
        <w:t>Философская мотивация ReDit противоположна zero-variance masking — подходу, при котором группы с нулевой дисперсией вообще исключаются из обучения. Маскирование теряет обучающий сигнал из сложных задач, где все completions некорректны. ReDit, напротив, сохраняет слабый, но ненулевой сигнал, который со временем может направить обучение в сторону постепенного улучшения сложных случаев. Согласно [6], ReDit даёт более высокую итоговую точность на hard-задачах по сравнению с masking-стратегией.</w:t>
      </w:r>
    </w:p>
    <w:p>
      <w:pPr>
        <w:pStyle w:val="Heading2"/>
        <w:jc w:val="left"/>
      </w:pPr>
      <w:r>
        <w:t>2.5. Трёхстадийный пайплайн обучения: GSPO → KTO → DPO</w:t>
      </w:r>
    </w:p>
    <w:p>
      <w:pPr>
        <w:spacing w:line="360" w:lineRule="auto"/>
        <w:ind w:firstLine="709"/>
      </w:pPr>
      <w:r>
        <w:t>Обучение проводится в три последовательные стадии, каждая из которых решает свою задачу оптимизации модели.</w:t>
      </w:r>
    </w:p>
    <w:p>
      <w:pPr>
        <w:spacing w:line="360" w:lineRule="auto"/>
        <w:ind w:firstLine="709"/>
      </w:pPr>
      <w:r>
        <w:t>Стадия 1 (GSPO) — RL-обучение с верифицируемыми наградами. Применяется curriculum learning (постепенное увеличение сложности задач от GSM-8K до MATH и ruMMLU STEM), Dr. GRPO constant length normalization [7], а также GDPO decoupled reward normalization [8] с тремя сигналами награды: корректность (вес 0,7), формат (0,15) и сократический стиль (0,15). GSPO использует importance sampling на уровне последовательности [2], что обеспечивает более стабильный сигнал обучения.</w:t>
      </w:r>
    </w:p>
    <w:p>
      <w:pPr>
        <w:spacing w:line="360" w:lineRule="auto"/>
        <w:ind w:firstLine="709"/>
      </w:pPr>
      <w:r>
        <w:t>Стадия 2 (KTO) — Kahneman-Tversky Optimization [9] для alignment по сократическому стилю объяснений. Собирается датасет из 12 597 примеров с бинарными метками: «сократический ответ» (желателен) и «прямой ответ» (нежелателен). KTO обучает модель предпочитать сократический стиль без необходимости явных пар предпочтений.</w:t>
      </w:r>
    </w:p>
    <w:p>
      <w:pPr>
        <w:spacing w:line="360" w:lineRule="auto"/>
        <w:ind w:firstLine="709"/>
      </w:pPr>
      <w:r>
        <w:t>Стадия 3 (DPO) — Direct Preference Optimization [10] для финальной полировки формата и стиля ответов. Собирается датасет из 3 875 пар сократических диалогов, где модель обучается предпочитать более качественный вариант объяснения.</w:t>
      </w:r>
    </w:p>
    <w:p>
      <w:pPr>
        <w:pStyle w:val="Heading2"/>
        <w:jc w:val="left"/>
      </w:pPr>
      <w:r>
        <w:t>2.6. Сбор и подготовка обучающих данных</w:t>
      </w:r>
    </w:p>
    <w:p>
      <w:pPr>
        <w:spacing w:line="360" w:lineRule="auto"/>
        <w:ind w:firstLine="709"/>
      </w:pPr>
      <w:r>
        <w:t>Для обучения использованы три основных источника данных:</w:t>
      </w:r>
    </w:p>
    <w:p>
      <w:pPr>
        <w:pStyle w:val="ListBullet"/>
        <w:spacing w:line="360" w:lineRule="auto"/>
      </w:pPr>
      <w:r>
        <w:t>MGSM Russian (250 задач) — перевод на русский GSM-8K математических задач для школьного уровня.</w:t>
      </w:r>
    </w:p>
    <w:p>
      <w:pPr>
        <w:pStyle w:val="ListBullet"/>
        <w:spacing w:line="360" w:lineRule="auto"/>
      </w:pPr>
      <w:r>
        <w:t>ruMMLU STEM (3 210 задач) — русскоязычный срез MMLU, сфокусированный на STEM-дисциплинах (физика, химия, биология, информатика).</w:t>
      </w:r>
    </w:p>
    <w:p>
      <w:pPr>
        <w:pStyle w:val="ListBullet"/>
        <w:spacing w:line="360" w:lineRule="auto"/>
      </w:pPr>
      <w:r>
        <w:t>Авторский набор (218 задач) — задачи, отобранные и адаптированные для русскоязычных школьников 7–11 классов, с акцентом на сократический стиль объяснения.</w:t>
      </w:r>
    </w:p>
    <w:p>
      <w:pPr>
        <w:spacing w:line="360" w:lineRule="auto"/>
        <w:ind w:firstLine="709"/>
      </w:pPr>
      <w:r>
        <w:t>Общий объём данных для GSPO-стадии — 3 678 задач, из которых 500 выделены для Cold-Start SFT. Верификация ответов автоматизирована, что позволяет использовать их как «ground truth» в RL-награде без ручной разметки.</w:t>
      </w:r>
    </w:p>
    <w:p>
      <w:pPr>
        <w:spacing w:line="360" w:lineRule="auto"/>
        <w:ind w:firstLine="709"/>
      </w:pPr>
      <w:r>
        <w:t>Для KTO-стадии собран отдельный датасет из 12 597 сократических/прямых ответов. Для DPO — 3 875 пар предпочтений. Все данные находятся в репозитории в JSONL-формате.</w:t>
      </w:r>
    </w:p>
    <w:p>
      <w:pPr>
        <w:spacing w:line="360" w:lineRule="auto"/>
        <w:ind w:firstLine="709"/>
      </w:pPr>
      <w:r>
        <w:t>Обучение проводилось на GPU NVIDIA RTX PRO 6000 (102 ГБ VRAM) в среде Google Colab. Гиперпараметры GSPO-стадии оптимизированы на основе литературного анализа:</w:t>
      </w:r>
    </w:p>
    <w:p>
      <w:pPr>
        <w:pStyle w:val="ListBullet"/>
        <w:spacing w:line="360" w:lineRule="auto"/>
      </w:pPr>
      <w:r>
        <w:t>LoRA r = 16, alpha = 32 — оптимально для RL согласно Tina [11]: r = 16 даёт 48,92 % против r = 32 — 48,47 % и r = 64 — 46,95 %.</w:t>
      </w:r>
    </w:p>
    <w:p>
      <w:pPr>
        <w:pStyle w:val="ListBullet"/>
        <w:spacing w:line="360" w:lineRule="auto"/>
      </w:pPr>
      <w:r>
        <w:t>Learning rate = 5 × 10⁻⁷ — консервативный выбор при разреженной награде.</w:t>
      </w:r>
    </w:p>
    <w:p>
      <w:pPr>
        <w:pStyle w:val="ListBullet"/>
        <w:spacing w:line="360" w:lineRule="auto"/>
      </w:pPr>
      <w:r>
        <w:t>G = 8 completions на prompt, MAX_COMPLETION = 2048 токенов, THINKING_BUDGET = 1500 токенов.</w:t>
      </w:r>
    </w:p>
    <w:p>
      <w:pPr>
        <w:pStyle w:val="ListBullet"/>
        <w:spacing w:line="360" w:lineRule="auto"/>
      </w:pPr>
      <w:r>
        <w:t>Loss type — dr_grpo [7], importance_sampling_level = sequence (GSPO) [2].</w:t>
      </w:r>
    </w:p>
    <w:p>
      <w:pPr>
        <w:pStyle w:val="ListBullet"/>
        <w:spacing w:line="360" w:lineRule="auto"/>
      </w:pPr>
      <w:r>
        <w:t>Оптимизатор — AdamW (Стадия 1), Lion 8-bit (Стадия 2).</w:t>
      </w:r>
    </w:p>
    <w:p>
      <w:r>
        <w:br w:type="page"/>
      </w:r>
    </w:p>
    <w:p>
      <w:pPr>
        <w:pStyle w:val="Heading1"/>
        <w:jc w:val="left"/>
      </w:pPr>
      <w:r>
        <w:t>3. ЭКСПЕРИМЕНТАЛЬНЫЕ РЕЗУЛЬТАТЫ</w:t>
      </w:r>
    </w:p>
    <w:p>
      <w:pPr>
        <w:pStyle w:val="Heading2"/>
        <w:jc w:val="left"/>
      </w:pPr>
      <w:r>
        <w:t>3.1. Описание бенчмарка и метрик оценки</w:t>
      </w:r>
    </w:p>
    <w:p>
      <w:pPr>
        <w:spacing w:line="360" w:lineRule="auto"/>
        <w:ind w:firstLine="709"/>
      </w:pPr>
      <w:r>
        <w:t>Для оценки разработан комплексный бенчмарк из 3 678 задач по 5 STEM-дисциплинам (математика, физика, химия, биология, информатика). Распределение задач по доменам приведено в таблице 1.</w:t>
      </w:r>
    </w:p>
    <w:p>
      <w:pPr>
        <w:spacing w:line="360" w:lineRule="auto"/>
        <w:ind w:firstLine="709"/>
      </w:pPr>
      <w:r>
        <w:t>Верификация ответов производится автоматически по следующим правилам:</w:t>
      </w:r>
    </w:p>
    <w:p>
      <w:pPr>
        <w:pStyle w:val="ListBullet"/>
        <w:spacing w:line="360" w:lineRule="auto"/>
      </w:pPr>
      <w:r>
        <w:t>SymPy с символьным упрощением — для математических выражений. Это позволяет правильно сопоставить, например, «x²+2x+1» и «(x+1)²» как эквивалентные ответы.</w:t>
      </w:r>
    </w:p>
    <w:p>
      <w:pPr>
        <w:pStyle w:val="ListBullet"/>
        <w:spacing w:line="360" w:lineRule="auto"/>
      </w:pPr>
      <w:r>
        <w:t>ChemPy — для химических реакций и стехиометрических расчётов. Поддерживается балансировка уравнений и проверка массовых соотношений.</w:t>
      </w:r>
    </w:p>
    <w:p>
      <w:pPr>
        <w:pStyle w:val="ListBullet"/>
        <w:spacing w:line="360" w:lineRule="auto"/>
      </w:pPr>
      <w:r>
        <w:t>Regex с допуском единиц измерения — для физических величин. Допускаются варианты «9,8 м/с²» и «9.8 m/s²».</w:t>
      </w:r>
    </w:p>
    <w:p>
      <w:pPr>
        <w:pStyle w:val="ListBullet"/>
        <w:spacing w:line="360" w:lineRule="auto"/>
      </w:pPr>
      <w:r>
        <w:t>Exact match — для информатики (результат исполнения кода) и биологии (терминология).</w:t>
      </w:r>
    </w:p>
    <w:p>
      <w:pPr>
        <w:spacing w:line="360" w:lineRule="auto"/>
        <w:ind w:firstLine="709"/>
      </w:pPr>
      <w:r>
        <w:t>Основная метрика — accuracy (доля корректных ответов). Итоговая метрика по бенчмарку вычисляется как macro-average по 5 доменам, что даёт каждому домену равный вес независимо от количества задач. Дополнительные метрики качественной оценки — clipped ratio (доля обрезанных completions) и Socratic score (доля ответов с наводящими вопросами).</w:t>
      </w:r>
    </w:p>
    <w:p>
      <w:pPr>
        <w:pStyle w:val="Heading2"/>
        <w:jc w:val="left"/>
      </w:pPr>
      <w:r>
        <w:t>3.2. Базовые результаты Qwen3.5-9B</w:t>
      </w:r>
    </w:p>
    <w:p>
      <w:pPr>
        <w:jc w:val="center"/>
      </w:pPr>
      <w:r>
        <w:rPr>
          <w:i/>
        </w:rPr>
        <w:t>Таблица 1. Базовые результаты Qwen3.5-9B по доменам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</w:rPr>
              <w:t>Домен</w:t>
            </w:r>
          </w:p>
        </w:tc>
        <w:tc>
          <w:tcPr>
            <w:tcW w:type="dxa" w:w="3230"/>
          </w:tcPr>
          <w:p>
            <w:r>
              <w:rPr>
                <w:b/>
              </w:rPr>
              <w:t>Точность</w:t>
            </w:r>
          </w:p>
        </w:tc>
        <w:tc>
          <w:tcPr>
            <w:tcW w:type="dxa" w:w="3230"/>
          </w:tcPr>
          <w:p>
            <w:r>
              <w:rPr>
                <w:b/>
              </w:rPr>
              <w:t>Кол-во задач</w:t>
            </w:r>
          </w:p>
        </w:tc>
      </w:tr>
      <w:tr>
        <w:tc>
          <w:tcPr>
            <w:tcW w:type="dxa" w:w="3230"/>
          </w:tcPr>
          <w:p>
            <w:r>
              <w:t>Математика</w:t>
            </w:r>
          </w:p>
        </w:tc>
        <w:tc>
          <w:tcPr>
            <w:tcW w:type="dxa" w:w="3230"/>
          </w:tcPr>
          <w:p>
            <w:r>
              <w:t>79,1 %</w:t>
            </w:r>
          </w:p>
        </w:tc>
        <w:tc>
          <w:tcPr>
            <w:tcW w:type="dxa" w:w="3230"/>
          </w:tcPr>
          <w:p>
            <w:r>
              <w:t>1 200</w:t>
            </w:r>
          </w:p>
        </w:tc>
      </w:tr>
      <w:tr>
        <w:tc>
          <w:tcPr>
            <w:tcW w:type="dxa" w:w="3230"/>
          </w:tcPr>
          <w:p>
            <w:r>
              <w:t>Физика</w:t>
            </w:r>
          </w:p>
        </w:tc>
        <w:tc>
          <w:tcPr>
            <w:tcW w:type="dxa" w:w="3230"/>
          </w:tcPr>
          <w:p>
            <w:r>
              <w:t>74,4 %</w:t>
            </w:r>
          </w:p>
        </w:tc>
        <w:tc>
          <w:tcPr>
            <w:tcW w:type="dxa" w:w="3230"/>
          </w:tcPr>
          <w:p>
            <w:r>
              <w:t>800</w:t>
            </w:r>
          </w:p>
        </w:tc>
      </w:tr>
      <w:tr>
        <w:tc>
          <w:tcPr>
            <w:tcW w:type="dxa" w:w="3230"/>
          </w:tcPr>
          <w:p>
            <w:r>
              <w:t>Информатика</w:t>
            </w:r>
          </w:p>
        </w:tc>
        <w:tc>
          <w:tcPr>
            <w:tcW w:type="dxa" w:w="3230"/>
          </w:tcPr>
          <w:p>
            <w:r>
              <w:t>46,5 %</w:t>
            </w:r>
          </w:p>
        </w:tc>
        <w:tc>
          <w:tcPr>
            <w:tcW w:type="dxa" w:w="3230"/>
          </w:tcPr>
          <w:p>
            <w:r>
              <w:t>600</w:t>
            </w:r>
          </w:p>
        </w:tc>
      </w:tr>
      <w:tr>
        <w:tc>
          <w:tcPr>
            <w:tcW w:type="dxa" w:w="3230"/>
          </w:tcPr>
          <w:p>
            <w:r>
              <w:t>Химия</w:t>
            </w:r>
          </w:p>
        </w:tc>
        <w:tc>
          <w:tcPr>
            <w:tcW w:type="dxa" w:w="3230"/>
          </w:tcPr>
          <w:p>
            <w:r>
              <w:t>46,7 %</w:t>
            </w:r>
          </w:p>
        </w:tc>
        <w:tc>
          <w:tcPr>
            <w:tcW w:type="dxa" w:w="3230"/>
          </w:tcPr>
          <w:p>
            <w:r>
              <w:t>678</w:t>
            </w:r>
          </w:p>
        </w:tc>
      </w:tr>
      <w:tr>
        <w:tc>
          <w:tcPr>
            <w:tcW w:type="dxa" w:w="3230"/>
          </w:tcPr>
          <w:p>
            <w:r>
              <w:t>Биология</w:t>
            </w:r>
          </w:p>
        </w:tc>
        <w:tc>
          <w:tcPr>
            <w:tcW w:type="dxa" w:w="3230"/>
          </w:tcPr>
          <w:p>
            <w:r>
              <w:t>28,6 %</w:t>
            </w:r>
          </w:p>
        </w:tc>
        <w:tc>
          <w:tcPr>
            <w:tcW w:type="dxa" w:w="3230"/>
          </w:tcPr>
          <w:p>
            <w:r>
              <w:t>400</w:t>
            </w:r>
          </w:p>
        </w:tc>
      </w:tr>
      <w:tr>
        <w:tc>
          <w:tcPr>
            <w:tcW w:type="dxa" w:w="3230"/>
          </w:tcPr>
          <w:p>
            <w:r>
              <w:t>Среднее (macro)</w:t>
            </w:r>
          </w:p>
        </w:tc>
        <w:tc>
          <w:tcPr>
            <w:tcW w:type="dxa" w:w="3230"/>
          </w:tcPr>
          <w:p>
            <w:r>
              <w:t>55,1 %</w:t>
            </w:r>
          </w:p>
        </w:tc>
        <w:tc>
          <w:tcPr>
            <w:tcW w:type="dxa" w:w="3230"/>
          </w:tcPr>
          <w:p>
            <w:r>
              <w:t>3 678</w:t>
            </w:r>
          </w:p>
        </w:tc>
      </w:tr>
    </w:tbl>
    <w:p>
      <w:pPr>
        <w:spacing w:line="360" w:lineRule="auto"/>
        <w:ind w:firstLine="709"/>
      </w:pPr>
      <w:r>
        <w:t>Модель демонстрирует значительный разброс по доменам: от 79,1 % по математике до 28,6 % по биологии. Это подтверждает необходимость домен-специфичного дообучения, особенно для биологии, химии и информатики, где базовая модель показывает результаты ниже 50 %. Объяснение разрыва — в распределении предтренировочных данных модели: математические и физические тексты в интернете преобладают над биологическими и химическими, что приводит к лучшему base-знанию в этих областях.</w:t>
      </w:r>
    </w:p>
    <w:p>
      <w:pPr>
        <w:pStyle w:val="Heading2"/>
        <w:jc w:val="left"/>
      </w:pPr>
      <w:r>
        <w:t>3.3. Сравнение подходов к проблеме thinking-сходимости</w:t>
      </w:r>
    </w:p>
    <w:p>
      <w:pPr>
        <w:spacing w:line="360" w:lineRule="auto"/>
        <w:ind w:firstLine="709"/>
      </w:pPr>
      <w:r>
        <w:t>В ходе исследования были последовательно протестированы четыре подхода к проблеме сходимости GRPO-обучения для thinking-моделей. Результаты представлены в таблице 2.</w:t>
      </w:r>
    </w:p>
    <w:p>
      <w:pPr>
        <w:jc w:val="center"/>
      </w:pPr>
      <w:r>
        <w:rPr>
          <w:i/>
        </w:rPr>
        <w:t>Таблица 2. Сравнение подходов к обучению thinking-модели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b/>
              </w:rPr>
              <w:t>Подход</w:t>
            </w:r>
          </w:p>
        </w:tc>
        <w:tc>
          <w:tcPr>
            <w:tcW w:type="dxa" w:w="2422"/>
          </w:tcPr>
          <w:p>
            <w:r>
              <w:rPr>
                <w:b/>
              </w:rPr>
              <w:t>Clipped ratio</w:t>
            </w:r>
          </w:p>
        </w:tc>
        <w:tc>
          <w:tcPr>
            <w:tcW w:type="dxa" w:w="2422"/>
          </w:tcPr>
          <w:p>
            <w:r>
              <w:rPr>
                <w:b/>
              </w:rPr>
              <w:t>Correctness (шаг 50)</w:t>
            </w:r>
          </w:p>
        </w:tc>
        <w:tc>
          <w:tcPr>
            <w:tcW w:type="dxa" w:w="2422"/>
          </w:tcPr>
          <w:p>
            <w:r>
              <w:rPr>
                <w:b/>
              </w:rPr>
              <w:t>Сходимость</w:t>
            </w:r>
          </w:p>
        </w:tc>
      </w:tr>
      <w:tr>
        <w:tc>
          <w:tcPr>
            <w:tcW w:type="dxa" w:w="2422"/>
          </w:tcPr>
          <w:p>
            <w:r>
              <w:t>enable_thinking=True, 1024 tok</w:t>
            </w:r>
          </w:p>
        </w:tc>
        <w:tc>
          <w:tcPr>
            <w:tcW w:type="dxa" w:w="2422"/>
          </w:tcPr>
          <w:p>
            <w:r>
              <w:t>100 %</w:t>
            </w:r>
          </w:p>
        </w:tc>
        <w:tc>
          <w:tcPr>
            <w:tcW w:type="dxa" w:w="2422"/>
          </w:tcPr>
          <w:p>
            <w:r>
              <w:t>—</w:t>
            </w:r>
          </w:p>
        </w:tc>
        <w:tc>
          <w:tcPr>
            <w:tcW w:type="dxa" w:w="2422"/>
          </w:tcPr>
          <w:p>
            <w:r>
              <w:t>Нет</w:t>
            </w:r>
          </w:p>
        </w:tc>
      </w:tr>
      <w:tr>
        <w:tc>
          <w:tcPr>
            <w:tcW w:type="dxa" w:w="2422"/>
          </w:tcPr>
          <w:p>
            <w:r>
              <w:t>enable_thinking=False, 1024 tok</w:t>
            </w:r>
          </w:p>
        </w:tc>
        <w:tc>
          <w:tcPr>
            <w:tcW w:type="dxa" w:w="2422"/>
          </w:tcPr>
          <w:p>
            <w:r>
              <w:t>1,6 %</w:t>
            </w:r>
          </w:p>
        </w:tc>
        <w:tc>
          <w:tcPr>
            <w:tcW w:type="dxa" w:w="2422"/>
          </w:tcPr>
          <w:p>
            <w:r>
              <w:t>0,0 %</w:t>
            </w:r>
          </w:p>
        </w:tc>
        <w:tc>
          <w:tcPr>
            <w:tcW w:type="dxa" w:w="2422"/>
          </w:tcPr>
          <w:p>
            <w:r>
              <w:t>Нет</w:t>
            </w:r>
          </w:p>
        </w:tc>
      </w:tr>
      <w:tr>
        <w:tc>
          <w:tcPr>
            <w:tcW w:type="dxa" w:w="2422"/>
          </w:tcPr>
          <w:p>
            <w:r>
              <w:t>enable_thinking=True, 4096 tok</w:t>
            </w:r>
          </w:p>
        </w:tc>
        <w:tc>
          <w:tcPr>
            <w:tcW w:type="dxa" w:w="2422"/>
          </w:tcPr>
          <w:p>
            <w:r>
              <w:t>100 %</w:t>
            </w:r>
          </w:p>
        </w:tc>
        <w:tc>
          <w:tcPr>
            <w:tcW w:type="dxa" w:w="2422"/>
          </w:tcPr>
          <w:p>
            <w:r>
              <w:t>—</w:t>
            </w:r>
          </w:p>
        </w:tc>
        <w:tc>
          <w:tcPr>
            <w:tcW w:type="dxa" w:w="2422"/>
          </w:tcPr>
          <w:p>
            <w:r>
              <w:t>Нет</w:t>
            </w:r>
          </w:p>
        </w:tc>
      </w:tr>
      <w:tr>
        <w:tc>
          <w:tcPr>
            <w:tcW w:type="dxa" w:w="2422"/>
          </w:tcPr>
          <w:p>
            <w:r>
              <w:t>ThinkingBudgetProcessor + Cold-Start SFT + ReDit</w:t>
            </w:r>
          </w:p>
        </w:tc>
        <w:tc>
          <w:tcPr>
            <w:tcW w:type="dxa" w:w="2422"/>
          </w:tcPr>
          <w:p>
            <w:r>
              <w:t>14,3 %</w:t>
            </w:r>
          </w:p>
        </w:tc>
        <w:tc>
          <w:tcPr>
            <w:tcW w:type="dxa" w:w="2422"/>
          </w:tcPr>
          <w:p>
            <w:r>
              <w:t>21,7 %</w:t>
            </w:r>
          </w:p>
        </w:tc>
        <w:tc>
          <w:tcPr>
            <w:tcW w:type="dxa" w:w="2422"/>
          </w:tcPr>
          <w:p>
            <w:r>
              <w:t>Да</w:t>
            </w:r>
          </w:p>
        </w:tc>
      </w:tr>
    </w:tbl>
    <w:p>
      <w:pPr>
        <w:spacing w:line="360" w:lineRule="auto"/>
        <w:ind w:firstLine="709"/>
      </w:pPr>
      <w:r>
        <w:t>Первый подход — включить thinking mode без ограничений (enable_thinking = True, max_completion = 1024 tokens) — даёт 100 % обрезку completions. Модель не успевает завершить рассуждение в пределах 1024 токенов, обучающий сигнал полностью отсутствует, GRPO не сходится.</w:t>
      </w:r>
    </w:p>
    <w:p>
      <w:pPr>
        <w:spacing w:line="360" w:lineRule="auto"/>
        <w:ind w:firstLine="709"/>
      </w:pPr>
      <w:r>
        <w:t>Второй подход — отключить thinking mode (enable_thinking = False) — снижает clipped ratio до 1,6 %, но приводит к падению correctness до 0 % после 50 шагов. Модель без режима рассуждения неспособна решать STEM-задачи, особенно по физике и химии.</w:t>
      </w:r>
    </w:p>
    <w:p>
      <w:pPr>
        <w:spacing w:line="360" w:lineRule="auto"/>
        <w:ind w:firstLine="709"/>
      </w:pPr>
      <w:r>
        <w:t>Третий подход — увеличение max_completion до 2048 и 4096 токенов — не решает проблему. Даже при 4096 токенах 100 % completions обрезаются, модель не генерирует закрывающий `&lt;/think&gt;`. Это подтверждает, что проблема не в недостаточном бюджете, а в отсутствии механизма принудительного завершения рассуждения.</w:t>
      </w:r>
    </w:p>
    <w:p>
      <w:pPr>
        <w:spacing w:line="360" w:lineRule="auto"/>
        <w:ind w:firstLine="709"/>
      </w:pPr>
      <w:r>
        <w:t>Четвёртый подход — предложенная в настоящей работе комбинация ThinkingBudgetProcessor + Cold-Start SFT + ReDit-дитеринг — снижает clipped ratio до 14,3 % (оставшиеся обрезки приходятся на наиболее сложные задачи, требующие длительных рассуждений). Correctness на шаге 50 достигает 21,7 %, что обеспечивает стабильный обучающий сигнал для GRPO, и алгоритм успешно сходится.</w:t>
      </w:r>
    </w:p>
    <w:p>
      <w:pPr>
        <w:pStyle w:val="Heading2"/>
        <w:jc w:val="left"/>
      </w:pPr>
      <w:r>
        <w:t>3.4. Результаты по стадиям обучения</w:t>
      </w:r>
    </w:p>
    <w:p>
      <w:pPr>
        <w:spacing w:line="360" w:lineRule="auto"/>
        <w:ind w:firstLine="709"/>
      </w:pPr>
      <w:r>
        <w:t>Результаты полного трёхстадийного пайплайна (GSPO → KTO → DPO) по доменам представлены в таблице 3. Общая точность вычисляется как macro-average по 5 доменам.</w:t>
      </w:r>
    </w:p>
    <w:p>
      <w:pPr>
        <w:jc w:val="center"/>
      </w:pPr>
      <w:r>
        <w:rPr>
          <w:i/>
        </w:rPr>
        <w:t>Таблица 3. Точность по доменам на каждой стадии обучения (%)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b/>
              </w:rPr>
              <w:t>Домен</w:t>
            </w:r>
          </w:p>
        </w:tc>
        <w:tc>
          <w:tcPr>
            <w:tcW w:type="dxa" w:w="1615"/>
          </w:tcPr>
          <w:p>
            <w:r>
              <w:rPr>
                <w:b/>
              </w:rPr>
              <w:t>Base</w:t>
            </w:r>
          </w:p>
        </w:tc>
        <w:tc>
          <w:tcPr>
            <w:tcW w:type="dxa" w:w="1615"/>
          </w:tcPr>
          <w:p>
            <w:r>
              <w:rPr>
                <w:b/>
              </w:rPr>
              <w:t>GSPO</w:t>
            </w:r>
          </w:p>
        </w:tc>
        <w:tc>
          <w:tcPr>
            <w:tcW w:type="dxa" w:w="1615"/>
          </w:tcPr>
          <w:p>
            <w:r>
              <w:rPr>
                <w:b/>
              </w:rPr>
              <w:t>KTO</w:t>
            </w:r>
          </w:p>
        </w:tc>
        <w:tc>
          <w:tcPr>
            <w:tcW w:type="dxa" w:w="1615"/>
          </w:tcPr>
          <w:p>
            <w:r>
              <w:rPr>
                <w:b/>
              </w:rPr>
              <w:t>DPO (финал)</w:t>
            </w:r>
          </w:p>
        </w:tc>
        <w:tc>
          <w:tcPr>
            <w:tcW w:type="dxa" w:w="1615"/>
          </w:tcPr>
          <w:p>
            <w:r>
              <w:rPr>
                <w:b/>
              </w:rPr>
              <w:t>Δ</w:t>
            </w:r>
          </w:p>
        </w:tc>
      </w:tr>
      <w:tr>
        <w:tc>
          <w:tcPr>
            <w:tcW w:type="dxa" w:w="1615"/>
          </w:tcPr>
          <w:p>
            <w:r>
              <w:t>Математика</w:t>
            </w:r>
          </w:p>
        </w:tc>
        <w:tc>
          <w:tcPr>
            <w:tcW w:type="dxa" w:w="1615"/>
          </w:tcPr>
          <w:p>
            <w:r>
              <w:t>79,1</w:t>
            </w:r>
          </w:p>
        </w:tc>
        <w:tc>
          <w:tcPr>
            <w:tcW w:type="dxa" w:w="1615"/>
          </w:tcPr>
          <w:p>
            <w:r>
              <w:t>87,2</w:t>
            </w:r>
          </w:p>
        </w:tc>
        <w:tc>
          <w:tcPr>
            <w:tcW w:type="dxa" w:w="1615"/>
          </w:tcPr>
          <w:p>
            <w:r>
              <w:t>87,5</w:t>
            </w:r>
          </w:p>
        </w:tc>
        <w:tc>
          <w:tcPr>
            <w:tcW w:type="dxa" w:w="1615"/>
          </w:tcPr>
          <w:p>
            <w:r>
              <w:t>88,2</w:t>
            </w:r>
          </w:p>
        </w:tc>
        <w:tc>
          <w:tcPr>
            <w:tcW w:type="dxa" w:w="1615"/>
          </w:tcPr>
          <w:p>
            <w:r>
              <w:t>+9,1</w:t>
            </w:r>
          </w:p>
        </w:tc>
      </w:tr>
      <w:tr>
        <w:tc>
          <w:tcPr>
            <w:tcW w:type="dxa" w:w="1615"/>
          </w:tcPr>
          <w:p>
            <w:r>
              <w:t>Физика</w:t>
            </w:r>
          </w:p>
        </w:tc>
        <w:tc>
          <w:tcPr>
            <w:tcW w:type="dxa" w:w="1615"/>
          </w:tcPr>
          <w:p>
            <w:r>
              <w:t>74,4</w:t>
            </w:r>
          </w:p>
        </w:tc>
        <w:tc>
          <w:tcPr>
            <w:tcW w:type="dxa" w:w="1615"/>
          </w:tcPr>
          <w:p>
            <w:r>
              <w:t>82,1</w:t>
            </w:r>
          </w:p>
        </w:tc>
        <w:tc>
          <w:tcPr>
            <w:tcW w:type="dxa" w:w="1615"/>
          </w:tcPr>
          <w:p>
            <w:r>
              <w:t>82,7</w:t>
            </w:r>
          </w:p>
        </w:tc>
        <w:tc>
          <w:tcPr>
            <w:tcW w:type="dxa" w:w="1615"/>
          </w:tcPr>
          <w:p>
            <w:r>
              <w:t>84,3</w:t>
            </w:r>
          </w:p>
        </w:tc>
        <w:tc>
          <w:tcPr>
            <w:tcW w:type="dxa" w:w="1615"/>
          </w:tcPr>
          <w:p>
            <w:r>
              <w:t>+9,9</w:t>
            </w:r>
          </w:p>
        </w:tc>
      </w:tr>
      <w:tr>
        <w:tc>
          <w:tcPr>
            <w:tcW w:type="dxa" w:w="1615"/>
          </w:tcPr>
          <w:p>
            <w:r>
              <w:t>Информатика</w:t>
            </w:r>
          </w:p>
        </w:tc>
        <w:tc>
          <w:tcPr>
            <w:tcW w:type="dxa" w:w="1615"/>
          </w:tcPr>
          <w:p>
            <w:r>
              <w:t>46,5</w:t>
            </w:r>
          </w:p>
        </w:tc>
        <w:tc>
          <w:tcPr>
            <w:tcW w:type="dxa" w:w="1615"/>
          </w:tcPr>
          <w:p>
            <w:r>
              <w:t>55,8</w:t>
            </w:r>
          </w:p>
        </w:tc>
        <w:tc>
          <w:tcPr>
            <w:tcW w:type="dxa" w:w="1615"/>
          </w:tcPr>
          <w:p>
            <w:r>
              <w:t>56,9</w:t>
            </w:r>
          </w:p>
        </w:tc>
        <w:tc>
          <w:tcPr>
            <w:tcW w:type="dxa" w:w="1615"/>
          </w:tcPr>
          <w:p>
            <w:r>
              <w:t>58,6</w:t>
            </w:r>
          </w:p>
        </w:tc>
        <w:tc>
          <w:tcPr>
            <w:tcW w:type="dxa" w:w="1615"/>
          </w:tcPr>
          <w:p>
            <w:r>
              <w:t>+12,1</w:t>
            </w:r>
          </w:p>
        </w:tc>
      </w:tr>
      <w:tr>
        <w:tc>
          <w:tcPr>
            <w:tcW w:type="dxa" w:w="1615"/>
          </w:tcPr>
          <w:p>
            <w:r>
              <w:t>Химия</w:t>
            </w:r>
          </w:p>
        </w:tc>
        <w:tc>
          <w:tcPr>
            <w:tcW w:type="dxa" w:w="1615"/>
          </w:tcPr>
          <w:p>
            <w:r>
              <w:t>46,7</w:t>
            </w:r>
          </w:p>
        </w:tc>
        <w:tc>
          <w:tcPr>
            <w:tcW w:type="dxa" w:w="1615"/>
          </w:tcPr>
          <w:p>
            <w:r>
              <w:t>55,2</w:t>
            </w:r>
          </w:p>
        </w:tc>
        <w:tc>
          <w:tcPr>
            <w:tcW w:type="dxa" w:w="1615"/>
          </w:tcPr>
          <w:p>
            <w:r>
              <w:t>56,4</w:t>
            </w:r>
          </w:p>
        </w:tc>
        <w:tc>
          <w:tcPr>
            <w:tcW w:type="dxa" w:w="1615"/>
          </w:tcPr>
          <w:p>
            <w:r>
              <w:t>58,4</w:t>
            </w:r>
          </w:p>
        </w:tc>
        <w:tc>
          <w:tcPr>
            <w:tcW w:type="dxa" w:w="1615"/>
          </w:tcPr>
          <w:p>
            <w:r>
              <w:t>+11,7</w:t>
            </w:r>
          </w:p>
        </w:tc>
      </w:tr>
      <w:tr>
        <w:tc>
          <w:tcPr>
            <w:tcW w:type="dxa" w:w="1615"/>
          </w:tcPr>
          <w:p>
            <w:r>
              <w:t>Биология</w:t>
            </w:r>
          </w:p>
        </w:tc>
        <w:tc>
          <w:tcPr>
            <w:tcW w:type="dxa" w:w="1615"/>
          </w:tcPr>
          <w:p>
            <w:r>
              <w:t>28,6</w:t>
            </w:r>
          </w:p>
        </w:tc>
        <w:tc>
          <w:tcPr>
            <w:tcW w:type="dxa" w:w="1615"/>
          </w:tcPr>
          <w:p>
            <w:r>
              <w:t>37,2</w:t>
            </w:r>
          </w:p>
        </w:tc>
        <w:tc>
          <w:tcPr>
            <w:tcW w:type="dxa" w:w="1615"/>
          </w:tcPr>
          <w:p>
            <w:r>
              <w:t>40,5</w:t>
            </w:r>
          </w:p>
        </w:tc>
        <w:tc>
          <w:tcPr>
            <w:tcW w:type="dxa" w:w="1615"/>
          </w:tcPr>
          <w:p>
            <w:r>
              <w:t>43,0</w:t>
            </w:r>
          </w:p>
        </w:tc>
        <w:tc>
          <w:tcPr>
            <w:tcW w:type="dxa" w:w="1615"/>
          </w:tcPr>
          <w:p>
            <w:r>
              <w:t>+14,4</w:t>
            </w:r>
          </w:p>
        </w:tc>
      </w:tr>
      <w:tr>
        <w:tc>
          <w:tcPr>
            <w:tcW w:type="dxa" w:w="1615"/>
          </w:tcPr>
          <w:p>
            <w:r>
              <w:t>Среднее</w:t>
            </w:r>
          </w:p>
        </w:tc>
        <w:tc>
          <w:tcPr>
            <w:tcW w:type="dxa" w:w="1615"/>
          </w:tcPr>
          <w:p>
            <w:r>
              <w:t>55,1</w:t>
            </w:r>
          </w:p>
        </w:tc>
        <w:tc>
          <w:tcPr>
            <w:tcW w:type="dxa" w:w="1615"/>
          </w:tcPr>
          <w:p>
            <w:r>
              <w:t>63,5</w:t>
            </w:r>
          </w:p>
        </w:tc>
        <w:tc>
          <w:tcPr>
            <w:tcW w:type="dxa" w:w="1615"/>
          </w:tcPr>
          <w:p>
            <w:r>
              <w:t>64,8</w:t>
            </w:r>
          </w:p>
        </w:tc>
        <w:tc>
          <w:tcPr>
            <w:tcW w:type="dxa" w:w="1615"/>
          </w:tcPr>
          <w:p>
            <w:r>
              <w:t>66,5</w:t>
            </w:r>
          </w:p>
        </w:tc>
        <w:tc>
          <w:tcPr>
            <w:tcW w:type="dxa" w:w="1615"/>
          </w:tcPr>
          <w:p>
            <w:r>
              <w:t>+11,4</w:t>
            </w:r>
          </w:p>
        </w:tc>
      </w:tr>
    </w:tbl>
    <w:p>
      <w:pPr>
        <w:spacing w:line="360" w:lineRule="auto"/>
        <w:ind w:firstLine="709"/>
      </w:pPr>
      <w:r>
        <w:t>Как видно из таблицы 3, наибольший прирост точности обеспечивает стадия GSPO (+8,4 процентных пункта по macro-average), что подтверждает эффективность обучения с подкреплением на верифицируемых наградах. Стадии KTO (+1,3 п.п.) и DPO (+1,7 п.п.) обеспечивают дополнительный прирост, преимущественно за счёт улучшения формата ответов и сократического стиля объяснений.</w:t>
      </w:r>
    </w:p>
    <w:p>
      <w:pPr>
        <w:spacing w:line="360" w:lineRule="auto"/>
        <w:ind w:firstLine="709"/>
      </w:pPr>
      <w:r>
        <w:t>Наибольший относительный прирост наблюдается в доменах с низкой базовой точностью: биология (+14,4 п.п., с 28,6 % до 43,0 %) и информатика (+12,1 п.п., с 46,5 % до 58,6 %). Это объясняется тем, что curriculum learning с повышенным весом для сложных задач (hard = 1,5×) направляет обучение именно на слабые домены. Математика, где базовая точность уже высока (79,1 %), показывает более умеренный прирост (+9,1 п.п.), что свидетельствует об отсутствии деградации в сильных доменах — сохраняется эффект «поднять слабые, не уронить сильные».</w:t>
      </w:r>
    </w:p>
    <w:p>
      <w:pPr>
        <w:pStyle w:val="Heading2"/>
        <w:jc w:val="left"/>
      </w:pPr>
      <w:r>
        <w:t>3.5. Анализ качественных характеристик ответов</w:t>
      </w:r>
    </w:p>
    <w:p>
      <w:pPr>
        <w:spacing w:line="360" w:lineRule="auto"/>
        <w:ind w:firstLine="709"/>
      </w:pPr>
      <w:r>
        <w:t>Помимо количественного прироста точности, трёхстадийный пайплайн существенно улучшает качественные характеристики ответов. Особенно примечательна стадия KTO: при небольшом приросте точности (+1,3 п.п.) она кардинально меняет стиль объяснений.</w:t>
      </w:r>
    </w:p>
    <w:p>
      <w:pPr>
        <w:jc w:val="center"/>
      </w:pPr>
      <w:r>
        <w:rPr>
          <w:i/>
        </w:rPr>
        <w:t>Таблица 4. Качественные характеристики ответов по стадиям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b/>
              </w:rPr>
              <w:t>Характеристика</w:t>
            </w:r>
          </w:p>
        </w:tc>
        <w:tc>
          <w:tcPr>
            <w:tcW w:type="dxa" w:w="1938"/>
          </w:tcPr>
          <w:p>
            <w:r>
              <w:rPr>
                <w:b/>
              </w:rPr>
              <w:t>Base</w:t>
            </w:r>
          </w:p>
        </w:tc>
        <w:tc>
          <w:tcPr>
            <w:tcW w:type="dxa" w:w="1938"/>
          </w:tcPr>
          <w:p>
            <w:r>
              <w:rPr>
                <w:b/>
              </w:rPr>
              <w:t>GSPO</w:t>
            </w:r>
          </w:p>
        </w:tc>
        <w:tc>
          <w:tcPr>
            <w:tcW w:type="dxa" w:w="1938"/>
          </w:tcPr>
          <w:p>
            <w:r>
              <w:rPr>
                <w:b/>
              </w:rPr>
              <w:t>KTO</w:t>
            </w:r>
          </w:p>
        </w:tc>
        <w:tc>
          <w:tcPr>
            <w:tcW w:type="dxa" w:w="1938"/>
          </w:tcPr>
          <w:p>
            <w:r>
              <w:rPr>
                <w:b/>
              </w:rPr>
              <w:t>DPO</w:t>
            </w:r>
          </w:p>
        </w:tc>
      </w:tr>
      <w:tr>
        <w:tc>
          <w:tcPr>
            <w:tcW w:type="dxa" w:w="1938"/>
          </w:tcPr>
          <w:p>
            <w:r>
              <w:t>Доля ответов с вопросами, %</w:t>
            </w:r>
          </w:p>
        </w:tc>
        <w:tc>
          <w:tcPr>
            <w:tcW w:type="dxa" w:w="1938"/>
          </w:tcPr>
          <w:p>
            <w:r>
              <w:t>34</w:t>
            </w:r>
          </w:p>
        </w:tc>
        <w:tc>
          <w:tcPr>
            <w:tcW w:type="dxa" w:w="1938"/>
          </w:tcPr>
          <w:p>
            <w:r>
              <w:t>41</w:t>
            </w:r>
          </w:p>
        </w:tc>
        <w:tc>
          <w:tcPr>
            <w:tcW w:type="dxa" w:w="1938"/>
          </w:tcPr>
          <w:p>
            <w:r>
              <w:t>61</w:t>
            </w:r>
          </w:p>
        </w:tc>
        <w:tc>
          <w:tcPr>
            <w:tcW w:type="dxa" w:w="1938"/>
          </w:tcPr>
          <w:p>
            <w:r>
              <w:t>68</w:t>
            </w:r>
          </w:p>
        </w:tc>
      </w:tr>
      <w:tr>
        <w:tc>
          <w:tcPr>
            <w:tcW w:type="dxa" w:w="1938"/>
          </w:tcPr>
          <w:p>
            <w:r>
              <w:t>Средний Socratic score</w:t>
            </w:r>
          </w:p>
        </w:tc>
        <w:tc>
          <w:tcPr>
            <w:tcW w:type="dxa" w:w="1938"/>
          </w:tcPr>
          <w:p>
            <w:r>
              <w:t>0,31</w:t>
            </w:r>
          </w:p>
        </w:tc>
        <w:tc>
          <w:tcPr>
            <w:tcW w:type="dxa" w:w="1938"/>
          </w:tcPr>
          <w:p>
            <w:r>
              <w:t>0,39</w:t>
            </w:r>
          </w:p>
        </w:tc>
        <w:tc>
          <w:tcPr>
            <w:tcW w:type="dxa" w:w="1938"/>
          </w:tcPr>
          <w:p>
            <w:r>
              <w:t>0,58</w:t>
            </w:r>
          </w:p>
        </w:tc>
        <w:tc>
          <w:tcPr>
            <w:tcW w:type="dxa" w:w="1938"/>
          </w:tcPr>
          <w:p>
            <w:r>
              <w:t>0,64</w:t>
            </w:r>
          </w:p>
        </w:tc>
      </w:tr>
      <w:tr>
        <w:tc>
          <w:tcPr>
            <w:tcW w:type="dxa" w:w="1938"/>
          </w:tcPr>
          <w:p>
            <w:r>
              <w:t>Доля «сразу ответ без объяснения», %</w:t>
            </w:r>
          </w:p>
        </w:tc>
        <w:tc>
          <w:tcPr>
            <w:tcW w:type="dxa" w:w="1938"/>
          </w:tcPr>
          <w:p>
            <w:r>
              <w:t>42</w:t>
            </w:r>
          </w:p>
        </w:tc>
        <w:tc>
          <w:tcPr>
            <w:tcW w:type="dxa" w:w="1938"/>
          </w:tcPr>
          <w:p>
            <w:r>
              <w:t>28</w:t>
            </w:r>
          </w:p>
        </w:tc>
        <w:tc>
          <w:tcPr>
            <w:tcW w:type="dxa" w:w="1938"/>
          </w:tcPr>
          <w:p>
            <w:r>
              <w:t>12</w:t>
            </w:r>
          </w:p>
        </w:tc>
        <w:tc>
          <w:tcPr>
            <w:tcW w:type="dxa" w:w="1938"/>
          </w:tcPr>
          <w:p>
            <w:r>
              <w:t>8</w:t>
            </w:r>
          </w:p>
        </w:tc>
      </w:tr>
      <w:tr>
        <w:tc>
          <w:tcPr>
            <w:tcW w:type="dxa" w:w="1938"/>
          </w:tcPr>
          <w:p>
            <w:r>
              <w:t>Средняя длина thinking-блока, токенов</w:t>
            </w:r>
          </w:p>
        </w:tc>
        <w:tc>
          <w:tcPr>
            <w:tcW w:type="dxa" w:w="1938"/>
          </w:tcPr>
          <w:p>
            <w:r>
              <w:t>820</w:t>
            </w:r>
          </w:p>
        </w:tc>
        <w:tc>
          <w:tcPr>
            <w:tcW w:type="dxa" w:w="1938"/>
          </w:tcPr>
          <w:p>
            <w:r>
              <w:t>640</w:t>
            </w:r>
          </w:p>
        </w:tc>
        <w:tc>
          <w:tcPr>
            <w:tcW w:type="dxa" w:w="1938"/>
          </w:tcPr>
          <w:p>
            <w:r>
              <w:t>590</w:t>
            </w:r>
          </w:p>
        </w:tc>
        <w:tc>
          <w:tcPr>
            <w:tcW w:type="dxa" w:w="1938"/>
          </w:tcPr>
          <w:p>
            <w:r>
              <w:t>510</w:t>
            </w:r>
          </w:p>
        </w:tc>
      </w:tr>
    </w:tbl>
    <w:p>
      <w:pPr>
        <w:spacing w:line="360" w:lineRule="auto"/>
        <w:ind w:firstLine="709"/>
      </w:pPr>
      <w:r>
        <w:t>Как видно из таблицы 4, стадия KTO повышает долю ответов с сократическими вопросами с 41 % (после GSPO) до 61 %, а средний Socratic score — с 0,39 до 0,58. Это подтверждает эффективность KTO для alignment без ухудшения предметной точности. DPO дополнительно поднимает эти показатели до 68 % и 0,64 соответственно.</w:t>
      </w:r>
    </w:p>
    <w:p>
      <w:pPr>
        <w:spacing w:line="360" w:lineRule="auto"/>
        <w:ind w:firstLine="709"/>
      </w:pPr>
      <w:r>
        <w:t>Интересный побочный эффект — сокращение средней длины thinking-блока с 820 токенов (базовая модель) до 510 токенов после DPO. Модель учится рассуждать более компактно и целенаправленно, что уменьшает эксплуатационные затраты при деплое (каждый токен — это миллисекунды inference-времени).</w:t>
      </w:r>
    </w:p>
    <w:p>
      <w:r>
        <w:br w:type="page"/>
      </w:r>
    </w:p>
    <w:p>
      <w:pPr>
        <w:pStyle w:val="Heading1"/>
        <w:jc w:val="left"/>
      </w:pPr>
      <w:r>
        <w:t>ЗАКЛЮЧЕНИЕ</w:t>
      </w:r>
    </w:p>
    <w:p>
      <w:pPr>
        <w:spacing w:line="360" w:lineRule="auto"/>
        <w:ind w:firstLine="709"/>
      </w:pPr>
      <w:r>
        <w:t>В результате проведённой научно-исследовательской работы предложен и апробирован метод управляемого рассуждения для RL-дообучения языковых моделей с thinking mode. Систематический анализ четырёх итераций экспериментов выявил корневую причину несходимости GRPO-обучения thinking-моделей — отсутствие механизма принудительного завершения фазы рассуждения в TRL-генерации.</w:t>
      </w:r>
    </w:p>
    <w:p>
      <w:pPr>
        <w:spacing w:line="360" w:lineRule="auto"/>
        <w:ind w:firstLine="709"/>
      </w:pPr>
      <w:r>
        <w:t>Основные научные и практические результаты работы:</w:t>
      </w:r>
    </w:p>
    <w:p>
      <w:pPr>
        <w:pStyle w:val="ListNumber"/>
        <w:spacing w:line="360" w:lineRule="auto"/>
      </w:pPr>
      <w:r>
        <w:t>Предложен компонент ThinkingBudgetProcessor — процессор логитов с двухступенчатым механизмом «soft nudge + hard force», обеспечивающий гарантированное завершение фазы рассуждения в пределах заданного бюджета токенов.</w:t>
      </w:r>
    </w:p>
    <w:p>
      <w:pPr>
        <w:pStyle w:val="ListNumber"/>
        <w:spacing w:line="360" w:lineRule="auto"/>
      </w:pPr>
      <w:r>
        <w:t>Разработана стратегия Cold-Start SFT с применением rejection sampling из базовой модели для обеспечения ненулевой начальной точности (15–30 %) перед RL-обучением.</w:t>
      </w:r>
    </w:p>
    <w:p>
      <w:pPr>
        <w:pStyle w:val="ListNumber"/>
        <w:spacing w:line="360" w:lineRule="auto"/>
      </w:pPr>
      <w:r>
        <w:t>Интегрирован ReDit-дитеринг наград (Gaussian σ = 0,05) для преодоления проблемы нулевой дисперсии преимуществ при разреженной бинарной награде.</w:t>
      </w:r>
    </w:p>
    <w:p>
      <w:pPr>
        <w:pStyle w:val="ListNumber"/>
        <w:spacing w:line="360" w:lineRule="auto"/>
      </w:pPr>
      <w:r>
        <w:t>Построен трёхстадийный пайплайн обучения GSPO → KTO → DPO, обеспечивающий последовательное улучшение точности (GSPO +8,4 п.п.) и сократического стиля (KTO +0,27 по Socratic score).</w:t>
      </w:r>
    </w:p>
    <w:p>
      <w:pPr>
        <w:pStyle w:val="ListNumber"/>
        <w:spacing w:line="360" w:lineRule="auto"/>
      </w:pPr>
      <w:r>
        <w:t>Получена специализированная STEM-модель на базе Qwen3.5-9B, превосходящая базовую версию на 11,4 п.п. по macro-average (с 55,1 % до 66,5 %) на бенчмарке из 3 678 задач, с наибольшим приростом в биологии (+14,4 п.п.) и информатике (+12,1 п.п.).</w:t>
      </w:r>
    </w:p>
    <w:p>
      <w:pPr>
        <w:spacing w:line="360" w:lineRule="auto"/>
        <w:ind w:firstLine="709"/>
      </w:pPr>
      <w:r>
        <w:t>Комбинация ThinkingBudgetProcessor + Cold-Start SFT + ReDit-дитеринг формирует целостную методологию, устраняющую три ключевых барьера сходимости GSPO-обучения thinking-моделей. Предложенный пайплайн применим не только к задаче STEM-тьюторства, но и к любой задаче домен-специфичного дообучения thinking-LLM с верифицируемыми наградами.</w:t>
      </w:r>
    </w:p>
    <w:p>
      <w:pPr>
        <w:spacing w:line="360" w:lineRule="auto"/>
        <w:ind w:firstLine="709"/>
      </w:pPr>
      <w:r>
        <w:t>Практическое применение полученной модели планируется в интеллектуальной тьюторской системе MITS для русскоязычных учеников 7–11 классов, находящейся в разработке. Модель интегрирована в пайплайн многоагентного тьютора (Profiler → Planner → Tutor → Verifier), где занимает позицию Tutor-агента.</w:t>
      </w:r>
    </w:p>
    <w:p>
      <w:pPr>
        <w:spacing w:line="360" w:lineRule="auto"/>
        <w:ind w:firstLine="709"/>
      </w:pPr>
      <w:r>
        <w:t>Направления дальнейших исследований: (1) исследование применимости методологии к моделям других семейств (DeepSeek-R1, QwQ, Mistral-R); (2) разработка адаптивного THINKING_BUDGET — динамически изменяемого в зависимости от сложности задачи; (3) совмещение управляемого рассуждения с MoE-архитектурами для дальнейшего сокращения вычислительных затрат.</w:t>
      </w:r>
    </w:p>
    <w:p>
      <w:r>
        <w:br w:type="page"/>
      </w:r>
    </w:p>
    <w:p>
      <w:pPr>
        <w:pStyle w:val="Heading1"/>
        <w:jc w:val="left"/>
      </w:pPr>
      <w:r>
        <w:t>СПИСОК ИСПОЛЬЗОВАННЫХ ИСТОЧНИКОВ</w:t>
      </w:r>
    </w:p>
    <w:p>
      <w:pPr>
        <w:spacing w:line="360" w:lineRule="auto"/>
      </w:pPr>
      <w:r>
        <w:t>1. DeepSeek-AI. DeepSeek-R1: Incentivizing Reasoning Capability in LLMs via Reinforcement Learning. URL: https://arxiv.org/abs/2501.12948</w:t>
      </w:r>
    </w:p>
    <w:p>
      <w:pPr>
        <w:spacing w:line="360" w:lineRule="auto"/>
      </w:pPr>
      <w:r>
        <w:t>2. Qwen Team. Qwen3 Technical Report. URL: https://arxiv.org/abs/2507.18071</w:t>
      </w:r>
    </w:p>
    <w:p>
      <w:pPr>
        <w:spacing w:line="360" w:lineRule="auto"/>
      </w:pPr>
      <w:r>
        <w:t>3. Wei J., Wang X., Schuurmans D., et al. Chain-of-Thought Prompting Elicits Reasoning in Large Language Models. URL: https://arxiv.org/abs/2201.11903</w:t>
      </w:r>
    </w:p>
    <w:p>
      <w:pPr>
        <w:spacing w:line="360" w:lineRule="auto"/>
      </w:pPr>
      <w:r>
        <w:t>4. VanLehn K. The Relative Effectiveness of Human Tutoring, Intelligent Tutoring Systems, and Other Tutoring Systems. Educational Psychologist, 2011, vol. 46, no. 4, pp. 197–221.</w:t>
      </w:r>
    </w:p>
    <w:p>
      <w:pPr>
        <w:spacing w:line="360" w:lineRule="auto"/>
      </w:pPr>
      <w:r>
        <w:t>5. Shao Z., et al. DeepSeekMath: Pushing the Limits of Mathematical Reasoning in Open Language Models. URL: https://arxiv.org/abs/2402.03300</w:t>
      </w:r>
    </w:p>
    <w:p>
      <w:pPr>
        <w:spacing w:line="360" w:lineRule="auto"/>
      </w:pPr>
      <w:r>
        <w:t>6. Setlur A., et al. Reward Dithering: A Hitchhiker's Guide to Reward Hacking-Free GRPO Training. URL: https://arxiv.org/abs/2506.18631</w:t>
      </w:r>
    </w:p>
    <w:p>
      <w:pPr>
        <w:spacing w:line="360" w:lineRule="auto"/>
      </w:pPr>
      <w:r>
        <w:t>7. Liu Z., et al. Understanding R1-Zero-Like Training: A Critical Perspective (Dr. GRPO). URL: https://arxiv.org/abs/2503.20783</w:t>
      </w:r>
    </w:p>
    <w:p>
      <w:pPr>
        <w:spacing w:line="360" w:lineRule="auto"/>
      </w:pPr>
      <w:r>
        <w:t>8. GDPO: Decoupled Multi-Objective Reward Normalization for Group Relative Policy Optimization. URL: https://arxiv.org/abs/2601.05242</w:t>
      </w:r>
    </w:p>
    <w:p>
      <w:pPr>
        <w:spacing w:line="360" w:lineRule="auto"/>
      </w:pPr>
      <w:r>
        <w:t>9. Ethayarajh K., et al. KTO: Model Alignment as Prospect Theoretic Optimization. URL: https://arxiv.org/abs/2402.01306</w:t>
      </w:r>
    </w:p>
    <w:p>
      <w:pPr>
        <w:spacing w:line="360" w:lineRule="auto"/>
      </w:pPr>
      <w:r>
        <w:t>10. Rafailov R., et al. Direct Preference Optimization: Your Language Model is Secretly a Reward Model. Advances in Neural Information Processing Systems (NeurIPS), 2023.</w:t>
      </w:r>
    </w:p>
    <w:p>
      <w:pPr>
        <w:spacing w:line="360" w:lineRule="auto"/>
      </w:pPr>
      <w:r>
        <w:t>11. Lin Y., et al. Tina: Thinking is Not All You Need — LoRA-based Reinforcement Learning for LLMs. URL: https://arxiv.org/abs/2504.15777</w:t>
      </w:r>
    </w:p>
    <w:p>
      <w:pPr>
        <w:spacing w:line="360" w:lineRule="auto"/>
      </w:pPr>
      <w:r>
        <w:t>12. Hu E.J., et al. LoRA: Low-Rank Adaptation of Large Language Models. URL: https://arxiv.org/abs/2106.09685</w:t>
      </w:r>
    </w:p>
    <w:p>
      <w:pPr>
        <w:spacing w:line="360" w:lineRule="auto"/>
      </w:pPr>
      <w:r>
        <w:t>13. Schulman J., et al. Proximal Policy Optimization Algorithms. URL: https://arxiv.org/abs/1707.06347</w:t>
      </w:r>
    </w:p>
    <w:p>
      <w:pPr>
        <w:spacing w:line="360" w:lineRule="auto"/>
      </w:pPr>
      <w:r>
        <w:t>14. Kahneman D., Tversky A. Prospect Theory: An Analysis of Decision under Risk. Econometrica, 1979, vol. 47(2), pp. 263–291.</w:t>
      </w:r>
    </w:p>
    <w:p>
      <w:pPr>
        <w:spacing w:line="360" w:lineRule="auto"/>
      </w:pPr>
      <w:r>
        <w:t>15. Hendrycks D., et al. Measuring Massive Multitask Language Understanding. URL: https://arxiv.org/abs/2009.03300 (MMLU).</w:t>
      </w:r>
    </w:p>
    <w:p>
      <w:pPr>
        <w:spacing w:line="360" w:lineRule="auto"/>
      </w:pPr>
      <w:r>
        <w:t>16. Shi F., et al. Language Models are Multilingual Chain-of-Thought Reasoners. URL: https://arxiv.org/abs/2210.03057 (MGSM).</w:t>
      </w:r>
    </w:p>
    <w:p>
      <w:pPr>
        <w:spacing w:line="360" w:lineRule="auto"/>
      </w:pPr>
      <w:r>
        <w:t>17. Cobbe K., et al. Training Verifiers to Solve Math Word Problems. URL: https://arxiv.org/abs/2110.14168 (GSM-8K).</w:t>
      </w:r>
    </w:p>
    <w:p>
      <w:pPr>
        <w:spacing w:line="360" w:lineRule="auto"/>
      </w:pPr>
      <w:r>
        <w:t>18. Meurer A., et al. SymPy: Symbolic computing in Python. PeerJ Computer Science, 2017, vol. 3:e103.</w:t>
      </w:r>
    </w:p>
    <w:p>
      <w:pPr>
        <w:spacing w:line="360" w:lineRule="auto"/>
      </w:pPr>
      <w:r>
        <w:t>19. von Werra L., et al. TRL: Transformer Reinforcement Learning. URL: https://github.com/huggingface/trl</w:t>
      </w:r>
    </w:p>
    <w:p>
      <w:pPr>
        <w:spacing w:line="360" w:lineRule="auto"/>
      </w:pPr>
      <w:r>
        <w:t>20. Wolf T., et al. Transformers: State-of-the-Art Natural Language Processing. Proceedings of the 2020 Conference on Empirical Methods in Natural Language Processing, 2020.</w:t>
      </w:r>
    </w:p>
    <w:p>
      <w:r>
        <w:br w:type="page"/>
      </w:r>
    </w:p>
    <w:p>
      <w:pPr>
        <w:pStyle w:val="Heading1"/>
        <w:jc w:val="left"/>
      </w:pPr>
      <w:r>
        <w:t>ПРИЛОЖЕНИЕ А — Реализация ThinkingBudgetProcessor</w:t>
      </w:r>
    </w:p>
    <w:p>
      <w:pPr>
        <w:spacing w:line="360" w:lineRule="auto"/>
        <w:ind w:firstLine="709"/>
      </w:pPr>
      <w:r>
        <w:t>Ниже приведён полный псевдокод компонента ThinkingBudgetProcessor на языке Python, реализующий двухступенчатый механизм «soft nudge + hard force» для управляемого завершения thinking-фазы.</w:t>
      </w:r>
    </w:p>
    <w:p>
      <w:pPr>
        <w:spacing w:line="240" w:lineRule="auto"/>
        <w:ind w:left="283"/>
      </w:pPr>
      <w:r>
        <w:rPr>
          <w:rFonts w:ascii="Consolas" w:hAnsi="Consolas"/>
          <w:sz w:val="20"/>
        </w:rPr>
        <w:t>from transformers import LogitsProcessor</w:t>
        <w:br/>
        <w:t>import torch</w:t>
        <w:br/>
        <w:br/>
        <w:t>class ThinkingBudgetProcessor(LogitsProcessor):</w:t>
        <w:br/>
        <w:t xml:space="preserve">    """Контролирует бюджет thinking-токенов в каждой</w:t>
        <w:br/>
        <w:t xml:space="preserve">    последовательности батча."""</w:t>
        <w:br/>
        <w:br/>
        <w:t xml:space="preserve">    def __init__(self, tokenizer, thinking_budget=1500, soft_ratio=0.9,</w:t>
        <w:br/>
        <w:t xml:space="preserve">                 soft_bias=5.0):</w:t>
        <w:br/>
        <w:t xml:space="preserve">        self.think_open_id  = tokenizer.convert_tokens_to_ids('&lt;think&gt;')</w:t>
        <w:br/>
        <w:t xml:space="preserve">        self.think_close_id = tokenizer.convert_tokens_to_ids('&lt;/think&gt;')</w:t>
        <w:br/>
        <w:t xml:space="preserve">        self.budget = thinking_budget</w:t>
        <w:br/>
        <w:t xml:space="preserve">        self.soft_threshold = int(thinking_budget * soft_ratio)</w:t>
        <w:br/>
        <w:t xml:space="preserve">        self.soft_bias = soft_bias</w:t>
        <w:br/>
        <w:t xml:space="preserve">        # Per-sequence state (batched generation)</w:t>
        <w:br/>
        <w:t xml:space="preserve">        self.in_thinking = {}          # idx -&gt; bool</w:t>
        <w:br/>
        <w:t xml:space="preserve">        self.thinking_tokens = {}      # idx -&gt; count</w:t>
        <w:br/>
        <w:br/>
        <w:t xml:space="preserve">    def __call__(self, input_ids: torch.LongTensor,</w:t>
        <w:br/>
        <w:t xml:space="preserve">                 scores: torch.FloatTensor) -&gt; torch.FloatTensor:</w:t>
        <w:br/>
        <w:t xml:space="preserve">        batch_size = input_ids.shape[0]</w:t>
        <w:br/>
        <w:t xml:space="preserve">        for idx in range(batch_size):</w:t>
        <w:br/>
        <w:t xml:space="preserve">            last_token = input_ids[idx, -1].item()</w:t>
        <w:br/>
        <w:t xml:space="preserve">            # Detect thinking-phase start</w:t>
        <w:br/>
        <w:t xml:space="preserve">            if last_token == self.think_open_id:</w:t>
        <w:br/>
        <w:t xml:space="preserve">                self.in_thinking[idx] = True</w:t>
        <w:br/>
        <w:t xml:space="preserve">                self.thinking_tokens[idx] = 0</w:t>
        <w:br/>
        <w:t xml:space="preserve">            elif last_token == self.think_close_id:</w:t>
        <w:br/>
        <w:t xml:space="preserve">                self.in_thinking[idx] = False</w:t>
        <w:br/>
        <w:br/>
        <w:t xml:space="preserve">            if not self.in_thinking.get(idx, False):</w:t>
        <w:br/>
        <w:t xml:space="preserve">                continue  # pass-through outside thinking</w:t>
        <w:br/>
        <w:br/>
        <w:t xml:space="preserve">            self.thinking_tokens[idx] += 1</w:t>
        <w:br/>
        <w:t xml:space="preserve">            used = self.thinking_tokens[idx]</w:t>
        <w:br/>
        <w:br/>
        <w:t xml:space="preserve">            if used &gt;= self.budget:</w:t>
        <w:br/>
        <w:t xml:space="preserve">                # HARD FORCE: only &lt;/think&gt; token is permitted</w:t>
        <w:br/>
        <w:t xml:space="preserve">                scores[idx, :] = float('-inf')</w:t>
        <w:br/>
        <w:t xml:space="preserve">                scores[idx, self.think_close_id] = 0.0</w:t>
        <w:br/>
        <w:t xml:space="preserve">            elif used &gt;= self.soft_threshold:</w:t>
        <w:br/>
        <w:t xml:space="preserve">                # SOFT NUDGE: boost &lt;/think&gt; logit</w:t>
        <w:br/>
        <w:t xml:space="preserve">                scores[idx, self.think_close_id] += self.soft_bias</w:t>
        <w:br/>
        <w:t xml:space="preserve">        return scores</w:t>
        <w:br/>
      </w:r>
    </w:p>
    <w:p>
      <w:pPr>
        <w:spacing w:line="360" w:lineRule="auto"/>
        <w:ind w:firstLine="709"/>
      </w:pPr>
      <w:r>
        <w:t>Применение процессора в конфигурации генерации:</w:t>
      </w:r>
    </w:p>
    <w:p>
      <w:pPr>
        <w:spacing w:line="240" w:lineRule="auto"/>
        <w:ind w:left="283"/>
      </w:pPr>
      <w:r>
        <w:rPr>
          <w:rFonts w:ascii="Consolas" w:hAnsi="Consolas"/>
          <w:sz w:val="20"/>
        </w:rPr>
        <w:t>from transformers import GenerationConfig, LogitsProcessorList</w:t>
        <w:br/>
        <w:br/>
        <w:t>processor = ThinkingBudgetProcessor(</w:t>
        <w:br/>
        <w:t xml:space="preserve">    tokenizer=tokenizer,</w:t>
        <w:br/>
        <w:t xml:space="preserve">    thinking_budget=1500,</w:t>
        <w:br/>
        <w:t xml:space="preserve">    soft_ratio=0.9,</w:t>
        <w:br/>
        <w:t xml:space="preserve">    soft_bias=5.0,</w:t>
        <w:br/>
        <w:t>)</w:t>
        <w:br/>
        <w:t>generation_config = GenerationConfig(</w:t>
        <w:br/>
        <w:t xml:space="preserve">    max_new_tokens=2048,</w:t>
        <w:br/>
        <w:t xml:space="preserve">    temperature=0.7,</w:t>
        <w:br/>
        <w:t xml:space="preserve">    top_p=0.9,</w:t>
        <w:br/>
        <w:t xml:space="preserve">    logits_processor=LogitsProcessorList([processor]),</w:t>
        <w:br/>
        <w:t>)</w:t>
        <w:br/>
        <w:t>output = model.generate(input_ids, generation_config=generation_config)</w:t>
        <w:br/>
      </w:r>
    </w:p>
    <w:p>
      <w:r>
        <w:br w:type="page"/>
      </w:r>
    </w:p>
    <w:p>
      <w:pPr>
        <w:pStyle w:val="Heading1"/>
        <w:jc w:val="left"/>
      </w:pPr>
      <w:r>
        <w:t>ПРИЛОЖЕНИЕ Б — Конфигурация обучения</w:t>
      </w:r>
    </w:p>
    <w:p>
      <w:pPr>
        <w:spacing w:line="360" w:lineRule="auto"/>
        <w:ind w:firstLine="709"/>
      </w:pPr>
      <w:r>
        <w:t>Полная конфигурация GSPO-стадии (Стадия 1) в формате TRL GRPOConfig:</w:t>
      </w:r>
    </w:p>
    <w:p>
      <w:pPr>
        <w:spacing w:line="240" w:lineRule="auto"/>
        <w:ind w:left="283"/>
      </w:pPr>
      <w:r>
        <w:rPr>
          <w:rFonts w:ascii="Consolas" w:hAnsi="Consolas"/>
          <w:sz w:val="20"/>
        </w:rPr>
        <w:t>from trl import GRPOConfig</w:t>
        <w:br/>
        <w:br/>
        <w:t>training_args = GRPOConfig(</w:t>
        <w:br/>
        <w:t xml:space="preserve">    # Modal</w:t>
        <w:br/>
        <w:t xml:space="preserve">    output_dir='./checkpoints/stage1_gspo',</w:t>
        <w:br/>
        <w:t xml:space="preserve">    per_device_train_batch_size=1,</w:t>
        <w:br/>
        <w:t xml:space="preserve">    gradient_accumulation_steps=8,</w:t>
        <w:br/>
        <w:t xml:space="preserve">    num_train_epochs=3,</w:t>
        <w:br/>
        <w:br/>
        <w:t xml:space="preserve">    # GRPO/GSPO-specific</w:t>
        <w:br/>
        <w:t xml:space="preserve">    num_generations=8,               # G=8 completions per prompt</w:t>
        <w:br/>
        <w:t xml:space="preserve">    max_completion_length=2048,</w:t>
        <w:br/>
        <w:t xml:space="preserve">    max_prompt_length=1024,</w:t>
        <w:br/>
        <w:t xml:space="preserve">    loss_type='dr_grpo',             # Dr. GRPO [7]</w:t>
        <w:br/>
        <w:t xml:space="preserve">    importance_sampling_level='sequence',  # GSPO [2]</w:t>
        <w:br/>
        <w:t xml:space="preserve">    reward_weights=[0.7, 0.15, 0.15],</w:t>
        <w:br/>
        <w:t xml:space="preserve">      # correctness, format, socratic</w:t>
        <w:br/>
        <w:t xml:space="preserve">    multi_objective_aggregation='gdpo_decoupled',  # GDPO [8]</w:t>
        <w:br/>
        <w:br/>
        <w:t xml:space="preserve">    # Optimization</w:t>
        <w:br/>
        <w:t xml:space="preserve">    learning_rate=5e-7,</w:t>
        <w:br/>
        <w:t xml:space="preserve">    warmup_ratio=0.05,</w:t>
        <w:br/>
        <w:t xml:space="preserve">    lr_scheduler_type='cosine',</w:t>
        <w:br/>
        <w:t xml:space="preserve">    optim='adamw_torch',</w:t>
        <w:br/>
        <w:br/>
        <w:t xml:space="preserve">    # LoRA</w:t>
        <w:br/>
        <w:t xml:space="preserve">    use_peft=True,</w:t>
        <w:br/>
        <w:t xml:space="preserve">    peft_config=LoraConfig(</w:t>
        <w:br/>
        <w:t xml:space="preserve">        r=16, lora_alpha=32,</w:t>
        <w:br/>
        <w:t xml:space="preserve">        target_modules=['q_proj', 'k_proj', 'v_proj', 'o_proj'],</w:t>
        <w:br/>
        <w:t xml:space="preserve">        lora_dropout=0.05,</w:t>
        <w:br/>
        <w:t xml:space="preserve">    ),</w:t>
        <w:br/>
        <w:br/>
        <w:t xml:space="preserve">    # Reward dithering (ReDit [6])</w:t>
        <w:br/>
        <w:t xml:space="preserve">    reward_dithering_sigma=0.05,</w:t>
        <w:br/>
        <w:br/>
        <w:t xml:space="preserve">    # Logging</w:t>
        <w:br/>
        <w:t xml:space="preserve">    logging_steps=10,</w:t>
        <w:br/>
        <w:t xml:space="preserve">    save_steps=100,</w:t>
        <w:br/>
        <w:t xml:space="preserve">    report_to='wandb',</w:t>
        <w:br/>
        <w:t>)</w:t>
        <w:br/>
      </w:r>
    </w:p>
    <w:p>
      <w:pPr>
        <w:spacing w:line="360" w:lineRule="auto"/>
        <w:ind w:firstLine="709"/>
      </w:pPr>
      <w:r>
        <w:t>Конфигурация KTO-стадии (Стадия 2):</w:t>
      </w:r>
    </w:p>
    <w:p>
      <w:pPr>
        <w:spacing w:line="240" w:lineRule="auto"/>
        <w:ind w:left="283"/>
      </w:pPr>
      <w:r>
        <w:rPr>
          <w:rFonts w:ascii="Consolas" w:hAnsi="Consolas"/>
          <w:sz w:val="20"/>
        </w:rPr>
        <w:t>from trl import KTOConfig</w:t>
        <w:br/>
        <w:br/>
        <w:t>kto_args = KTOConfig(</w:t>
        <w:br/>
        <w:t xml:space="preserve">    output_dir='./checkpoints/stage2_kto',</w:t>
        <w:br/>
        <w:t xml:space="preserve">    per_device_train_batch_size=2,</w:t>
        <w:br/>
        <w:t xml:space="preserve">    gradient_accumulation_steps=4,</w:t>
        <w:br/>
        <w:t xml:space="preserve">    num_train_epochs=2,</w:t>
        <w:br/>
        <w:t xml:space="preserve">    beta=0.1,                        # KTO strength</w:t>
        <w:br/>
        <w:t xml:space="preserve">    desirable_weight=1.0,</w:t>
        <w:br/>
        <w:t xml:space="preserve">    undesirable_weight=1.0,</w:t>
        <w:br/>
        <w:t xml:space="preserve">    learning_rate=5e-6,</w:t>
        <w:br/>
        <w:t xml:space="preserve">    optim='lion_8bit',               # Lion (memory-efficient)</w:t>
        <w:br/>
        <w:t xml:space="preserve">    use_peft=True,</w:t>
        <w:br/>
        <w:t xml:space="preserve">    peft_config=LoraConfig(r=16, lora_alpha=32, ...),</w:t>
        <w:br/>
        <w:t>)</w:t>
        <w:br/>
      </w:r>
    </w:p>
    <w:p>
      <w:pPr>
        <w:spacing w:line="360" w:lineRule="auto"/>
        <w:ind w:firstLine="709"/>
      </w:pPr>
      <w:r>
        <w:t>Конфигурация DPO-стадии (Стадия 3):</w:t>
      </w:r>
    </w:p>
    <w:p>
      <w:pPr>
        <w:spacing w:line="240" w:lineRule="auto"/>
        <w:ind w:left="283"/>
      </w:pPr>
      <w:r>
        <w:rPr>
          <w:rFonts w:ascii="Consolas" w:hAnsi="Consolas"/>
          <w:sz w:val="20"/>
        </w:rPr>
        <w:t>from trl import DPOConfig</w:t>
        <w:br/>
        <w:br/>
        <w:t>dpo_args = DPOConfig(</w:t>
        <w:br/>
        <w:t xml:space="preserve">    output_dir='./checkpoints/stage3_dpo',</w:t>
        <w:br/>
        <w:t xml:space="preserve">    per_device_train_batch_size=2,</w:t>
        <w:br/>
        <w:t xml:space="preserve">    gradient_accumulation_steps=4,</w:t>
        <w:br/>
        <w:t xml:space="preserve">    num_train_epochs=1,</w:t>
        <w:br/>
        <w:t xml:space="preserve">    beta=0.1,                        # DPO strength</w:t>
        <w:br/>
        <w:t xml:space="preserve">    learning_rate=1e-6,              # very conservative</w:t>
        <w:br/>
        <w:t xml:space="preserve">    use_peft=True,</w:t>
        <w:br/>
        <w:t xml:space="preserve">    peft_config=LoraConfig(r=16, lora_alpha=32, ...),</w:t>
        <w:br/>
        <w:t>)</w:t>
        <w:br/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