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suppressAutoHyphens w:val="true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УДК 004.852</w:t>
      </w:r>
    </w:p>
    <w:p>
      <w:pPr>
        <w:spacing w:line="240" w:lineRule="auto" w:before="0" w:after="0"/>
        <w:suppressAutoHyphens w:val="true"/>
        <w:jc w:val="left"/>
      </w:pPr>
      <w:r>
        <w:rPr>
          <w:rFonts w:ascii="Times New Roman" w:hAnsi="Times New Roman" w:eastAsia="Times New Roman" w:cs="Times New Roman"/>
          <w:b/>
          <w:sz w:val="24"/>
        </w:rPr>
        <w:t>Метод управляемого рассуждения при обучении с подкреплением языковых моделей для STEM-репетитора</w:t>
      </w:r>
    </w:p>
    <w:p>
      <w:pPr>
        <w:spacing w:line="240" w:lineRule="auto" w:before="0" w:after="0"/>
        <w:tabs>
          <w:tab w:pos="9354" w:val="right"/>
        </w:tabs>
        <w:suppressAutoHyphens w:val="true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Сухацкий Максим Олегович</w:t>
        <w:tab/>
        <w:t>loxterpoi@gmail.com</w:t>
      </w:r>
    </w:p>
    <w:p>
      <w:pPr>
        <w:spacing w:line="240" w:lineRule="auto" w:before="0" w:after="0"/>
        <w:tabs>
          <w:tab w:pos="9354" w:val="right"/>
        </w:tabs>
        <w:suppressAutoHyphens w:val="true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Корлякова Мария Олеговна</w:t>
        <w:tab/>
        <w:t>mkorlyakova@yandex.ru</w:t>
      </w:r>
    </w:p>
    <w:p>
      <w:pPr>
        <w:spacing w:line="240" w:lineRule="auto" w:before="0" w:after="0"/>
        <w:suppressAutoHyphens w:val="true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КФ МГТУ имени Н.Э. Баумана</w:t>
      </w:r>
    </w:p>
    <w:p>
      <w:pPr>
        <w:spacing w:line="240" w:lineRule="auto" w:before="0" w:after="0"/>
        <w:ind w:firstLine="709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Современные языковые модели (LLM) с режимом рассуждения, такие как DeepSeek-R1 и Qwen3.5, демонстрируют высокое качество на задачах многошагового логического вывода благодаря механизму chain-of-thought (CoT), генерирующему промежуточные шаги в тегах &lt;think&gt;...&lt;/think&gt; перед финальным ответом [1]. Применение таких моделей в интеллектуальных обучающих системах (Intelligent Tutoring Systems, ITS) по STEM-дисциплинам требует домен-специфичного дообучения методом Group Relative Policy Optimization (GRPO) [2] и его расширения — Group Sequence Policy Optimization (GSPO). Работа посвящена решению проблемы несходимости GRPO-дообучения моделей с режимом рассуждения.</w:t>
      </w:r>
    </w:p>
    <w:p>
      <w:pPr>
        <w:spacing w:line="240" w:lineRule="auto" w:before="0" w:after="0"/>
        <w:ind w:firstLine="709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Критическая проблема состоит в том, что при rollout-генерации модель входит в неограниченный цикл рассуждений и не формирует закрывающий тег &lt;/think&gt;. В результате 100% сгенерированных completions обрезаются по максимальной длине, награда равна нулю, и алгоритм GRPO не может вычислить значимые преимущества (advantages). Экспериментально проверены четыре подхода: включение режима рассуждения при MAX_COMPLETION=1024 и 4096 токенах даёт 100% обрезку; отключение рассуждения снижает долю обрезок до 1,6%, однако корректность падает до нуля за 50 шагов, поскольку модель неспособна решать STEM-задачи без промежуточных выкладок. Систематический анализ литературы по RL-дообучению LLM (более 20 публикаций) позволил сформировать стратегию управляемого рассуждения.</w:t>
      </w:r>
    </w:p>
    <w:p>
      <w:pPr>
        <w:spacing w:line="240" w:lineRule="auto" w:before="0" w:after="0"/>
        <w:ind w:firstLine="709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Предложенный метод включает три взаимодополняющих компонента. Первый — ThinkingBudgetProcessor, процессор логитов (LogitsProcessor) HuggingFace Transformers, отслеживающий число сгенерированных токенов рассуждения по каждой последовательности батча: при достижении 90% бюджета (1350 из 1500 токенов) логит токена &lt;/think&gt; усиливается на +5,0 (мягкое подталкивание), а при 100% — все прочие логиты устанавливаются в −∞, что гарантирует завершение фазы рассуждения. В отличие от подхода S1 [3], где принудительное завершение применяется на этапе test-time scaling, ThinkingBudgetProcessor встроен в rollout-генерацию RL и обеспечивает гарантированное завершение каждой из G completions группы, что необходимо для корректного вычисления преимуществ (advantages) в GRPO. Второй компонент — Cold-Start SFT: 200 шагов обучения с учителем на корректных решениях, отобранных методом rejection sampling из самой базовой модели с автоматической верификацией (SymPy для математики, ChemPy для химии); это повышает базовую точность с ≈5% до 15–30% и обеспечивает GRPO достаточное число положительных примеров. Третий — дитеринг наград (reward dithering): добавление гауссова шума σ=0,05 к бинарной награде формирует непрерывный ландшафт, так что группы с одинаковой нулевой наградой приобретают ненулевую дисперсию и генерируют обучающий сигнал.</w:t>
      </w:r>
    </w:p>
    <w:p>
      <w:pPr>
        <w:spacing w:line="240" w:lineRule="auto" w:before="0" w:after="0"/>
        <w:ind w:firstLine="709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Апробация проводилась на модели Qwen3.5-9B (GPU NVIDIA RTX PRO 6000, 102 ГБ VRAM) в рамках 3-стадийного пайплайна: стадия 1 — GSPO с тройной GDPO-нормированной наградой (корректность 0,7; формат 0,15; сократический стиль 0,15); стадия 2 — Kahneman-Tversky Optimization (KTO) для согласования (alignment) с сократическим методом обучения; стадия 3 — Direct Preference Optimization (DPO) для финальной полировки стиля. Ключевые гиперпараметры GSPO: LoRA r=16, α=32, learning rate 5·10⁻⁷, размер группы G=8, MAX_COMPLETION=2048 токенов, THINKING_BUDGET=1500 токенов, importance_sampling_level=sequence.</w:t>
      </w:r>
    </w:p>
    <w:p>
      <w:pPr>
        <w:spacing w:line="240" w:lineRule="auto" w:before="0" w:after="0"/>
        <w:ind w:firstLine="709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Оценочный бенчмарк включает 3678 задач по пяти STEM-дисциплинам (математика, физика, химия, биология, информатика), собран из MGSM Russian (250), ruMMLU STEM (3210) и авторского набора (218). Верификация автоматическая: SymPy с символьным упрощением — для математики, ChemPy для стехиометрии, регулярные выражения с допуском — для физики, exact match — для биологии и информатики. Базовая точность Qwen3.5-9B (macro-average) составила 55,1% со значительным разбросом по доменам: 79,1% — математика, 74,4% — физика, 46,7% — химия, 46,5% — информатика, 28,6% — биология.</w:t>
      </w:r>
    </w:p>
    <w:p>
      <w:pPr>
        <w:spacing w:line="240" w:lineRule="auto" w:before="0" w:after="0"/>
        <w:ind w:firstLine="709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Предложенный метод снижает долю обрезанных completions со 100% до 14,3%, а корректность на шаге 50 достигает 21,7%, что обеспечивает стабильный обучающий сигнал. 3-стадийный пайплайн повышает общую точность Qwen3.5-9B до 66,5%, то есть на 11,4 процентных пункта относительно базовой модели; по стадиям прирост составил: GSPO +8,4 п.п. (до 63,5%), KTO +1,3 п.п. (до 64,8%), DPO +1,7 п.п. (до 66,5%). Наибольший относительный прирост получен в биологии (+14,4 п.п., с 28,6% до 43,0%) и информатике (+12,1 п.п., с 46,5% до 58,6%) — доменах с низкой базовой точностью, куда curriculum learning направляет обучающий сигнал. Стадия KTO дополнительно повышает долю ответов с сократическими вопросами с 34% до 61%.</w:t>
      </w:r>
    </w:p>
    <w:p>
      <w:pPr>
        <w:spacing w:line="240" w:lineRule="auto" w:before="0" w:after="0"/>
        <w:ind w:firstLine="709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Разработанный метод управляемого рассуждения устраняет три ключевых барьера сходимости GSPO-дообучения thinking-моделей: неограниченное рассуждение, недостаток положительных примеров и нулевую дисперсию награды. Полученная модель демонстрирует стабильный прирост во всех пяти STEM-доменах без деградации в сильных и пригодна для использования в интеллектуальной обучающей системе для русскоязычных учеников 7–11 классов.</w:t>
      </w:r>
    </w:p>
    <w:p>
      <w:pPr>
        <w:spacing w:line="240" w:lineRule="auto" w:before="0" w:after="0"/>
        <w:suppressAutoHyphens w:val="true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Список литературы</w:t>
      </w:r>
    </w:p>
    <w:p>
      <w:pPr>
        <w:spacing w:line="240" w:lineRule="auto" w:before="0" w:after="0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1. Guo D. et al. DeepSeek-R1: Incentivizing Reasoning Capability in LLMs via Reinforcement Learning [Electronic resource]. URL: https://arxiv.org/abs/2501.12948 (access date: 20.03.2026).</w:t>
      </w:r>
    </w:p>
    <w:p>
      <w:pPr>
        <w:spacing w:line="240" w:lineRule="auto" w:before="0" w:after="0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2. Shao Z. et al. DeepSeekMath: Pushing the Limits of Mathematical Reasoning in Open Language Models [Electronic resource]. URL: https://arxiv.org/abs/2402.03300 (access date: 20.03.2026).</w:t>
      </w:r>
    </w:p>
    <w:p>
      <w:pPr>
        <w:spacing w:line="240" w:lineRule="auto" w:before="0" w:after="0"/>
        <w:suppressAutoHyphens w:val="true"/>
        <w:jc w:val="both"/>
      </w:pPr>
      <w:r>
        <w:rPr>
          <w:rFonts w:ascii="Times New Roman" w:hAnsi="Times New Roman" w:eastAsia="Times New Roman" w:cs="Times New Roman"/>
          <w:b w:val="0"/>
          <w:sz w:val="24"/>
        </w:rPr>
        <w:t>3. Muennighoff N. et al. s1: Simple Test-Time Scaling [Electronic resource]. URL: https://arxiv.org/abs/2501.19393 (access date: 20.03.2026).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