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6325" w14:textId="77777777" w:rsidR="005649A6" w:rsidRPr="006B44EB" w:rsidRDefault="00000000">
      <w:pPr>
        <w:spacing w:after="120"/>
        <w:rPr>
          <w:lang w:val="ru-RU"/>
        </w:rPr>
      </w:pPr>
      <w:r w:rsidRPr="006B44EB">
        <w:rPr>
          <w:rFonts w:ascii="Times New Roman" w:eastAsia="Times New Roman" w:hAnsi="Times New Roman" w:cs="Times New Roman"/>
          <w:b/>
          <w:sz w:val="28"/>
          <w:lang w:val="ru-RU"/>
        </w:rPr>
        <w:t>Секция 5. Методы теории автоматического управления; автоматизация и управление технологическими процессами и производствами</w:t>
      </w:r>
    </w:p>
    <w:p w14:paraId="37C947AD" w14:textId="77777777" w:rsidR="005649A6" w:rsidRPr="006B44EB" w:rsidRDefault="00000000">
      <w:pPr>
        <w:spacing w:after="120"/>
        <w:rPr>
          <w:lang w:val="ru-RU"/>
        </w:rPr>
      </w:pPr>
      <w:r w:rsidRPr="006B44EB">
        <w:rPr>
          <w:rFonts w:ascii="Times New Roman" w:eastAsia="Times New Roman" w:hAnsi="Times New Roman" w:cs="Times New Roman"/>
          <w:b/>
          <w:sz w:val="32"/>
          <w:lang w:val="ru-RU"/>
        </w:rPr>
        <w:t>УДК 004.852</w:t>
      </w:r>
    </w:p>
    <w:p w14:paraId="3FCF99C4" w14:textId="77777777" w:rsidR="005649A6" w:rsidRPr="006B44EB" w:rsidRDefault="00000000">
      <w:pPr>
        <w:spacing w:after="160"/>
        <w:jc w:val="center"/>
        <w:rPr>
          <w:lang w:val="ru-RU"/>
        </w:rPr>
      </w:pPr>
      <w:r w:rsidRPr="006B44EB">
        <w:rPr>
          <w:rFonts w:ascii="Times New Roman" w:eastAsia="Times New Roman" w:hAnsi="Times New Roman" w:cs="Times New Roman"/>
          <w:b/>
          <w:sz w:val="32"/>
          <w:lang w:val="ru-RU"/>
        </w:rPr>
        <w:t xml:space="preserve">Метод управляемого рассуждения при обучении с подкреплением языковых моделей для </w:t>
      </w:r>
      <w:r>
        <w:rPr>
          <w:rFonts w:ascii="Times New Roman" w:eastAsia="Times New Roman" w:hAnsi="Times New Roman" w:cs="Times New Roman"/>
          <w:b/>
          <w:sz w:val="32"/>
        </w:rPr>
        <w:t>STEM</w:t>
      </w:r>
      <w:r w:rsidRPr="006B44EB">
        <w:rPr>
          <w:rFonts w:ascii="Times New Roman" w:eastAsia="Times New Roman" w:hAnsi="Times New Roman" w:cs="Times New Roman"/>
          <w:b/>
          <w:sz w:val="32"/>
          <w:lang w:val="ru-RU"/>
        </w:rPr>
        <w:t>-репетитора</w:t>
      </w:r>
    </w:p>
    <w:p w14:paraId="1A4AC6B4" w14:textId="77777777" w:rsidR="005649A6" w:rsidRPr="006B44EB" w:rsidRDefault="00000000">
      <w:pPr>
        <w:spacing w:after="40"/>
        <w:rPr>
          <w:lang w:val="ru-RU"/>
        </w:rPr>
      </w:pPr>
      <w:r w:rsidRPr="006B44EB">
        <w:rPr>
          <w:rFonts w:ascii="Times New Roman" w:eastAsia="Times New Roman" w:hAnsi="Times New Roman" w:cs="Times New Roman"/>
          <w:b/>
          <w:i/>
          <w:sz w:val="24"/>
          <w:lang w:val="ru-RU"/>
        </w:rPr>
        <w:t xml:space="preserve">Сухацкий Максим Олегович                                                </w:t>
      </w:r>
      <w:r>
        <w:rPr>
          <w:rFonts w:ascii="Times New Roman" w:eastAsia="Times New Roman" w:hAnsi="Times New Roman" w:cs="Times New Roman"/>
          <w:b/>
          <w:i/>
          <w:sz w:val="24"/>
        </w:rPr>
        <w:t>loxterpoi</w:t>
      </w:r>
      <w:r w:rsidRPr="006B44EB">
        <w:rPr>
          <w:rFonts w:ascii="Times New Roman" w:eastAsia="Times New Roman" w:hAnsi="Times New Roman" w:cs="Times New Roman"/>
          <w:b/>
          <w:i/>
          <w:sz w:val="24"/>
          <w:lang w:val="ru-RU"/>
        </w:rPr>
        <w:t>@</w:t>
      </w:r>
      <w:r>
        <w:rPr>
          <w:rFonts w:ascii="Times New Roman" w:eastAsia="Times New Roman" w:hAnsi="Times New Roman" w:cs="Times New Roman"/>
          <w:b/>
          <w:i/>
          <w:sz w:val="24"/>
        </w:rPr>
        <w:t>gmail</w:t>
      </w:r>
      <w:r w:rsidRPr="006B44EB">
        <w:rPr>
          <w:rFonts w:ascii="Times New Roman" w:eastAsia="Times New Roman" w:hAnsi="Times New Roman" w:cs="Times New Roman"/>
          <w:b/>
          <w:i/>
          <w:sz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i/>
          <w:sz w:val="24"/>
        </w:rPr>
        <w:t>com</w:t>
      </w:r>
    </w:p>
    <w:p w14:paraId="41B59A58" w14:textId="77777777" w:rsidR="005649A6" w:rsidRPr="006B44EB" w:rsidRDefault="00000000">
      <w:pPr>
        <w:spacing w:after="40"/>
        <w:rPr>
          <w:lang w:val="ru-RU"/>
        </w:rPr>
      </w:pPr>
      <w:r w:rsidRPr="006B44EB">
        <w:rPr>
          <w:rFonts w:ascii="Times New Roman" w:eastAsia="Times New Roman" w:hAnsi="Times New Roman" w:cs="Times New Roman"/>
          <w:b/>
          <w:i/>
          <w:sz w:val="24"/>
          <w:lang w:val="ru-RU"/>
        </w:rPr>
        <w:t xml:space="preserve">Корлякова Мария Олеговна                                                 </w:t>
      </w:r>
      <w:r>
        <w:rPr>
          <w:rFonts w:ascii="Times New Roman" w:eastAsia="Times New Roman" w:hAnsi="Times New Roman" w:cs="Times New Roman"/>
          <w:b/>
          <w:i/>
          <w:sz w:val="24"/>
        </w:rPr>
        <w:t>mkorlyakova</w:t>
      </w:r>
      <w:r w:rsidRPr="006B44EB">
        <w:rPr>
          <w:rFonts w:ascii="Times New Roman" w:eastAsia="Times New Roman" w:hAnsi="Times New Roman" w:cs="Times New Roman"/>
          <w:b/>
          <w:i/>
          <w:sz w:val="24"/>
          <w:lang w:val="ru-RU"/>
        </w:rPr>
        <w:t>@</w:t>
      </w:r>
      <w:r>
        <w:rPr>
          <w:rFonts w:ascii="Times New Roman" w:eastAsia="Times New Roman" w:hAnsi="Times New Roman" w:cs="Times New Roman"/>
          <w:b/>
          <w:i/>
          <w:sz w:val="24"/>
        </w:rPr>
        <w:t>yandex</w:t>
      </w:r>
      <w:r w:rsidRPr="006B44EB">
        <w:rPr>
          <w:rFonts w:ascii="Times New Roman" w:eastAsia="Times New Roman" w:hAnsi="Times New Roman" w:cs="Times New Roman"/>
          <w:b/>
          <w:i/>
          <w:sz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i/>
          <w:sz w:val="24"/>
        </w:rPr>
        <w:t>ru</w:t>
      </w:r>
    </w:p>
    <w:p w14:paraId="6EEEE939" w14:textId="77777777" w:rsidR="005649A6" w:rsidRPr="006B44EB" w:rsidRDefault="00000000">
      <w:pPr>
        <w:spacing w:after="160"/>
        <w:rPr>
          <w:lang w:val="ru-RU"/>
        </w:rPr>
      </w:pP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>КФ МГТУ имени Н.Э. Баумана</w:t>
      </w:r>
    </w:p>
    <w:p w14:paraId="5E7625F1" w14:textId="77777777" w:rsidR="005649A6" w:rsidRPr="006B44EB" w:rsidRDefault="00000000">
      <w:pPr>
        <w:spacing w:after="80"/>
        <w:jc w:val="both"/>
        <w:rPr>
          <w:lang w:val="ru-RU"/>
        </w:rPr>
      </w:pP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 xml:space="preserve">В статье представлен метод дообучения языковых моделей для </w:t>
      </w:r>
      <w:r>
        <w:rPr>
          <w:rFonts w:ascii="Times New Roman" w:eastAsia="Times New Roman" w:hAnsi="Times New Roman" w:cs="Times New Roman"/>
          <w:i/>
          <w:sz w:val="24"/>
        </w:rPr>
        <w:t>STEM</w:t>
      </w: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>-образования, решающий ключевую проблему — неограниченную генерацию цепочек рассуждений (</w:t>
      </w:r>
      <w:r>
        <w:rPr>
          <w:rFonts w:ascii="Times New Roman" w:eastAsia="Times New Roman" w:hAnsi="Times New Roman" w:cs="Times New Roman"/>
          <w:i/>
          <w:sz w:val="24"/>
        </w:rPr>
        <w:t>thinking</w:t>
      </w: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traces</w:t>
      </w: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 xml:space="preserve">) при обучении с подкреплением. Предложен </w:t>
      </w:r>
      <w:r>
        <w:rPr>
          <w:rFonts w:ascii="Times New Roman" w:eastAsia="Times New Roman" w:hAnsi="Times New Roman" w:cs="Times New Roman"/>
          <w:i/>
          <w:sz w:val="24"/>
        </w:rPr>
        <w:t>ThinkingBudgetProcessor</w:t>
      </w: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 xml:space="preserve"> — процессор логитов, принудительно завершающий фазу рассуждения после заданного бюджета токенов. В сочетании с </w:t>
      </w:r>
      <w:r>
        <w:rPr>
          <w:rFonts w:ascii="Times New Roman" w:eastAsia="Times New Roman" w:hAnsi="Times New Roman" w:cs="Times New Roman"/>
          <w:i/>
          <w:sz w:val="24"/>
        </w:rPr>
        <w:t>Cold</w:t>
      </w: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i/>
          <w:sz w:val="24"/>
        </w:rPr>
        <w:t>Start</w:t>
      </w: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SFT</w:t>
      </w: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i/>
          <w:sz w:val="24"/>
        </w:rPr>
        <w:t>ReDit</w:t>
      </w: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 xml:space="preserve">-дитерингом наград метод обеспечивает стабильную сходимость </w:t>
      </w:r>
      <w:r>
        <w:rPr>
          <w:rFonts w:ascii="Times New Roman" w:eastAsia="Times New Roman" w:hAnsi="Times New Roman" w:cs="Times New Roman"/>
          <w:i/>
          <w:sz w:val="24"/>
        </w:rPr>
        <w:t>GSPO</w:t>
      </w: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 xml:space="preserve">-обучения. На бенчмарке из 3678 задач по 5 </w:t>
      </w:r>
      <w:r>
        <w:rPr>
          <w:rFonts w:ascii="Times New Roman" w:eastAsia="Times New Roman" w:hAnsi="Times New Roman" w:cs="Times New Roman"/>
          <w:i/>
          <w:sz w:val="24"/>
        </w:rPr>
        <w:t>STEM</w:t>
      </w: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>-дисциплинам 3-стадийный пайплайн (</w:t>
      </w:r>
      <w:r>
        <w:rPr>
          <w:rFonts w:ascii="Times New Roman" w:eastAsia="Times New Roman" w:hAnsi="Times New Roman" w:cs="Times New Roman"/>
          <w:i/>
          <w:sz w:val="24"/>
        </w:rPr>
        <w:t>GSPO</w:t>
      </w: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 xml:space="preserve"> → </w:t>
      </w:r>
      <w:r>
        <w:rPr>
          <w:rFonts w:ascii="Times New Roman" w:eastAsia="Times New Roman" w:hAnsi="Times New Roman" w:cs="Times New Roman"/>
          <w:i/>
          <w:sz w:val="24"/>
        </w:rPr>
        <w:t>KTO</w:t>
      </w: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 xml:space="preserve"> → </w:t>
      </w:r>
      <w:r>
        <w:rPr>
          <w:rFonts w:ascii="Times New Roman" w:eastAsia="Times New Roman" w:hAnsi="Times New Roman" w:cs="Times New Roman"/>
          <w:i/>
          <w:sz w:val="24"/>
        </w:rPr>
        <w:t>DPO</w:t>
      </w: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 xml:space="preserve">) повышает точность модели </w:t>
      </w:r>
      <w:r>
        <w:rPr>
          <w:rFonts w:ascii="Times New Roman" w:eastAsia="Times New Roman" w:hAnsi="Times New Roman" w:cs="Times New Roman"/>
          <w:i/>
          <w:sz w:val="24"/>
        </w:rPr>
        <w:t>Qwen</w:t>
      </w: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>3.5-9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 xml:space="preserve"> с 55,1% до 66,5% (+11,4 п.п.), с наибольшим приростом в биологии (+14,4 п.п.) и информатике (+12,1 п.п.).</w:t>
      </w:r>
    </w:p>
    <w:p w14:paraId="759A80AA" w14:textId="77777777" w:rsidR="005649A6" w:rsidRPr="006B44EB" w:rsidRDefault="00000000">
      <w:pPr>
        <w:spacing w:after="240"/>
        <w:jc w:val="both"/>
        <w:rPr>
          <w:lang w:val="ru-RU"/>
        </w:rPr>
      </w:pP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 xml:space="preserve">Ключевые слова: обучение с подкреплением, языковые модели, </w:t>
      </w:r>
      <w:r>
        <w:rPr>
          <w:rFonts w:ascii="Times New Roman" w:eastAsia="Times New Roman" w:hAnsi="Times New Roman" w:cs="Times New Roman"/>
          <w:i/>
          <w:sz w:val="24"/>
        </w:rPr>
        <w:t>STEM</w:t>
      </w: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 xml:space="preserve">-образование, </w:t>
      </w:r>
      <w:r>
        <w:rPr>
          <w:rFonts w:ascii="Times New Roman" w:eastAsia="Times New Roman" w:hAnsi="Times New Roman" w:cs="Times New Roman"/>
          <w:i/>
          <w:sz w:val="24"/>
        </w:rPr>
        <w:t>GRPO</w:t>
      </w: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i/>
          <w:sz w:val="24"/>
        </w:rPr>
        <w:t>chain</w:t>
      </w: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i/>
          <w:sz w:val="24"/>
        </w:rPr>
        <w:t>of</w:t>
      </w: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i/>
          <w:sz w:val="24"/>
        </w:rPr>
        <w:t>thought</w:t>
      </w: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 xml:space="preserve">, дообучение, </w:t>
      </w:r>
      <w:r>
        <w:rPr>
          <w:rFonts w:ascii="Times New Roman" w:eastAsia="Times New Roman" w:hAnsi="Times New Roman" w:cs="Times New Roman"/>
          <w:i/>
          <w:sz w:val="24"/>
        </w:rPr>
        <w:t>Qwen</w:t>
      </w:r>
      <w:r w:rsidRPr="006B44EB">
        <w:rPr>
          <w:rFonts w:ascii="Times New Roman" w:eastAsia="Times New Roman" w:hAnsi="Times New Roman" w:cs="Times New Roman"/>
          <w:i/>
          <w:sz w:val="24"/>
          <w:lang w:val="ru-RU"/>
        </w:rPr>
        <w:t>.</w:t>
      </w:r>
    </w:p>
    <w:p w14:paraId="4346EC19" w14:textId="1BBE5DCC" w:rsidR="005649A6" w:rsidRPr="006B44EB" w:rsidRDefault="00000000">
      <w:pPr>
        <w:spacing w:after="120"/>
        <w:jc w:val="both"/>
        <w:rPr>
          <w:lang w:val="ru-RU"/>
        </w:rPr>
      </w:pPr>
      <w:r w:rsidRPr="006B44EB">
        <w:rPr>
          <w:rFonts w:ascii="Times New Roman" w:eastAsia="Times New Roman" w:hAnsi="Times New Roman" w:cs="Times New Roman"/>
          <w:sz w:val="28"/>
          <w:lang w:val="ru-RU"/>
        </w:rPr>
        <w:tab/>
        <w:t>Современные языковые модели с режимом рассуждения, такие как DeepSeek-R1 [1] и Qwen3.5 [2] демонстрируют значительное улучшение качества на задачах, требующих пошагового логического вывода. Механизм chain-of-thought (CoT) позволяет модели генерировать промежуточные рассуждения в специальных тегах &lt;think&gt;...&lt;/think&gt; перед формулировкой финального ответа [3]. Это особенно важно для STEM-дисциплин, где решение задач требует многошаговых математических и химических преобразований.</w:t>
      </w:r>
    </w:p>
    <w:p w14:paraId="12DC5C1E" w14:textId="77777777" w:rsidR="005649A6" w:rsidRPr="006B44EB" w:rsidRDefault="00000000">
      <w:pPr>
        <w:spacing w:after="120"/>
        <w:jc w:val="both"/>
        <w:rPr>
          <w:lang w:val="ru-RU"/>
        </w:rPr>
      </w:pPr>
      <w:r w:rsidRPr="006B44EB">
        <w:rPr>
          <w:rFonts w:ascii="Times New Roman" w:eastAsia="Times New Roman" w:hAnsi="Times New Roman" w:cs="Times New Roman"/>
          <w:sz w:val="28"/>
          <w:lang w:val="ru-RU"/>
        </w:rPr>
        <w:tab/>
        <w:t>Применение таких моделей в образовательном контексте — в качестве интеллектуальных систем обучения (ITS) — предъявляет дополнительные требования: модель должна не только решать задачи корректно, но и объяснять ход решения ученику, следуя сократическому методу обучения [4]. Для достижения этого необходимо домен-специфичное дообучение базовой модели с использованием обучения с подкреплением (RL), в частности метода Group Relative Policy Optimization (GRPO) [5] и его расширения GSPO [2].</w:t>
      </w:r>
    </w:p>
    <w:p w14:paraId="2AC6A6FE" w14:textId="77777777" w:rsidR="005649A6" w:rsidRPr="006B44EB" w:rsidRDefault="00000000">
      <w:pPr>
        <w:spacing w:after="120"/>
        <w:jc w:val="both"/>
        <w:rPr>
          <w:lang w:val="ru-RU"/>
        </w:rPr>
      </w:pPr>
      <w:r w:rsidRPr="006B44EB">
        <w:rPr>
          <w:rFonts w:ascii="Times New Roman" w:eastAsia="Times New Roman" w:hAnsi="Times New Roman" w:cs="Times New Roman"/>
          <w:sz w:val="28"/>
          <w:lang w:val="ru-RU"/>
        </w:rPr>
        <w:tab/>
        <w:t xml:space="preserve">Однако при проведении RL-дообучения моделей с thinking mode возникает критическая проблема: модель входит в неограниченный цикл рассуждений и не </w:t>
      </w:r>
      <w:r w:rsidRPr="006B44EB">
        <w:rPr>
          <w:rFonts w:ascii="Times New Roman" w:eastAsia="Times New Roman" w:hAnsi="Times New Roman" w:cs="Times New Roman"/>
          <w:sz w:val="28"/>
          <w:lang w:val="ru-RU"/>
        </w:rPr>
        <w:lastRenderedPageBreak/>
        <w:t>генерирует завершающий токен &lt;/think&gt;. Данная проблема документирована в открытых источниках и приводит к тому, что 100% сгенерированных completions обрезаются по максимальной длине, не содержат финального ответа и получают нулевую награду. GRPO не может вычислить значимые преимущества, и обучение не сходится.</w:t>
      </w:r>
    </w:p>
    <w:p w14:paraId="22012BAD" w14:textId="77777777" w:rsidR="005649A6" w:rsidRPr="006B44EB" w:rsidRDefault="00000000">
      <w:pPr>
        <w:spacing w:after="120"/>
        <w:jc w:val="both"/>
        <w:rPr>
          <w:lang w:val="ru-RU"/>
        </w:rPr>
      </w:pPr>
      <w:r w:rsidRPr="006B44EB">
        <w:rPr>
          <w:rFonts w:ascii="Times New Roman" w:eastAsia="Times New Roman" w:hAnsi="Times New Roman" w:cs="Times New Roman"/>
          <w:sz w:val="28"/>
          <w:lang w:val="ru-RU"/>
        </w:rPr>
        <w:tab/>
        <w:t>В ходе работы были последовательно проверены четыре подхода. Первый: enable_thinking=True при MAX_COMPLETION=1024 — 100% completions обрезаны, обучающий сигнал отсутствует. Второй: enable_thinking=False — clipped ratio снижается до 1,6%, однако correctness падает до нуля после 50 шагов, так как модель неспособна решать STEM-задачи без рассуждения. Третий: увеличение MAX_COMPLETION до 2048 и 4096 токенов — по-прежнему 100% обрезка, модель не генерирует &lt;/think&gt; даже при 4096 токенах. Четвёртый: систематический анализ более 20 публикаций, в результате которого была идентифицирована стратегия управляемого рассуждения.</w:t>
      </w:r>
    </w:p>
    <w:p w14:paraId="21F557AD" w14:textId="77777777" w:rsidR="005649A6" w:rsidRPr="006B44EB" w:rsidRDefault="00000000">
      <w:pPr>
        <w:spacing w:after="120"/>
        <w:jc w:val="both"/>
        <w:rPr>
          <w:lang w:val="ru-RU"/>
        </w:rPr>
      </w:pPr>
      <w:r w:rsidRPr="006B44EB">
        <w:rPr>
          <w:rFonts w:ascii="Times New Roman" w:eastAsia="Times New Roman" w:hAnsi="Times New Roman" w:cs="Times New Roman"/>
          <w:sz w:val="28"/>
          <w:lang w:val="ru-RU"/>
        </w:rPr>
        <w:tab/>
        <w:t xml:space="preserve">Предлагаемый метод состоит из трёх взаимодополняющих компонентов, каждый из которых решает конкретную проблему сходимости </w:t>
      </w:r>
      <w:r>
        <w:rPr>
          <w:rFonts w:ascii="Times New Roman" w:eastAsia="Times New Roman" w:hAnsi="Times New Roman" w:cs="Times New Roman"/>
          <w:sz w:val="28"/>
        </w:rPr>
        <w:t>RL</w:t>
      </w:r>
      <w:r w:rsidRPr="006B44EB">
        <w:rPr>
          <w:rFonts w:ascii="Times New Roman" w:eastAsia="Times New Roman" w:hAnsi="Times New Roman" w:cs="Times New Roman"/>
          <w:sz w:val="28"/>
          <w:lang w:val="ru-RU"/>
        </w:rPr>
        <w:t>-обучения.</w:t>
      </w:r>
    </w:p>
    <w:p w14:paraId="5C315ACB" w14:textId="77777777" w:rsidR="005649A6" w:rsidRPr="006B44EB" w:rsidRDefault="00000000">
      <w:pPr>
        <w:spacing w:after="120"/>
        <w:jc w:val="both"/>
        <w:rPr>
          <w:lang w:val="ru-RU"/>
        </w:rPr>
      </w:pPr>
      <w:r w:rsidRPr="006B44EB">
        <w:rPr>
          <w:rFonts w:ascii="Times New Roman" w:eastAsia="Times New Roman" w:hAnsi="Times New Roman" w:cs="Times New Roman"/>
          <w:sz w:val="28"/>
          <w:lang w:val="ru-RU"/>
        </w:rPr>
        <w:tab/>
        <w:t>ThinkingBudgetProcessor — процессор логитов (LogitsProcessor), интегрируемый в процесс генерации через HuggingFace Transformers API. Процессор отслеживает число токенов рассуждения в последовательности. При достижении 90% бюджета (1350 из 1500 токенов) он усиливает логит токена &lt;/think&gt; на +5,0, стимулируя завершение рассуждения. При достижении 100% бюджета все логиты, кроме &lt;/think&gt;, устанавливаются в −∞, принудительно завершая фазу рассуждения. Двухступенчатый подход позволяет модели естественно завершать рассуждение вблизи границы бюджета, сохраняя жёсткую гарантию завершения.</w:t>
      </w:r>
    </w:p>
    <w:p w14:paraId="6C74FA81" w14:textId="15849BC3" w:rsidR="005649A6" w:rsidRPr="006B44EB" w:rsidRDefault="00000000">
      <w:pPr>
        <w:spacing w:after="120"/>
        <w:jc w:val="both"/>
        <w:rPr>
          <w:lang w:val="ru-RU"/>
        </w:rPr>
      </w:pPr>
      <w:r w:rsidRPr="006B44EB">
        <w:rPr>
          <w:rFonts w:ascii="Times New Roman" w:eastAsia="Times New Roman" w:hAnsi="Times New Roman" w:cs="Times New Roman"/>
          <w:sz w:val="28"/>
          <w:lang w:val="ru-RU"/>
        </w:rPr>
        <w:tab/>
        <w:t xml:space="preserve">Cold-Start SFT — метод «холодного старта», вдохновлённый подходом DeepSeek-R1 [1]. Перед началом RL-обучения проводится 200 шагов supervised fine-tuning на корректных решениях, полученных методом rejection sampling из самой базовой модели. Для 500 задач лёгкого уровня генерируются решения с ThinkingBudgetProcessor, корректные решения отбираются с помощью автоматической верификации, и модель </w:t>
      </w:r>
      <w:proofErr w:type="spellStart"/>
      <w:r w:rsidRPr="006B44EB">
        <w:rPr>
          <w:rFonts w:ascii="Times New Roman" w:eastAsia="Times New Roman" w:hAnsi="Times New Roman" w:cs="Times New Roman"/>
          <w:sz w:val="28"/>
          <w:lang w:val="ru-RU"/>
        </w:rPr>
        <w:t>дообучается</w:t>
      </w:r>
      <w:proofErr w:type="spellEnd"/>
      <w:r w:rsidRPr="006B44EB">
        <w:rPr>
          <w:rFonts w:ascii="Times New Roman" w:eastAsia="Times New Roman" w:hAnsi="Times New Roman" w:cs="Times New Roman"/>
          <w:sz w:val="28"/>
          <w:lang w:val="ru-RU"/>
        </w:rPr>
        <w:t xml:space="preserve"> на них. Это повышает базовую точность с ~5% до 15–30%, обеспечивая GRPO достаточное число позитивных примеров.</w:t>
      </w:r>
    </w:p>
    <w:p w14:paraId="5EBB221E" w14:textId="77777777" w:rsidR="005649A6" w:rsidRPr="006B44EB" w:rsidRDefault="00000000">
      <w:pPr>
        <w:spacing w:after="120"/>
        <w:jc w:val="both"/>
        <w:rPr>
          <w:lang w:val="ru-RU"/>
        </w:rPr>
      </w:pPr>
      <w:r w:rsidRPr="006B44EB">
        <w:rPr>
          <w:rFonts w:ascii="Times New Roman" w:eastAsia="Times New Roman" w:hAnsi="Times New Roman" w:cs="Times New Roman"/>
          <w:sz w:val="28"/>
          <w:lang w:val="ru-RU"/>
        </w:rPr>
        <w:tab/>
        <w:t xml:space="preserve">ReDit [6] — добавление гауссова шума σ=0,05 к бинарным наградам за корректность. При низкой базовой точности большинство групп получают </w:t>
      </w:r>
      <w:r w:rsidRPr="006B44EB">
        <w:rPr>
          <w:rFonts w:ascii="Times New Roman" w:eastAsia="Times New Roman" w:hAnsi="Times New Roman" w:cs="Times New Roman"/>
          <w:sz w:val="28"/>
          <w:lang w:val="ru-RU"/>
        </w:rPr>
        <w:lastRenderedPageBreak/>
        <w:t>нулевую награду, обнуляя дисперсию и градиент. ReDit создаёт непрерывный ландшафт наград, где даже полностью неверные группы генерируют ненулевой градиентный сигнал. Важно, что ReDit является альтернативой, а не дополнением к маскированию групп с нулевой дисперсией (zero-variance masking) — эти два подхода философски противоположны и не должны комбинироваться [6].</w:t>
      </w:r>
    </w:p>
    <w:p w14:paraId="4C18D175" w14:textId="77777777" w:rsidR="005649A6" w:rsidRPr="006B44EB" w:rsidRDefault="00000000">
      <w:pPr>
        <w:spacing w:after="120"/>
        <w:jc w:val="both"/>
        <w:rPr>
          <w:lang w:val="ru-RU"/>
        </w:rPr>
      </w:pPr>
      <w:r w:rsidRPr="006B44EB">
        <w:rPr>
          <w:rFonts w:ascii="Times New Roman" w:eastAsia="Times New Roman" w:hAnsi="Times New Roman" w:cs="Times New Roman"/>
          <w:sz w:val="28"/>
          <w:lang w:val="ru-RU"/>
        </w:rPr>
        <w:tab/>
        <w:t>Для обучения применяется 3-стадийный пайплайн. Стадия 1 (GSPO): RL-обучение с верифицируемыми наградами, curriculum learning с весами сложности (трудные — 1,5×, лёгкие — 0,4×), Dr. GRPO constant length normalization [7], GDPO decoupled reward normalization [8] с тремя сигналами награды — корректность (вес 0,7), формат (0,15) и сократический стиль (0,15). Стадия 2 (KTO): Kahneman-Tversky Optimization [9] для alignment по сократическому стилю обучения на датасете из 3875 сократических диалогов и 12597 парных предпочтений. Стадия 3 (DPO): Direct Preference Optimization [10] для финальной полировки формата и стиля ответов.</w:t>
      </w:r>
    </w:p>
    <w:p w14:paraId="6F28594E" w14:textId="25F0C40A" w:rsidR="005649A6" w:rsidRPr="006B44EB" w:rsidRDefault="00000000">
      <w:pPr>
        <w:spacing w:after="120"/>
        <w:jc w:val="both"/>
        <w:rPr>
          <w:lang w:val="ru-RU"/>
        </w:rPr>
      </w:pPr>
      <w:r w:rsidRPr="006B44EB">
        <w:rPr>
          <w:rFonts w:ascii="Times New Roman" w:eastAsia="Times New Roman" w:hAnsi="Times New Roman" w:cs="Times New Roman"/>
          <w:sz w:val="28"/>
          <w:lang w:val="ru-RU"/>
        </w:rPr>
        <w:tab/>
        <w:t>Гиперпараметры GSPO-стадии оптимизированы на основе литературного анализа: LoRA r=16, alpha=32 (оптимально для RL, [11]); learning rate 5×10⁻⁷ (консервативный при разреженной награде); G=8 completions на prompt; MAX_COMPLETION=2048; THINKING_BUDGET=1500; loss type — dr_grpo [7]; importance_sampling_level=sequence (GSPO) [2]; оптимизатор — AdamW (все стадии, согласно консенсусу RL-работ). Обучение всех стадий проводилось на GPU NVIDIA RTX6000 (96 ГБ VRAM bf16) в среде Google Colab.</w:t>
      </w:r>
    </w:p>
    <w:p w14:paraId="79F70370" w14:textId="77777777" w:rsidR="005649A6" w:rsidRPr="006B44EB" w:rsidRDefault="00000000">
      <w:pPr>
        <w:spacing w:after="120"/>
        <w:jc w:val="both"/>
        <w:rPr>
          <w:lang w:val="ru-RU"/>
        </w:rPr>
      </w:pPr>
      <w:r w:rsidRPr="006B44EB">
        <w:rPr>
          <w:rFonts w:ascii="Times New Roman" w:eastAsia="Times New Roman" w:hAnsi="Times New Roman" w:cs="Times New Roman"/>
          <w:sz w:val="28"/>
          <w:lang w:val="ru-RU"/>
        </w:rPr>
        <w:tab/>
        <w:t>Для оценки разработан бенчмарк из 3678 задач по 5 STEM-дисциплинам (математика, физика, химия, биология, информатика), собранный из трёх источников: MGSM Russian, ruMMLU STEM и авторского набора. Верификация ответов производится автоматически: SymPy для математических выражений с символьным упрощением, ChemPy для химических реакций и стехиометрии, regex с допуском для физических величин с единицами измерения, exact match для информатики и биологии.</w:t>
      </w:r>
    </w:p>
    <w:p w14:paraId="144BD481" w14:textId="77777777" w:rsidR="005649A6" w:rsidRPr="006B44EB" w:rsidRDefault="00000000">
      <w:pPr>
        <w:spacing w:after="120"/>
        <w:jc w:val="both"/>
        <w:rPr>
          <w:lang w:val="ru-RU"/>
        </w:rPr>
      </w:pPr>
      <w:r w:rsidRPr="006B44EB">
        <w:rPr>
          <w:rFonts w:ascii="Times New Roman" w:eastAsia="Times New Roman" w:hAnsi="Times New Roman" w:cs="Times New Roman"/>
          <w:sz w:val="28"/>
          <w:lang w:val="ru-RU"/>
        </w:rPr>
        <w:tab/>
        <w:t xml:space="preserve">Результаты базовой модели </w:t>
      </w:r>
      <w:r>
        <w:rPr>
          <w:rFonts w:ascii="Times New Roman" w:eastAsia="Times New Roman" w:hAnsi="Times New Roman" w:cs="Times New Roman"/>
          <w:sz w:val="28"/>
        </w:rPr>
        <w:t>Qwen</w:t>
      </w:r>
      <w:r w:rsidRPr="006B44EB">
        <w:rPr>
          <w:rFonts w:ascii="Times New Roman" w:eastAsia="Times New Roman" w:hAnsi="Times New Roman" w:cs="Times New Roman"/>
          <w:sz w:val="28"/>
          <w:lang w:val="ru-RU"/>
        </w:rPr>
        <w:t>3.5-9</w:t>
      </w:r>
      <w:r>
        <w:rPr>
          <w:rFonts w:ascii="Times New Roman" w:eastAsia="Times New Roman" w:hAnsi="Times New Roman" w:cs="Times New Roman"/>
          <w:sz w:val="28"/>
        </w:rPr>
        <w:t>B</w:t>
      </w:r>
      <w:r w:rsidRPr="006B44EB">
        <w:rPr>
          <w:rFonts w:ascii="Times New Roman" w:eastAsia="Times New Roman" w:hAnsi="Times New Roman" w:cs="Times New Roman"/>
          <w:sz w:val="28"/>
          <w:lang w:val="ru-RU"/>
        </w:rPr>
        <w:t xml:space="preserve"> без дообучения представлены в таблице 1.</w:t>
      </w:r>
    </w:p>
    <w:p w14:paraId="4FC0E41A" w14:textId="2ADB9FDE" w:rsidR="005649A6" w:rsidRPr="00296C8E" w:rsidRDefault="00296C8E">
      <w:pPr>
        <w:rPr>
          <w:lang w:val="ru-RU"/>
        </w:rPr>
      </w:pPr>
      <w:r w:rsidRPr="00296C8E">
        <w:rPr>
          <w:noProof/>
          <w:lang w:val="ru-RU"/>
        </w:rPr>
        <w:lastRenderedPageBreak/>
        <w:drawing>
          <wp:inline distT="0" distB="0" distL="0" distR="0" wp14:anchorId="4690E083" wp14:editId="69D91C17">
            <wp:extent cx="6152515" cy="1976755"/>
            <wp:effectExtent l="0" t="0" r="635" b="4445"/>
            <wp:docPr id="47558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8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87E5" w14:textId="77777777" w:rsidR="005649A6" w:rsidRPr="006B44EB" w:rsidRDefault="00000000">
      <w:pPr>
        <w:spacing w:after="120"/>
        <w:jc w:val="both"/>
        <w:rPr>
          <w:lang w:val="ru-RU"/>
        </w:rPr>
      </w:pPr>
      <w:r w:rsidRPr="006B44EB">
        <w:rPr>
          <w:rFonts w:ascii="Times New Roman" w:eastAsia="Times New Roman" w:hAnsi="Times New Roman" w:cs="Times New Roman"/>
          <w:sz w:val="28"/>
          <w:lang w:val="ru-RU"/>
        </w:rPr>
        <w:tab/>
        <w:t>Модель демонстрирует значительный разброс по доменам: от 79,1% по математике до 28,6% по биологии. Это подтверждает необходимость домен-специфичного дообучения, где базовая модель показывает результаты ниже 50%.</w:t>
      </w:r>
    </w:p>
    <w:p w14:paraId="0D993CDA" w14:textId="77777777" w:rsidR="005649A6" w:rsidRPr="006B44EB" w:rsidRDefault="00000000">
      <w:pPr>
        <w:spacing w:after="120"/>
        <w:jc w:val="both"/>
        <w:rPr>
          <w:lang w:val="ru-RU"/>
        </w:rPr>
      </w:pPr>
      <w:r w:rsidRPr="006B44EB">
        <w:rPr>
          <w:rFonts w:ascii="Times New Roman" w:eastAsia="Times New Roman" w:hAnsi="Times New Roman" w:cs="Times New Roman"/>
          <w:sz w:val="28"/>
          <w:lang w:val="ru-RU"/>
        </w:rPr>
        <w:tab/>
        <w:t>Сравнительный анализ подходов к решению проблемы неограниченного рассуждения представлен в таблице 2.</w:t>
      </w:r>
    </w:p>
    <w:p w14:paraId="41D90A06" w14:textId="7C10BF74" w:rsidR="005649A6" w:rsidRPr="006B44EB" w:rsidRDefault="00296C8E">
      <w:pPr>
        <w:spacing w:after="120"/>
        <w:jc w:val="both"/>
        <w:rPr>
          <w:lang w:val="ru-RU"/>
        </w:rPr>
      </w:pPr>
      <w:r w:rsidRPr="00296C8E">
        <w:rPr>
          <w:rFonts w:ascii="Times New Roman" w:eastAsia="Times New Roman" w:hAnsi="Times New Roman" w:cs="Times New Roman"/>
          <w:noProof/>
          <w:sz w:val="28"/>
          <w:lang w:val="ru-RU"/>
        </w:rPr>
        <w:drawing>
          <wp:inline distT="0" distB="0" distL="0" distR="0" wp14:anchorId="298DB71C" wp14:editId="3713769F">
            <wp:extent cx="6152515" cy="1872615"/>
            <wp:effectExtent l="0" t="0" r="635" b="0"/>
            <wp:docPr id="166215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5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44EB">
        <w:rPr>
          <w:rFonts w:ascii="Times New Roman" w:eastAsia="Times New Roman" w:hAnsi="Times New Roman" w:cs="Times New Roman"/>
          <w:sz w:val="28"/>
          <w:lang w:val="ru-RU"/>
        </w:rPr>
        <w:tab/>
        <w:t xml:space="preserve">Как видно из таблицы 2, предложенный метод снижает </w:t>
      </w:r>
      <w:r>
        <w:rPr>
          <w:rFonts w:ascii="Times New Roman" w:eastAsia="Times New Roman" w:hAnsi="Times New Roman" w:cs="Times New Roman"/>
          <w:sz w:val="28"/>
        </w:rPr>
        <w:t>clipped</w:t>
      </w:r>
      <w:r w:rsidRPr="006B44EB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ratio</w:t>
      </w:r>
      <w:r w:rsidRPr="006B44EB">
        <w:rPr>
          <w:rFonts w:ascii="Times New Roman" w:eastAsia="Times New Roman" w:hAnsi="Times New Roman" w:cs="Times New Roman"/>
          <w:sz w:val="28"/>
          <w:lang w:val="ru-RU"/>
        </w:rPr>
        <w:t xml:space="preserve"> со 100% до 14,3% (оставшиеся обрезки приходятся на наиболее сложные задачи, требующие длительных рассуждений). При этом </w:t>
      </w:r>
      <w:r>
        <w:rPr>
          <w:rFonts w:ascii="Times New Roman" w:eastAsia="Times New Roman" w:hAnsi="Times New Roman" w:cs="Times New Roman"/>
          <w:sz w:val="28"/>
        </w:rPr>
        <w:t>correctness</w:t>
      </w:r>
      <w:r w:rsidRPr="006B44EB">
        <w:rPr>
          <w:rFonts w:ascii="Times New Roman" w:eastAsia="Times New Roman" w:hAnsi="Times New Roman" w:cs="Times New Roman"/>
          <w:sz w:val="28"/>
          <w:lang w:val="ru-RU"/>
        </w:rPr>
        <w:t xml:space="preserve"> на шаге 50 достигает 21,7%, что обеспечивает стабильный обучающий сигнал для </w:t>
      </w:r>
      <w:r>
        <w:rPr>
          <w:rFonts w:ascii="Times New Roman" w:eastAsia="Times New Roman" w:hAnsi="Times New Roman" w:cs="Times New Roman"/>
          <w:sz w:val="28"/>
        </w:rPr>
        <w:t>GRPO</w:t>
      </w:r>
      <w:r w:rsidRPr="006B44EB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3E62550E" w14:textId="77777777" w:rsidR="005649A6" w:rsidRPr="006B44EB" w:rsidRDefault="00000000">
      <w:pPr>
        <w:spacing w:after="120"/>
        <w:jc w:val="both"/>
        <w:rPr>
          <w:lang w:val="ru-RU"/>
        </w:rPr>
      </w:pPr>
      <w:r w:rsidRPr="006B44EB">
        <w:rPr>
          <w:rFonts w:ascii="Times New Roman" w:eastAsia="Times New Roman" w:hAnsi="Times New Roman" w:cs="Times New Roman"/>
          <w:sz w:val="28"/>
          <w:lang w:val="ru-RU"/>
        </w:rPr>
        <w:tab/>
        <w:t xml:space="preserve">Результаты по стадиям обучения представлены в таблице 3. Общая точность вычисляется как </w:t>
      </w:r>
      <w:r>
        <w:rPr>
          <w:rFonts w:ascii="Times New Roman" w:eastAsia="Times New Roman" w:hAnsi="Times New Roman" w:cs="Times New Roman"/>
          <w:sz w:val="28"/>
        </w:rPr>
        <w:t>macro</w:t>
      </w:r>
      <w:r w:rsidRPr="006B44EB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average</w:t>
      </w:r>
      <w:r w:rsidRPr="006B44EB">
        <w:rPr>
          <w:rFonts w:ascii="Times New Roman" w:eastAsia="Times New Roman" w:hAnsi="Times New Roman" w:cs="Times New Roman"/>
          <w:sz w:val="28"/>
          <w:lang w:val="ru-RU"/>
        </w:rPr>
        <w:t xml:space="preserve"> по 5 доменам.</w:t>
      </w:r>
    </w:p>
    <w:p w14:paraId="07E77DCE" w14:textId="622585C3" w:rsidR="005649A6" w:rsidRPr="006B44EB" w:rsidRDefault="00296C8E">
      <w:pPr>
        <w:spacing w:after="120"/>
        <w:jc w:val="both"/>
        <w:rPr>
          <w:lang w:val="ru-RU"/>
        </w:rPr>
      </w:pPr>
      <w:r w:rsidRPr="00296C8E">
        <w:rPr>
          <w:rFonts w:ascii="Times New Roman" w:eastAsia="Times New Roman" w:hAnsi="Times New Roman" w:cs="Times New Roman"/>
          <w:sz w:val="28"/>
          <w:lang w:val="ru-RU"/>
        </w:rPr>
        <w:tab/>
        <w:t>Как видно из таблицы 3, наибольший прирост точности обеспечивает стадия GSPO (+8,4 п.п.), что подтверждает эффективность RL на верифицируемых наградах. Стадии KTO (+1,3 п.п.) и DPO (+1,7 п.п.) дополнительно улучшают формат и сократический стиль объяснений.</w:t>
      </w:r>
    </w:p>
    <w:p w14:paraId="56D201D4" w14:textId="77777777" w:rsidR="005649A6" w:rsidRPr="006B44EB" w:rsidRDefault="00000000">
      <w:pPr>
        <w:spacing w:after="120"/>
        <w:jc w:val="both"/>
        <w:rPr>
          <w:lang w:val="ru-RU"/>
        </w:rPr>
      </w:pPr>
      <w:r w:rsidRPr="006B44EB">
        <w:rPr>
          <w:rFonts w:ascii="Times New Roman" w:eastAsia="Times New Roman" w:hAnsi="Times New Roman" w:cs="Times New Roman"/>
          <w:sz w:val="28"/>
          <w:lang w:val="ru-RU"/>
        </w:rPr>
        <w:tab/>
        <w:t xml:space="preserve">Наибольший относительный прирост наблюдается в доменах с низкой базовой точностью: биология (+14,4 п.п., с 28,6% до 43,0%) и информатика (+12,1 </w:t>
      </w:r>
      <w:r w:rsidRPr="006B44EB">
        <w:rPr>
          <w:rFonts w:ascii="Times New Roman" w:eastAsia="Times New Roman" w:hAnsi="Times New Roman" w:cs="Times New Roman"/>
          <w:sz w:val="28"/>
          <w:lang w:val="ru-RU"/>
        </w:rPr>
        <w:lastRenderedPageBreak/>
        <w:t>п.п., с 46,5% до 58,6%). Это объясняется тем, что curriculum learning (GRPO-LEAD) с повышенным весом для сложных задач направляет обучение именно на слабые домены. Математика, где базовая точность уже высока (79,1%), показывает более умеренный прирост (+9,1 п.п.) без деградации в сильных доменах.</w:t>
      </w:r>
    </w:p>
    <w:p w14:paraId="519D127B" w14:textId="77777777" w:rsidR="005649A6" w:rsidRPr="006B44EB" w:rsidRDefault="00000000">
      <w:pPr>
        <w:spacing w:after="120"/>
        <w:jc w:val="both"/>
        <w:rPr>
          <w:lang w:val="ru-RU"/>
        </w:rPr>
      </w:pPr>
      <w:r w:rsidRPr="006B44EB">
        <w:rPr>
          <w:rFonts w:ascii="Times New Roman" w:eastAsia="Times New Roman" w:hAnsi="Times New Roman" w:cs="Times New Roman"/>
          <w:sz w:val="28"/>
          <w:lang w:val="ru-RU"/>
        </w:rPr>
        <w:tab/>
        <w:t>Стадия KTO примечательна тем, что при небольшом приросте точности (+1,3 п.п.) она существенно улучшает качественные характеристики ответов: доля ответов с сократическими вопросами возросла с 34% до 61%, а средний Socratic score  увеличился с 0,31 до 0,58. Это подтверждает эффективность KTO [9] для alignment без ухудшения предметной точности.</w:t>
      </w:r>
    </w:p>
    <w:p w14:paraId="11DAEB2D" w14:textId="77777777" w:rsidR="005649A6" w:rsidRPr="006B44EB" w:rsidRDefault="00000000">
      <w:pPr>
        <w:spacing w:after="120"/>
        <w:jc w:val="both"/>
        <w:rPr>
          <w:lang w:val="ru-RU"/>
        </w:rPr>
      </w:pPr>
      <w:r w:rsidRPr="006B44EB">
        <w:rPr>
          <w:rFonts w:ascii="Times New Roman" w:eastAsia="Times New Roman" w:hAnsi="Times New Roman" w:cs="Times New Roman"/>
          <w:sz w:val="28"/>
          <w:lang w:val="ru-RU"/>
        </w:rPr>
        <w:tab/>
        <w:t>В результате проведённого исследования предложен и апробирован метод управляемого рассуждения для RL-дообучения языковых моделей с thinking mode. Систематический анализ четырёх итераций экспериментов выявил причину несходимости — отсутствие бюджета рассуждения в TRL-генерации. Предложенный ThinkingBudgetProcessor, реализованный как LogitsProcessor, обеспечивает гарантированное завершение фазы рассуждения при сохранении качества решений.</w:t>
      </w:r>
    </w:p>
    <w:p w14:paraId="167CE5CE" w14:textId="3E433561" w:rsidR="005649A6" w:rsidRPr="006B44EB" w:rsidRDefault="00000000">
      <w:pPr>
        <w:spacing w:after="240"/>
        <w:jc w:val="both"/>
        <w:rPr>
          <w:lang w:val="ru-RU"/>
        </w:rPr>
      </w:pPr>
      <w:r w:rsidRPr="006B44EB">
        <w:rPr>
          <w:rFonts w:ascii="Times New Roman" w:eastAsia="Times New Roman" w:hAnsi="Times New Roman" w:cs="Times New Roman"/>
          <w:sz w:val="28"/>
          <w:lang w:val="ru-RU"/>
        </w:rPr>
        <w:tab/>
        <w:t xml:space="preserve">Комбинация ThinkingBudgetProcessor + Cold-Start SFT + ReDit-дитеринг формирует методологию, устраняющую три ключевых барьера сходимости GSPO-обучения. 3-стадийный </w:t>
      </w:r>
      <w:proofErr w:type="spellStart"/>
      <w:r w:rsidRPr="006B44EB">
        <w:rPr>
          <w:rFonts w:ascii="Times New Roman" w:eastAsia="Times New Roman" w:hAnsi="Times New Roman" w:cs="Times New Roman"/>
          <w:sz w:val="28"/>
          <w:lang w:val="ru-RU"/>
        </w:rPr>
        <w:t>пайплайн</w:t>
      </w:r>
      <w:proofErr w:type="spellEnd"/>
      <w:r w:rsidRPr="006B44EB">
        <w:rPr>
          <w:rFonts w:ascii="Times New Roman" w:eastAsia="Times New Roman" w:hAnsi="Times New Roman" w:cs="Times New Roman"/>
          <w:sz w:val="28"/>
          <w:lang w:val="ru-RU"/>
        </w:rPr>
        <w:t xml:space="preserve"> повышает точность модели Qwen3.5-9B с 55,1% до 66,5% (+11,4 п.п.) на бенчмарке из 3 678 задач. Полученная модель улучшается во всех 5 STEM-доменах и приобретает сократический стиль.</w:t>
      </w:r>
    </w:p>
    <w:p w14:paraId="5088DC1D" w14:textId="77777777" w:rsidR="005649A6" w:rsidRDefault="00000000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Список источников</w:t>
      </w:r>
    </w:p>
    <w:p w14:paraId="2D711AEE" w14:textId="313025FE" w:rsidR="005649A6" w:rsidRDefault="00000000">
      <w:pPr>
        <w:spacing w:after="40"/>
        <w:jc w:val="both"/>
      </w:pPr>
      <w:r>
        <w:rPr>
          <w:rFonts w:ascii="Times New Roman" w:eastAsia="Times New Roman" w:hAnsi="Times New Roman" w:cs="Times New Roman"/>
          <w:sz w:val="28"/>
        </w:rPr>
        <w:t>1. DeepSeek-AI. DeepSeek-R1: Incentivizing Reasoning Capability in LLMs via Reinforcement Learning // arxiv.org. URL: https://arxiv.org/abs/2501.12948 (</w:t>
      </w:r>
      <w:proofErr w:type="spellStart"/>
      <w:r>
        <w:rPr>
          <w:rFonts w:ascii="Times New Roman" w:eastAsia="Times New Roman" w:hAnsi="Times New Roman" w:cs="Times New Roman"/>
          <w:sz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sz w:val="28"/>
        </w:rPr>
        <w:t>: 2</w:t>
      </w:r>
      <w:r w:rsidR="00602A0F">
        <w:rPr>
          <w:rFonts w:ascii="Times New Roman" w:eastAsia="Times New Roman" w:hAnsi="Times New Roman" w:cs="Times New Roman"/>
          <w:sz w:val="28"/>
        </w:rPr>
        <w:t>0</w:t>
      </w:r>
      <w:r>
        <w:rPr>
          <w:rFonts w:ascii="Times New Roman" w:eastAsia="Times New Roman" w:hAnsi="Times New Roman" w:cs="Times New Roman"/>
          <w:sz w:val="28"/>
        </w:rPr>
        <w:t>.03.2026).</w:t>
      </w:r>
    </w:p>
    <w:p w14:paraId="6722E07E" w14:textId="28DB0C59" w:rsidR="005649A6" w:rsidRDefault="00000000">
      <w:pPr>
        <w:spacing w:after="40"/>
        <w:jc w:val="both"/>
      </w:pPr>
      <w:r>
        <w:rPr>
          <w:rFonts w:ascii="Times New Roman" w:eastAsia="Times New Roman" w:hAnsi="Times New Roman" w:cs="Times New Roman"/>
          <w:sz w:val="28"/>
        </w:rPr>
        <w:t>2. Qwen Team. Qwen3 Technical Report // arxiv.org. URL: https://arxiv.org/abs/2507.18071 (</w:t>
      </w:r>
      <w:proofErr w:type="spellStart"/>
      <w:r>
        <w:rPr>
          <w:rFonts w:ascii="Times New Roman" w:eastAsia="Times New Roman" w:hAnsi="Times New Roman" w:cs="Times New Roman"/>
          <w:sz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r w:rsidR="00602A0F">
        <w:rPr>
          <w:rFonts w:ascii="Times New Roman" w:eastAsia="Times New Roman" w:hAnsi="Times New Roman" w:cs="Times New Roman"/>
          <w:sz w:val="28"/>
        </w:rPr>
        <w:t>19</w:t>
      </w:r>
      <w:r>
        <w:rPr>
          <w:rFonts w:ascii="Times New Roman" w:eastAsia="Times New Roman" w:hAnsi="Times New Roman" w:cs="Times New Roman"/>
          <w:sz w:val="28"/>
        </w:rPr>
        <w:t>.03.2026).</w:t>
      </w:r>
    </w:p>
    <w:p w14:paraId="400B3F47" w14:textId="61A79321" w:rsidR="005649A6" w:rsidRDefault="00000000">
      <w:pPr>
        <w:spacing w:after="40"/>
        <w:jc w:val="both"/>
      </w:pPr>
      <w:r>
        <w:rPr>
          <w:rFonts w:ascii="Times New Roman" w:eastAsia="Times New Roman" w:hAnsi="Times New Roman" w:cs="Times New Roman"/>
          <w:sz w:val="28"/>
        </w:rPr>
        <w:t>3. Wei, J., Wang, X., Schuurmans, D., et al. Chain-of-Thought Prompting Elicits Reasoning in Large Language Models // arxiv.org. URL: https://arxiv.org/abs/2201.11903 (</w:t>
      </w:r>
      <w:proofErr w:type="spellStart"/>
      <w:r>
        <w:rPr>
          <w:rFonts w:ascii="Times New Roman" w:eastAsia="Times New Roman" w:hAnsi="Times New Roman" w:cs="Times New Roman"/>
          <w:sz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r w:rsidR="00602A0F">
        <w:rPr>
          <w:rFonts w:ascii="Times New Roman" w:eastAsia="Times New Roman" w:hAnsi="Times New Roman" w:cs="Times New Roman"/>
          <w:sz w:val="28"/>
        </w:rPr>
        <w:t>15</w:t>
      </w:r>
      <w:r>
        <w:rPr>
          <w:rFonts w:ascii="Times New Roman" w:eastAsia="Times New Roman" w:hAnsi="Times New Roman" w:cs="Times New Roman"/>
          <w:sz w:val="28"/>
        </w:rPr>
        <w:t>.03.2026).</w:t>
      </w:r>
    </w:p>
    <w:p w14:paraId="0A876A27" w14:textId="77777777" w:rsidR="005649A6" w:rsidRDefault="00000000">
      <w:pPr>
        <w:spacing w:after="40"/>
        <w:jc w:val="both"/>
      </w:pPr>
      <w:r>
        <w:rPr>
          <w:rFonts w:ascii="Times New Roman" w:eastAsia="Times New Roman" w:hAnsi="Times New Roman" w:cs="Times New Roman"/>
          <w:sz w:val="28"/>
        </w:rPr>
        <w:t>4. VanLehn, K. (2011). The Relative Effectiveness of Human Tutoring, Intelligent Tutoring Systems, and Other Tutoring Systems. Educational Psychologist, 46(4).</w:t>
      </w:r>
    </w:p>
    <w:p w14:paraId="0800081A" w14:textId="27BBEB39" w:rsidR="005649A6" w:rsidRDefault="00000000">
      <w:pPr>
        <w:spacing w:after="40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>5. Shao, Z., et al. DeepSeekMath: Pushing the Limits of Mathematical Reasoning in Open Language Models // arxiv.org. URL: https://arxiv.org/abs/2402.03300 (</w:t>
      </w:r>
      <w:proofErr w:type="spellStart"/>
      <w:r>
        <w:rPr>
          <w:rFonts w:ascii="Times New Roman" w:eastAsia="Times New Roman" w:hAnsi="Times New Roman" w:cs="Times New Roman"/>
          <w:sz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r w:rsidR="00602A0F">
        <w:rPr>
          <w:rFonts w:ascii="Times New Roman" w:eastAsia="Times New Roman" w:hAnsi="Times New Roman" w:cs="Times New Roman"/>
          <w:sz w:val="28"/>
        </w:rPr>
        <w:t>1</w:t>
      </w:r>
      <w:r>
        <w:rPr>
          <w:rFonts w:ascii="Times New Roman" w:eastAsia="Times New Roman" w:hAnsi="Times New Roman" w:cs="Times New Roman"/>
          <w:sz w:val="28"/>
        </w:rPr>
        <w:t>6.03.2026).</w:t>
      </w:r>
    </w:p>
    <w:p w14:paraId="04438E30" w14:textId="5DEFDB66" w:rsidR="005649A6" w:rsidRDefault="00000000">
      <w:pPr>
        <w:spacing w:after="40"/>
        <w:jc w:val="both"/>
      </w:pPr>
      <w:r>
        <w:rPr>
          <w:rFonts w:ascii="Times New Roman" w:eastAsia="Times New Roman" w:hAnsi="Times New Roman" w:cs="Times New Roman"/>
          <w:sz w:val="28"/>
        </w:rPr>
        <w:t>6. Setlur, A., et al. Reward Dithering: A Hitchhiker’s Guide to Reward Hacking-Free GRPO Training // arxiv.org. URL: https://arxiv.org/abs/2506.18631 (</w:t>
      </w:r>
      <w:proofErr w:type="spellStart"/>
      <w:r>
        <w:rPr>
          <w:rFonts w:ascii="Times New Roman" w:eastAsia="Times New Roman" w:hAnsi="Times New Roman" w:cs="Times New Roman"/>
          <w:sz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r w:rsidR="00602A0F">
        <w:rPr>
          <w:rFonts w:ascii="Times New Roman" w:eastAsia="Times New Roman" w:hAnsi="Times New Roman" w:cs="Times New Roman"/>
          <w:sz w:val="28"/>
        </w:rPr>
        <w:t>1</w:t>
      </w:r>
      <w:r>
        <w:rPr>
          <w:rFonts w:ascii="Times New Roman" w:eastAsia="Times New Roman" w:hAnsi="Times New Roman" w:cs="Times New Roman"/>
          <w:sz w:val="28"/>
        </w:rPr>
        <w:t>6.03.2026).</w:t>
      </w:r>
    </w:p>
    <w:p w14:paraId="2EB27884" w14:textId="5EBFD57B" w:rsidR="005649A6" w:rsidRDefault="00000000">
      <w:pPr>
        <w:spacing w:after="40"/>
        <w:jc w:val="both"/>
      </w:pPr>
      <w:r>
        <w:rPr>
          <w:rFonts w:ascii="Times New Roman" w:eastAsia="Times New Roman" w:hAnsi="Times New Roman" w:cs="Times New Roman"/>
          <w:sz w:val="28"/>
        </w:rPr>
        <w:t>7. Liu, Z., et al. Understanding R1-Zero-Like Training: A Critical Perspective (Dr. GRPO) // arxiv.org. URL: https://arxiv.org/abs/2503.20783 (</w:t>
      </w:r>
      <w:proofErr w:type="spellStart"/>
      <w:r>
        <w:rPr>
          <w:rFonts w:ascii="Times New Roman" w:eastAsia="Times New Roman" w:hAnsi="Times New Roman" w:cs="Times New Roman"/>
          <w:sz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r w:rsidR="00602A0F">
        <w:rPr>
          <w:rFonts w:ascii="Times New Roman" w:eastAsia="Times New Roman" w:hAnsi="Times New Roman" w:cs="Times New Roman"/>
          <w:sz w:val="28"/>
        </w:rPr>
        <w:t>1</w:t>
      </w:r>
      <w:r>
        <w:rPr>
          <w:rFonts w:ascii="Times New Roman" w:eastAsia="Times New Roman" w:hAnsi="Times New Roman" w:cs="Times New Roman"/>
          <w:sz w:val="28"/>
        </w:rPr>
        <w:t>6.03.2026).</w:t>
      </w:r>
    </w:p>
    <w:p w14:paraId="0FC638D2" w14:textId="0A7A8671" w:rsidR="005649A6" w:rsidRDefault="00000000">
      <w:pPr>
        <w:spacing w:after="4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8. GDPO: Decoupled Multi-Objective Reward Normalization for Group Relative Policy Optimization // arxiv.org. URL: https://arxiv.org/abs/2601.05242 (дата обращения: </w:t>
      </w:r>
      <w:r w:rsidR="00602A0F">
        <w:rPr>
          <w:rFonts w:ascii="Times New Roman" w:eastAsia="Times New Roman" w:hAnsi="Times New Roman" w:cs="Times New Roman"/>
          <w:sz w:val="28"/>
        </w:rPr>
        <w:t>1</w:t>
      </w:r>
      <w:r>
        <w:rPr>
          <w:rFonts w:ascii="Times New Roman" w:eastAsia="Times New Roman" w:hAnsi="Times New Roman" w:cs="Times New Roman"/>
          <w:sz w:val="28"/>
        </w:rPr>
        <w:t>6.03.2026).</w:t>
      </w:r>
    </w:p>
    <w:p w14:paraId="427E9419" w14:textId="77777777" w:rsidR="005649A6" w:rsidRDefault="00000000">
      <w:pPr>
        <w:spacing w:after="40"/>
        <w:jc w:val="both"/>
      </w:pPr>
      <w:r>
        <w:rPr>
          <w:rFonts w:ascii="Times New Roman" w:eastAsia="Times New Roman" w:hAnsi="Times New Roman" w:cs="Times New Roman"/>
          <w:sz w:val="28"/>
        </w:rPr>
        <w:t>9. Ethayarajh, K., et al. KTO: Model Alignment as Prospect Theoretic Optimization // arxiv.org. URL: https://arxiv.org/abs/2402.01306 (дата обращения: 26.03.2026).</w:t>
      </w:r>
    </w:p>
    <w:p w14:paraId="0D046BAF" w14:textId="2A3A1354" w:rsidR="005649A6" w:rsidRDefault="00000000">
      <w:pPr>
        <w:spacing w:after="4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10. Rafailov, R., et al. Direct Preference Optimization: Your Language Model is Secretly a Reward Model. </w:t>
      </w:r>
      <w:proofErr w:type="spellStart"/>
      <w:r>
        <w:rPr>
          <w:rFonts w:ascii="Times New Roman" w:eastAsia="Times New Roman" w:hAnsi="Times New Roman" w:cs="Times New Roman"/>
          <w:sz w:val="28"/>
        </w:rPr>
        <w:t>NeurIPS</w:t>
      </w:r>
      <w:proofErr w:type="spellEnd"/>
      <w:r>
        <w:rPr>
          <w:rFonts w:ascii="Times New Roman" w:eastAsia="Times New Roman" w:hAnsi="Times New Roman" w:cs="Times New Roman"/>
          <w:sz w:val="28"/>
        </w:rPr>
        <w:t>, 2023.</w:t>
      </w:r>
      <w:r w:rsidR="00602A0F"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 w:rsidR="00602A0F">
        <w:rPr>
          <w:rFonts w:ascii="Times New Roman" w:eastAsia="Times New Roman" w:hAnsi="Times New Roman" w:cs="Times New Roman"/>
          <w:sz w:val="28"/>
        </w:rPr>
        <w:t>дата</w:t>
      </w:r>
      <w:proofErr w:type="spellEnd"/>
      <w:r w:rsidR="00602A0F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602A0F">
        <w:rPr>
          <w:rFonts w:ascii="Times New Roman" w:eastAsia="Times New Roman" w:hAnsi="Times New Roman" w:cs="Times New Roman"/>
          <w:sz w:val="28"/>
        </w:rPr>
        <w:t>обращения</w:t>
      </w:r>
      <w:proofErr w:type="spellEnd"/>
      <w:r w:rsidR="00602A0F">
        <w:rPr>
          <w:rFonts w:ascii="Times New Roman" w:eastAsia="Times New Roman" w:hAnsi="Times New Roman" w:cs="Times New Roman"/>
          <w:sz w:val="28"/>
        </w:rPr>
        <w:t>: 16.03.2026).</w:t>
      </w:r>
    </w:p>
    <w:p w14:paraId="7DA3E1ED" w14:textId="77777777" w:rsidR="005649A6" w:rsidRDefault="00000000">
      <w:pPr>
        <w:spacing w:after="40"/>
        <w:jc w:val="both"/>
      </w:pPr>
      <w:r>
        <w:rPr>
          <w:rFonts w:ascii="Times New Roman" w:eastAsia="Times New Roman" w:hAnsi="Times New Roman" w:cs="Times New Roman"/>
          <w:sz w:val="28"/>
        </w:rPr>
        <w:t>11. Lin, Y., et al. Tina: Thinking is Not All You Need — LoRA-based Reinforcement Learning for LLMs // arxiv.org. URL: https://arxiv.org/abs/2504.15777 (дата обращения: 26.03.2026).</w:t>
      </w:r>
    </w:p>
    <w:p w14:paraId="372688FA" w14:textId="77777777" w:rsidR="005649A6" w:rsidRDefault="00000000">
      <w:pPr>
        <w:spacing w:after="40"/>
        <w:jc w:val="both"/>
      </w:pPr>
      <w:r>
        <w:rPr>
          <w:rFonts w:ascii="Times New Roman" w:eastAsia="Times New Roman" w:hAnsi="Times New Roman" w:cs="Times New Roman"/>
          <w:sz w:val="28"/>
        </w:rPr>
        <w:t>12. Zhu, R., et al. GRPO-LEAD: Difficulty-Aware Curriculum Reinforcement Learning for Reasoning Language Models // arxiv.org. URL: https://arxiv.org/abs/2504.09696 (дата обращения: 25.03.2026).</w:t>
      </w:r>
    </w:p>
    <w:p w14:paraId="131F3AA2" w14:textId="77777777" w:rsidR="005649A6" w:rsidRDefault="005649A6"/>
    <w:p w14:paraId="3019244E" w14:textId="77777777" w:rsidR="005649A6" w:rsidRDefault="00000000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Method of Controlled Reasoning in Reinforcement Learning of Language Models for STEM Tutoring</w:t>
      </w:r>
    </w:p>
    <w:p w14:paraId="4F929ACD" w14:textId="77777777" w:rsidR="005649A6" w:rsidRDefault="00000000">
      <w:pPr>
        <w:spacing w:after="40"/>
      </w:pPr>
      <w:r>
        <w:rPr>
          <w:rFonts w:ascii="Times New Roman" w:eastAsia="Times New Roman" w:hAnsi="Times New Roman" w:cs="Times New Roman"/>
          <w:b/>
          <w:i/>
          <w:sz w:val="24"/>
        </w:rPr>
        <w:t>Sukhatsky Maksim Olegovich                                         loxterpoi@gmail.com</w:t>
      </w:r>
    </w:p>
    <w:p w14:paraId="46499BD7" w14:textId="77777777" w:rsidR="005649A6" w:rsidRDefault="00000000">
      <w:pPr>
        <w:spacing w:after="40"/>
      </w:pPr>
      <w:r>
        <w:rPr>
          <w:rFonts w:ascii="Times New Roman" w:eastAsia="Times New Roman" w:hAnsi="Times New Roman" w:cs="Times New Roman"/>
          <w:b/>
          <w:i/>
          <w:sz w:val="24"/>
        </w:rPr>
        <w:t>Korlyakova Maria Olegovna                                         mkorlyakova@yandex.ru</w:t>
      </w:r>
    </w:p>
    <w:p w14:paraId="10EC5A21" w14:textId="77777777" w:rsidR="005649A6" w:rsidRDefault="00000000">
      <w:pPr>
        <w:spacing w:after="160"/>
      </w:pPr>
      <w:r>
        <w:rPr>
          <w:rFonts w:ascii="Times New Roman" w:eastAsia="Times New Roman" w:hAnsi="Times New Roman" w:cs="Times New Roman"/>
          <w:i/>
          <w:sz w:val="24"/>
        </w:rPr>
        <w:t>Kaluga Branch of Bauman Moscow State Technical University</w:t>
      </w:r>
    </w:p>
    <w:p w14:paraId="564A615B" w14:textId="77777777" w:rsidR="005649A6" w:rsidRDefault="00000000">
      <w:pPr>
        <w:spacing w:after="8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This article presents a method for fine-tuning language models for STEM education that addresses the critical problem of unbounded thinking trace generation during reinforcement learning. We propose ThinkingBudgetProcessor — a logits processor that enforces termination of the reasoning phase after a specified token budget. Combined with Cold-Start SFT and ReDit reward dithering, the method enables stable convergence of GSPO training. On a benchmark of 3,678 problems across 5 STEM disciplines, the 3-stage pipeline (GSPO → KTO → DPO) improves Qwen3.5-9B accuracy </w:t>
      </w:r>
      <w:r>
        <w:rPr>
          <w:rFonts w:ascii="Times New Roman" w:eastAsia="Times New Roman" w:hAnsi="Times New Roman" w:cs="Times New Roman"/>
          <w:i/>
          <w:sz w:val="24"/>
        </w:rPr>
        <w:lastRenderedPageBreak/>
        <w:t>from 55.1% to 66.5% (+11.4 pp), with the largest gains in biology (+14.4 pp) and computer science (+12.1 pp).</w:t>
      </w:r>
    </w:p>
    <w:p w14:paraId="7E85B0D4" w14:textId="77777777" w:rsidR="005649A6" w:rsidRDefault="00000000">
      <w:pPr>
        <w:spacing w:after="80"/>
        <w:jc w:val="both"/>
      </w:pPr>
      <w:r>
        <w:rPr>
          <w:rFonts w:ascii="Times New Roman" w:eastAsia="Times New Roman" w:hAnsi="Times New Roman" w:cs="Times New Roman"/>
          <w:i/>
          <w:sz w:val="24"/>
        </w:rPr>
        <w:t>Keywords: reinforcement learning, language models, STEM education, GRPO, chain-of-thought, fine-tuning, Qwen.</w:t>
      </w:r>
    </w:p>
    <w:sectPr w:rsidR="005649A6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837732">
    <w:abstractNumId w:val="8"/>
  </w:num>
  <w:num w:numId="2" w16cid:durableId="687220957">
    <w:abstractNumId w:val="6"/>
  </w:num>
  <w:num w:numId="3" w16cid:durableId="475874477">
    <w:abstractNumId w:val="5"/>
  </w:num>
  <w:num w:numId="4" w16cid:durableId="1515462801">
    <w:abstractNumId w:val="4"/>
  </w:num>
  <w:num w:numId="5" w16cid:durableId="795828823">
    <w:abstractNumId w:val="7"/>
  </w:num>
  <w:num w:numId="6" w16cid:durableId="319700644">
    <w:abstractNumId w:val="3"/>
  </w:num>
  <w:num w:numId="7" w16cid:durableId="1758360725">
    <w:abstractNumId w:val="2"/>
  </w:num>
  <w:num w:numId="8" w16cid:durableId="249433985">
    <w:abstractNumId w:val="1"/>
  </w:num>
  <w:num w:numId="9" w16cid:durableId="682365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E16"/>
    <w:rsid w:val="00253F5F"/>
    <w:rsid w:val="0029639D"/>
    <w:rsid w:val="00296C8E"/>
    <w:rsid w:val="00326F90"/>
    <w:rsid w:val="003C1DB5"/>
    <w:rsid w:val="003E1254"/>
    <w:rsid w:val="005649A6"/>
    <w:rsid w:val="00602A0F"/>
    <w:rsid w:val="006B44EB"/>
    <w:rsid w:val="00785B25"/>
    <w:rsid w:val="00876A38"/>
    <w:rsid w:val="0093063C"/>
    <w:rsid w:val="00AA1D8D"/>
    <w:rsid w:val="00B47730"/>
    <w:rsid w:val="00CB0664"/>
    <w:rsid w:val="00E324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4D3BB7"/>
  <w14:defaultImageDpi w14:val="300"/>
  <w15:docId w15:val="{C741C9B5-3F3C-41E9-89F4-0CDB79C16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1857</Words>
  <Characters>10585</Characters>
  <Application>Microsoft Office Word</Application>
  <DocSecurity>0</DocSecurity>
  <Lines>88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Mok Mr.</cp:lastModifiedBy>
  <cp:revision>6</cp:revision>
  <cp:lastPrinted>2026-03-27T08:37:00Z</cp:lastPrinted>
  <dcterms:created xsi:type="dcterms:W3CDTF">2026-03-27T08:08:00Z</dcterms:created>
  <dcterms:modified xsi:type="dcterms:W3CDTF">2026-03-27T10:08:00Z</dcterms:modified>
  <cp:category/>
</cp:coreProperties>
</file>