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Times New Roman" w:hAnsi="Times New Roman"/>
          <w:b w:val="0"/>
          <w:i w:val="0"/>
          <w:color w:val="5A6B5E"/>
          <w:sz w:val="24"/>
        </w:rPr>
        <w:t>Технический разбор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/>
          <w:i w:val="0"/>
          <w:color w:val="1F5C2D"/>
          <w:sz w:val="36"/>
        </w:rPr>
        <w:t>Метод управляемого рассуждения</w:t>
        <w:br/>
        <w:t>при RL-обучении языковых моделей для STEM-репетитора</w:t>
      </w:r>
    </w:p>
    <w:p>
      <w:pPr>
        <w:spacing w:before="0" w:after="360" w:line="288" w:lineRule="auto"/>
        <w:jc w:val="center"/>
      </w:pPr>
      <w:r>
        <w:rPr>
          <w:rFonts w:ascii="Times New Roman" w:hAnsi="Times New Roman"/>
          <w:b w:val="0"/>
          <w:i/>
          <w:color w:val="5A6B5E"/>
          <w:sz w:val="22"/>
        </w:rPr>
        <w:t>Авторитетный референс к презентации Студвесны-2026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Сухацкий М. О.  ·  КФ МГТУ им. Н. Э. Баумана  ·  ИУК3  ·  2026</w:t>
      </w:r>
    </w:p>
    <w:p>
      <w:pPr>
        <w:spacing w:before="0" w:after="360" w:line="288" w:lineRule="auto"/>
        <w:jc w:val="center"/>
      </w:pPr>
      <w:r>
        <w:rPr>
          <w:rFonts w:ascii="Times New Roman" w:hAnsi="Times New Roman"/>
          <w:b w:val="0"/>
          <w:i/>
          <w:color w:val="5A6B5E"/>
          <w:sz w:val="20"/>
        </w:rPr>
        <w:t>Руководитель: к.т.н., доц. М. О. Корлякова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DBEEE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2F6585"/>
                <w:sz w:val="20"/>
              </w:rPr>
              <w:t xml:space="preserve">Назначение документа  </w:t>
            </w:r>
            <w:r>
              <w:rPr>
                <w:rFonts w:ascii="Times New Roman" w:hAnsi="Times New Roman"/>
                <w:sz w:val="22"/>
              </w:rPr>
              <w:t>В отличие от тезисов (компактная аннотация) и доклада (сценарий выступления), этот документ — глубокий технический разбор: реальные формулы, псевдокод, исходные значения гиперпараметров (из notebooks/grpo_qwen3.5_9b.ipynb), пошаговые объяснения каждой инженерной развилки, ссылки на статьи. Для подготовки к вопросам комиссии, рецензированию НИР и публикации в ВАК-журнале.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1F5C2D"/>
          <w:sz w:val="32"/>
        </w:rPr>
        <w:t>Оглавление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§1  </w:t>
      </w:r>
      <w:r>
        <w:rPr>
          <w:rFonts w:ascii="Times New Roman" w:hAnsi="Times New Roman"/>
          <w:sz w:val="22"/>
        </w:rPr>
        <w:t>Постановка задачи и архитектура системы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§2  </w:t>
      </w:r>
      <w:r>
        <w:rPr>
          <w:rFonts w:ascii="Times New Roman" w:hAnsi="Times New Roman"/>
          <w:sz w:val="22"/>
        </w:rPr>
        <w:t>Математика GRPO и GSPO. Где появляется ноль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§3  </w:t>
      </w:r>
      <w:r>
        <w:rPr>
          <w:rFonts w:ascii="Times New Roman" w:hAnsi="Times New Roman"/>
          <w:sz w:val="22"/>
        </w:rPr>
        <w:t>Барьер №1: ThinkingBudgetProcessor (главный вклад)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§4  </w:t>
      </w:r>
      <w:r>
        <w:rPr>
          <w:rFonts w:ascii="Times New Roman" w:hAnsi="Times New Roman"/>
          <w:sz w:val="22"/>
        </w:rPr>
        <w:t>Барьер №2: Cold-Start SFT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§5  </w:t>
      </w:r>
      <w:r>
        <w:rPr>
          <w:rFonts w:ascii="Times New Roman" w:hAnsi="Times New Roman"/>
          <w:sz w:val="22"/>
        </w:rPr>
        <w:t>Барьер №3: ReDit (reward dithering)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§6  </w:t>
      </w:r>
      <w:r>
        <w:rPr>
          <w:rFonts w:ascii="Times New Roman" w:hAnsi="Times New Roman"/>
          <w:sz w:val="22"/>
        </w:rPr>
        <w:t>GDPO triple reward: формат функции награды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§7  </w:t>
      </w:r>
      <w:r>
        <w:rPr>
          <w:rFonts w:ascii="Times New Roman" w:hAnsi="Times New Roman"/>
          <w:sz w:val="22"/>
        </w:rPr>
        <w:t>Гиперпараметры стадии GSPO (исчерпывающий список)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§8  </w:t>
      </w:r>
      <w:r>
        <w:rPr>
          <w:rFonts w:ascii="Times New Roman" w:hAnsi="Times New Roman"/>
          <w:sz w:val="22"/>
        </w:rPr>
        <w:t>Стадия KTO (Kahneman–Tversky Optimization)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§9  </w:t>
      </w:r>
      <w:r>
        <w:rPr>
          <w:rFonts w:ascii="Times New Roman" w:hAnsi="Times New Roman"/>
          <w:sz w:val="22"/>
        </w:rPr>
        <w:t>Стадия DPO (Direct Preference Optimization)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§10  </w:t>
      </w:r>
      <w:r>
        <w:rPr>
          <w:rFonts w:ascii="Times New Roman" w:hAnsi="Times New Roman"/>
          <w:sz w:val="22"/>
        </w:rPr>
        <w:t>Бенчмарк, верификаторы и протокол оценки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§11  </w:t>
      </w:r>
      <w:r>
        <w:rPr>
          <w:rFonts w:ascii="Times New Roman" w:hAnsi="Times New Roman"/>
          <w:sz w:val="22"/>
        </w:rPr>
        <w:t>Ablation и контрольные эксперименты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§12  </w:t>
      </w:r>
      <w:r>
        <w:rPr>
          <w:rFonts w:ascii="Times New Roman" w:hAnsi="Times New Roman"/>
          <w:sz w:val="22"/>
        </w:rPr>
        <w:t>Результаты по стадиям и доменам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§13  </w:t>
      </w:r>
      <w:r>
        <w:rPr>
          <w:rFonts w:ascii="Times New Roman" w:hAnsi="Times New Roman"/>
          <w:sz w:val="22"/>
        </w:rPr>
        <w:t>Failure modes и post-mortem fixes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§14  </w:t>
      </w:r>
      <w:r>
        <w:rPr>
          <w:rFonts w:ascii="Times New Roman" w:hAnsi="Times New Roman"/>
          <w:sz w:val="22"/>
        </w:rPr>
        <w:t>Воспроизводимость: окружение, версии, артефакты</w:t>
      </w:r>
    </w:p>
    <w:p>
      <w:pPr>
        <w:spacing w:after="20"/>
      </w:pPr>
      <w:r>
        <w:rPr>
          <w:rFonts w:ascii="Times New Roman" w:hAnsi="Times New Roman"/>
          <w:b/>
          <w:color w:val="5FA12E"/>
          <w:sz w:val="22"/>
        </w:rPr>
        <w:t xml:space="preserve">§15  </w:t>
      </w:r>
      <w:r>
        <w:rPr>
          <w:rFonts w:ascii="Times New Roman" w:hAnsi="Times New Roman"/>
          <w:sz w:val="22"/>
        </w:rPr>
        <w:t>Список источников</w:t>
      </w:r>
    </w:p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§1  </w:t>
      </w:r>
      <w:r>
        <w:rPr>
          <w:rFonts w:ascii="Times New Roman" w:hAnsi="Times New Roman"/>
          <w:b/>
          <w:color w:val="1F5C2D"/>
          <w:sz w:val="32"/>
        </w:rPr>
        <w:t>Постановка задачи и архитектура системы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1.1 Целевая система</w:t>
      </w:r>
    </w:p>
    <w:p>
      <w:pPr>
        <w:spacing w:after="80" w:line="288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MITS — Math Intelligent Tutoring System — это интеллектуальная обучающая система (ITS), реализующая </w:t>
      </w:r>
      <w:r>
        <w:rPr>
          <w:rFonts w:ascii="Times New Roman" w:hAnsi="Times New Roman"/>
          <w:b/>
          <w:i w:val="0"/>
          <w:sz w:val="22"/>
        </w:rPr>
        <w:t>сократический диалог</w:t>
      </w:r>
      <w:r>
        <w:rPr>
          <w:rFonts w:ascii="Times New Roman" w:hAnsi="Times New Roman"/>
          <w:b w:val="0"/>
          <w:i w:val="0"/>
          <w:sz w:val="22"/>
        </w:rPr>
        <w:t xml:space="preserve"> по пяти STEM-дисциплинам (математика, физика, химия, биология, информатика) для русскоязычных школьников 7–11 классов. Архитектура: FastAPI-бэкенд (см. </w:t>
      </w:r>
      <w:r>
        <w:rPr>
          <w:rFonts w:ascii="Consolas" w:hAnsi="Consolas"/>
          <w:b w:val="0"/>
          <w:i w:val="0"/>
          <w:sz w:val="20"/>
        </w:rPr>
        <w:t>backend/app/</w:t>
      </w:r>
      <w:r>
        <w:rPr>
          <w:rFonts w:ascii="Times New Roman" w:hAnsi="Times New Roman"/>
          <w:b w:val="0"/>
          <w:i w:val="0"/>
          <w:sz w:val="22"/>
        </w:rPr>
        <w:t>), Next.js-фронтенд с WebSocket-стримингом (</w:t>
      </w:r>
      <w:r>
        <w:rPr>
          <w:rFonts w:ascii="Consolas" w:hAnsi="Consolas"/>
          <w:b w:val="0"/>
          <w:i w:val="0"/>
          <w:sz w:val="20"/>
        </w:rPr>
        <w:t>frontend/</w:t>
      </w:r>
      <w:r>
        <w:rPr>
          <w:rFonts w:ascii="Times New Roman" w:hAnsi="Times New Roman"/>
          <w:b w:val="0"/>
          <w:i w:val="0"/>
          <w:sz w:val="22"/>
        </w:rPr>
        <w:t>), мультиагентный пайплайн поверх Ollama (Qwen3.5-9B fine-tuned).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1.2 Требования к языковой модели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генерация цепочки рассуждений (CoT) перед финальным ответом — необходимо для прозрачности обучения;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корректность решения STEM-задач — измеряется автоматически через SymPy/ChemPy/regex;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сократический стиль — модель не должна сразу выдавать ответ, ведёт ученика через наводящие вопросы;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русскоязычность с сохранением математической нотации (LaTeX-боксы $\boxed{}$);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компактность — целевой деплой через Ollama на одном узле, поэтому 9B параметров.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1.3 Цикл RL-дообучения и его срыв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Стандартный цикл TRL (HuggingFace) выглядит так: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4F6F2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5FA12E"/>
                <w:sz w:val="16"/>
              </w:rPr>
              <w:t>PYTHON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for step in range(total_steps):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prompts = sample(dataset, batch_size)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completions = model.generate(prompts, max_new_tokens=MAX_COMPLETION,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                 num_return_sequences=G)   # rollout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rewards = reward_fn(completions, gold_answers)         # SymPy/ChemPy/...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advantages = (rewards - rewards.mean(group=G)) / rewards.std(group=G)  # GRPO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loss = -log_prob * advantages + beta * KL              # PPO-like clip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loss.backward(); optimizer.step()</w:t>
            </w:r>
          </w:p>
        </w:tc>
      </w:tr>
    </w:tbl>
    <w:p>
      <w:pPr>
        <w:spacing w:after="40" w:before="0"/>
      </w:pPr>
    </w:p>
    <w:p>
      <w:pPr>
        <w:spacing w:after="80" w:line="288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Срыв происходит на втором шаге (</w:t>
      </w:r>
      <w:r>
        <w:rPr>
          <w:rFonts w:ascii="Consolas" w:hAnsi="Consolas"/>
          <w:b w:val="0"/>
          <w:i w:val="0"/>
          <w:sz w:val="20"/>
        </w:rPr>
        <w:t>model.generate</w:t>
      </w:r>
      <w:r>
        <w:rPr>
          <w:rFonts w:ascii="Times New Roman" w:hAnsi="Times New Roman"/>
          <w:b w:val="0"/>
          <w:i w:val="0"/>
          <w:sz w:val="22"/>
        </w:rPr>
        <w:t xml:space="preserve">): TRL не имеет встроенного «бюджета рассуждения» (vLLM #15418). Thinking-модель уходит в неограниченный цикл и не закрывает </w:t>
      </w:r>
      <w:r>
        <w:rPr>
          <w:rFonts w:ascii="Consolas" w:hAnsi="Consolas"/>
          <w:b w:val="0"/>
          <w:i w:val="0"/>
          <w:sz w:val="20"/>
        </w:rPr>
        <w:t>&lt;/think&gt;</w:t>
      </w:r>
      <w:r>
        <w:rPr>
          <w:rFonts w:ascii="Times New Roman" w:hAnsi="Times New Roman"/>
          <w:b w:val="0"/>
          <w:i w:val="0"/>
          <w:sz w:val="22"/>
        </w:rPr>
        <w:t xml:space="preserve"> в пределах </w:t>
      </w:r>
      <w:r>
        <w:rPr>
          <w:rFonts w:ascii="Consolas" w:hAnsi="Consolas"/>
          <w:b w:val="0"/>
          <w:i w:val="0"/>
          <w:sz w:val="20"/>
        </w:rPr>
        <w:t>MAX_COMPLETION</w:t>
      </w:r>
      <w:r>
        <w:rPr>
          <w:rFonts w:ascii="Times New Roman" w:hAnsi="Times New Roman"/>
          <w:b w:val="0"/>
          <w:i w:val="0"/>
          <w:sz w:val="22"/>
        </w:rPr>
        <w:t>. Все G completions в группе обрезаются → все имеют одинаковую (нулевую) награду → advantages схлопываются в 0 → градиент равен нулю.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DE8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C0392B"/>
                <w:sz w:val="20"/>
              </w:rPr>
              <w:t xml:space="preserve">Источник истины  </w:t>
            </w:r>
            <w:r>
              <w:rPr>
                <w:rFonts w:ascii="Times New Roman" w:hAnsi="Times New Roman"/>
                <w:sz w:val="22"/>
              </w:rPr>
              <w:t>Класс ThinkingBudgetProcessor реализован в notebooks/grpo_qwen3.5_9b.ipynb (cell 13). Все приведённые в этом документе значения гиперпараметров — выгрузка из этого ноутбука и сопутствующих kto/dpo notebooks.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§2  </w:t>
      </w:r>
      <w:r>
        <w:rPr>
          <w:rFonts w:ascii="Times New Roman" w:hAnsi="Times New Roman"/>
          <w:b/>
          <w:color w:val="1F5C2D"/>
          <w:sz w:val="32"/>
        </w:rPr>
        <w:t>Математика GRPO и GSPO. Где появляется ноль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2.1 GRPO loss (Shao et al., DeepSeekMath, arXiv:2402.03300)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Group Relative Policy Optimization — это PPO-подобный алгоритм без value-network. Преимущество оценивается относительно среднего награды в группе из G completions для одного промпта: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A_i = (r_i − mean(r_1, …, r_G)) / std(r_1, …, r_G)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Затем стандартный PPO-clip на уровне токена: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L_GRPO = E_t[ min( ratio_t · A, clip(ratio_t, 1−ε, 1+ε) · A ) ] − β · KL(π_θ ‖ π_ref)</w:t>
      </w:r>
    </w:p>
    <w:p>
      <w:pPr>
        <w:spacing w:after="80" w:line="288" w:lineRule="auto"/>
        <w:jc w:val="both"/>
      </w:pPr>
      <w:r>
        <w:rPr>
          <w:rFonts w:ascii="Times New Roman" w:hAnsi="Times New Roman"/>
          <w:b w:val="0"/>
          <w:i/>
          <w:sz w:val="22"/>
        </w:rPr>
        <w:t>где ratio_t = π_θ(a_t | s_t) / π_ref(a_t | s_t) — отношение вероятностей токена t у текущей и референсной политики.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2.2 GSPO: sequence-level importance sampling (Zheng et al., arXiv:2507.18071)</w:t>
      </w:r>
    </w:p>
    <w:p>
      <w:pPr>
        <w:spacing w:after="80" w:line="288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Ключевое отличие GSPO — importance sampling нормируется на </w:t>
      </w:r>
      <w:r>
        <w:rPr>
          <w:rFonts w:ascii="Times New Roman" w:hAnsi="Times New Roman"/>
          <w:b/>
          <w:i w:val="0"/>
          <w:sz w:val="22"/>
        </w:rPr>
        <w:t>уровне всей последовательности</w:t>
      </w:r>
      <w:r>
        <w:rPr>
          <w:rFonts w:ascii="Times New Roman" w:hAnsi="Times New Roman"/>
          <w:b w:val="0"/>
          <w:i w:val="0"/>
          <w:sz w:val="22"/>
        </w:rPr>
        <w:t>, а не отдельных токенов. Для одного completion длиной L: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ratio_seq = ( ∏_t π_θ(a_t | s_t) / π_ref(a_t | s_t) )^{1/L}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На длинных цепочках рассуждения (L ~ 2000 токенов) токенная дисперсия ratio_t взрывается; geometric mean по последовательности её стабилизирует. Цена — клипинг ε нужно ставить на 2–3 порядка меньше: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ε_GRPO ≈ 0,2     vs.     ε_GSPO ≈ 3·10⁻⁴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В нашем коде: EPSILON = 3e-4, EPSILON_HIGH = 4e-4 (Clip-Higher из DAPO arXiv:2503.14476 — разрешает чуть более активную positive update при сохранении симметричной защиты от негативного обвала).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2.3 Цепная реакция нуля (детальный вывод)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Покажем формально, почему обрезка ведёт к нулевому градиенту.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Шаг 1 — обрезка: при отсутствии &lt;/think&gt; в пределах MAX_COMPLETION все G completions сэмплинга усекаются. Reward-функция извлекает ответ из \boxed{...} (см. _extract_boxed_answer в stem_rewards.py). При отсутствии \boxed{...} → возвращается пустая строка → verify_answer возвращает 0.0 для всех G.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r_1 = r_2 = … = r_G = 0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Шаг 2 — schлопывание дисперсии: std(0, 0, …, 0) = 0.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A_i = (0 − 0) / 0 = NaN  →  обрабатывается как 0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Шаг 3 — нулевой policy gradient (∂L/∂θ ∝ A_i):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∇_θ L_GRPO = 0,    KL = 0  →  оптимизатор не делает шаг в правильном направлении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EAF4D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5FA12E"/>
                <w:sz w:val="20"/>
              </w:rPr>
              <w:t xml:space="preserve">Главный вывод  </w:t>
            </w:r>
            <w:r>
              <w:rPr>
                <w:rFonts w:ascii="Times New Roman" w:hAnsi="Times New Roman"/>
                <w:sz w:val="22"/>
              </w:rPr>
              <w:t>Решение этой проблемы не сводится к увеличению max_completion_length — модель всё равно дойдёт до лимита, не закрыв &lt;/think&gt;. Нужен принудительный механизм завершения думающей фазы внутри каждого rollout-сэмпла.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§3  </w:t>
      </w:r>
      <w:r>
        <w:rPr>
          <w:rFonts w:ascii="Times New Roman" w:hAnsi="Times New Roman"/>
          <w:b/>
          <w:color w:val="1F5C2D"/>
          <w:sz w:val="32"/>
        </w:rPr>
        <w:t>Барьер №1: ThinkingBudgetProcessor (главный вклад)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3.1 Идея и место в пайплайне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ThinkingBudgetProcessor — это подкласс transformers.LogitsProcessor, вызываемый на каждом шаге авторегрессионной генерации до softmax. Он встраивается в model.generate() через monkey-patch (см. cell 13 ноутбука) и работает параллельно для G сэмплов в одном rollout.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3.2 Состояние и трёхзонная логика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</w:rPr>
        <w:t>Процессор поддерживает per-sequence счётчик токенов с момента &lt;think&gt;. Зоны: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Zone 1 (0…0,9·B): </w:t>
      </w:r>
      <w:r>
        <w:rPr>
          <w:rFonts w:ascii="Times New Roman" w:hAnsi="Times New Roman"/>
          <w:b w:val="0"/>
          <w:i w:val="0"/>
          <w:sz w:val="22"/>
        </w:rPr>
        <w:t>процессор пассивен, scores не меняются.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>Zone 2 (0,9·B…B): soft nudge</w:t>
      </w:r>
      <w:r>
        <w:rPr>
          <w:rFonts w:ascii="Times New Roman" w:hAnsi="Times New Roman"/>
          <w:b w:val="0"/>
          <w:i w:val="0"/>
          <w:sz w:val="22"/>
        </w:rPr>
        <w:t xml:space="preserve"> — scores[&lt;/think&gt;] += 5,0. Модель чаще выбирает закрытие, но другие токены остаются возможными.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>Zone 3 (= B): hard force</w:t>
      </w:r>
      <w:r>
        <w:rPr>
          <w:rFonts w:ascii="Times New Roman" w:hAnsi="Times New Roman"/>
          <w:b w:val="0"/>
          <w:i w:val="0"/>
          <w:sz w:val="22"/>
        </w:rPr>
        <w:t xml:space="preserve"> — scores[:] = -∞; scores[&lt;/think&gt;] = 0,0. Гарантия закрытия.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Здесь B = thinking_budget = 1536 токенов (в исходниках; в тезисах округлено до 1500). Граница soft nudge: int(B · 0,9) = 1382 токена.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3.3 Реализация (полный код)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4F6F2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5FA12E"/>
                <w:sz w:val="16"/>
              </w:rPr>
              <w:t>PYTHON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class ThinkingBudgetProcessor(LogitsProcessor):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def __init__(self, think_end_token_id: int, thinking_budget: int = 1536,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 think_start_token_id: int = None):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self.think_end_token_id   = think_end_token_id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self.thinking_budget      = thinking_budget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self.think_start_token_id = think_start_token_id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self.soft_nudge_threshold = int(thinking_budget * 0.9)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self._thinking_tokens = None   # per-sequence counter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self._in_thinking     = None   # per-sequence bool flag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def _reset(self, batch_size: int):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self._thinking_tokens = torch.zeros(batch_size, dtype=torch.long)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self._in_thinking     = torch.ones(batch_size,  dtype=torch.bool)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def __call__(self, input_ids, scores):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batch_size = input_ids.shape[0]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if self._thinking_tokens is None or self._thinking_tokens.shape[0] != batch_size: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self._reset(batch_size)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for i in range(batch_size):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if not self._in_thinking[i]: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continue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last_token = input_ids[i, -1].item()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if last_token == self.think_end_token_id: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self._in_thinking[i] = False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continue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self._thinking_tokens[i] += 1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tok_count = self._thinking_tokens[i].item()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if tok_count &gt;= self.thinking_budget: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# HARD FORCE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scores[i, :] = float('-inf')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scores[i, self.think_end_token_id] = 0.0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elif tok_count &gt;= self.soft_nudge_threshold: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# SOFT NUDGE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scores[i, self.think_end_token_id] += 5.0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return scores</w:t>
            </w:r>
          </w:p>
        </w:tc>
      </w:tr>
    </w:tbl>
    <w:p>
      <w:pPr>
        <w:spacing w:after="40" w:before="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3.4 Почему +5,0, а не +1,0 или +10,0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Логиты до softmax — вещественные числа, обычно в диапазоне [−5; +5] для топ-токенов. Прибавка +5,0 эмпирически даёт ≈ удвоение вероятности &lt;/think&gt; относительно лидирующего альтернативного токена — это «склоняет, но не принуждает». При +1,0 эффект слабый (модель чаще игнорирует), при +10,0 — модель резко обрывает мысль и качество CoT падает. Значение +5,0 экспериментально подобрано на 50-задачной выборке.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3.5 Сравнение с S1 (Muennighoff et al., arXiv:2501.19393)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215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3402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S1 (test-time scaling)</w:t>
            </w:r>
          </w:p>
        </w:tc>
        <w:tc>
          <w:tcPr>
            <w:tcW w:type="dxa" w:w="368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Наш ThinkingBudgetProcessor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Этап применения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Инференс (после обучения)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Rollout-генерация внутри RL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Цель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Контроль длины ответа конечного пользователя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Гарантия завершения для расчёта награды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Влияние на градиент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Не влияет (модель не обучается)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Делает advantages ненулевыми → ∇L ≠ 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Soft/Hard логика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Только hard cutoff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Двухступенчатая (soft + hard)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Per-sequence state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Нет (одна последовательность)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Есть (G параллельных completions)</w:t>
            </w:r>
          </w:p>
        </w:tc>
      </w:tr>
    </w:tbl>
    <w:p>
      <w:pPr>
        <w:spacing w:after="40"/>
      </w:pP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Принципиальное отличие — наш процессор встроен в RL-loop. У S1 принудительное завершение — это утилита для пользователя; у нас — это математическое условие сходимости.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3.6 Trade-off: качество мысли vs. гарантия завершения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Soft nudge активен только в верхних 10 % бюджета (1382…1536 токенов). На практике примерно 70–85 % completions завершаются естественно ещё в Zone 1. Hard force срабатывает лишь на ≈ 14 % сэмплов — это и есть итоговый clipped ratio после применения метода. Качество CoT (измеренное Socratic score через LLM-судью) после применения процессора выросло с 0,911 до 0,934 — деградации нет.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§4  </w:t>
      </w:r>
      <w:r>
        <w:rPr>
          <w:rFonts w:ascii="Times New Roman" w:hAnsi="Times New Roman"/>
          <w:b/>
          <w:color w:val="1F5C2D"/>
          <w:sz w:val="32"/>
        </w:rPr>
        <w:t>Барьер №2: Cold-Start SFT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4.1 Зачем нужно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Даже после устранения проблемы обрезки GRPO нужен достаточный пул положительных примеров в группе. На «холодной» Qwen3.5-9B-Instruct базовая точность по STEM ~5 %. При G = 8 в группе в среднем 0,4 правильных ответа на промпт — это недостаточно для оценки advantage: дисперсия наград чрезмерно низкая (мала статистическая мощность).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Cold-Start SFT поднимает эту базу до 15–30 % через короткое обучение с учителем перед запуском RL. Идея взята из DeepSeek-R1 (arXiv:2501.12948).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4.2 Двухфазная схема Phase A / Phase B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Фаза</w:t>
            </w:r>
          </w:p>
        </w:tc>
        <w:tc>
          <w:tcPr>
            <w:tcW w:type="dxa" w:w="311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90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Шагов</w:t>
            </w:r>
          </w:p>
        </w:tc>
        <w:tc>
          <w:tcPr>
            <w:tcW w:type="dxa" w:w="379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 данных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 — Math Cold-Start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Поднять базовую accuracy с ~5 % до 15–30 %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3798"/>
          </w:tcPr>
          <w:p>
            <w:r/>
            <w:r>
              <w:rPr>
                <w:rFonts w:ascii="Times New Roman" w:hAnsi="Times New Roman"/>
                <w:sz w:val="20"/>
              </w:rPr>
              <w:t>rejection sampling из самой Qwen3.5-9B + автоверификация SymPy/ChemPy/regex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 — Socratic Cold-Start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Установить behavioral prior сократического стиля до RL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3798"/>
          </w:tcPr>
          <w:p>
            <w:r/>
            <w:r>
              <w:rPr>
                <w:rFonts w:ascii="Times New Roman" w:hAnsi="Times New Roman"/>
                <w:sz w:val="20"/>
              </w:rPr>
              <w:t>training/data/dialogs.jsonl (3 875 диалогов, см. репозиторий)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4.3 Алгоритм rejection sampling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4F6F2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5FA12E"/>
                <w:sz w:val="16"/>
              </w:rPr>
              <w:t>PYTHON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def build_cold_start_dataset(base_model, problems, target_n=100):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# 1. Generate solutions for each problem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solutions = base_model.generate(problems, n_samples=8)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# 2. Verify correctness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verified = []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for prob, sols in zip(problems, solutions):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for s in sols: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r = verify_answer(s, prob.gold, prob.domain)   # 1.0 / 0.0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if r == 1.0: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verified.append({"prompt": prob.text,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                 "completion": s,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                 "domain": prob.domain})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        break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# 3. Stop when target reached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return verified[:target_n]</w:t>
            </w:r>
          </w:p>
        </w:tc>
      </w:tr>
    </w:tbl>
    <w:p>
      <w:pPr>
        <w:spacing w:after="40" w:before="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4.4 Почему именно SFT, а не доразметка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Альтернатива — собрать «золотой» сократический корпус вручную. Но это: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дорого (диалог по STEM пишется ~ 20 минут на пример → 500 примеров = ≈ 170 ч);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вносит человеческое смещение (эксперт пишет в одном стиле);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повышает риск переобучения на формат.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Rejection sampling из самой модели сохраняет распределение её собственных решений и тренирует её только воспроизводить успешные попытки. Это — bootstrap-подход.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§5  </w:t>
      </w:r>
      <w:r>
        <w:rPr>
          <w:rFonts w:ascii="Times New Roman" w:hAnsi="Times New Roman"/>
          <w:b/>
          <w:color w:val="1F5C2D"/>
          <w:sz w:val="32"/>
        </w:rPr>
        <w:t>Барьер №3: ReDit (reward dithering)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5.1 Формула и обоснование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Reward dithering (Lin et al., arXiv:2506.18631) добавляет малый гауссов шум к сырой награде до вычисления advantages: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r' = r + ε,    ε ~ N(0, σ²),    σ = 0,05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5.2 Доказательство ненулевой дисперсии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Пусть в группе G = 8 все r_i = 0. Тогда: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r'_i = ε_i,    Var(r'_i) = σ² = 0,0025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std(r'_1, …, r'_G) ≈ 0,05 · √(1 − 1/G) ≈ 0,047 — численно не ноль. Advantages становятся ненулевыми, ∇L ≠ 0.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5.3 Сохранение ранжирования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Для пары (correct, incorrect) разница сырых наград Δr = 1,0. Чтобы шум развернул ранжирование, нужна реализация |ε_correct − ε_incorrect| &gt; 1,0. Вероятность: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P(|ε_1 − ε_2| &gt; 1,0) = P(|Z| &gt; 1/(σ·√2))     где Z ~ N(0, 1)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При σ = 0,05: 1/(σ·√2) = 14,14, что соответствует P &lt; 10⁻⁴⁴ — практически невозможно. Эмпирически — ранжирование сохраняется в 99 %+ случаев (отдельные искажения возможны только в borderline-случаях, где partial credit ≈ 0,5).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5.4 Несовместимость с zero-variance masking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DE8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C0392B"/>
                <w:sz w:val="20"/>
              </w:rPr>
              <w:t xml:space="preserve">Важно  </w:t>
            </w:r>
            <w:r>
              <w:rPr>
                <w:rFonts w:ascii="Times New Roman" w:hAnsi="Times New Roman"/>
                <w:sz w:val="22"/>
              </w:rPr>
              <w:t>ReDit и zero-variance masking (стандартный TRL-приём — игнорировать группы с σ(r) = 0) взаимно исключают друг друга: маскинг отбрасывает ровно те группы, на которых ReDit пытается восстановить сигнал. В нашем коде zero_variance_masking = False, dithering_sigma = 0,05.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§6  </w:t>
      </w:r>
      <w:r>
        <w:rPr>
          <w:rFonts w:ascii="Times New Roman" w:hAnsi="Times New Roman"/>
          <w:b/>
          <w:color w:val="1F5C2D"/>
          <w:sz w:val="32"/>
        </w:rPr>
        <w:t>GDPO triple reward: формат функции награды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6.1 Три компоненты награды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58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06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Что измеряет</w:t>
            </w:r>
          </w:p>
        </w:tc>
        <w:tc>
          <w:tcPr>
            <w:tcW w:type="dxa" w:w="28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Верификатор</w:t>
            </w:r>
          </w:p>
        </w:tc>
        <w:tc>
          <w:tcPr>
            <w:tcW w:type="dxa" w:w="850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correctness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корректность финального ответа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SymPy / ChemPy / regex / exact match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0,40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format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наличие &lt;think&gt;...&lt;/think&gt; и \boxed{}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regex по формату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0,15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socratic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наличие наводящих вопросов, отсутствие answer-leak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LLM-as-judge (Llama-3.1-70B)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0,45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6.2 GDPO-decoupled нормирование (arXiv:2601.05242)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Каждая компонента награды нормируется по группе отдельно перед взвешенной суммой: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r̂_k,i = (r_k,i − mean_g(r_k)) / std_g(r_k)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r_total,i = w_correct · r̂_correct,i + w_format · r̂_format,i + w_socratic · r̂_socratic,i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Без нормирования компонента с большим масштабом доминирует. После нормировки веса (0,4 / 0,15 / 0,45) — это доли влияния на градиент, а не на сумму наград.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6.3 Эволюция весов (post-mortem)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Изначально веса были (0,7 / 0,15 / 0,15) — превалирует correctness. После первого запуска обнаружилось, что socratic поведение деградирует (модель учится решать, а не рассуждать). 23 марта 2026 веса перебалансированы: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1020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correct</w:t>
            </w:r>
          </w:p>
        </w:tc>
        <w:tc>
          <w:tcPr>
            <w:tcW w:type="dxa" w:w="1020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1020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socratic</w:t>
            </w:r>
          </w:p>
        </w:tc>
        <w:tc>
          <w:tcPr>
            <w:tcW w:type="dxa" w:w="368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Эффект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v1 (initial)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0"/>
              </w:rPr>
              <w:t>0,70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Высокая accuracy, низкий socratic score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v2 (post-mortem 23.03)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0"/>
              </w:rPr>
              <w:t>0,40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/>
                <w:sz w:val="20"/>
              </w:rPr>
              <w:t>0,45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Сбалансированный прирост по обоим направлениям</w:t>
            </w:r>
          </w:p>
        </w:tc>
      </w:tr>
      <w:tr>
        <w:tc>
          <w:tcPr>
            <w:tcW w:type="dxa" w:w="1984"/>
            <w:shd w:val="clear" w:color="auto" w:fill="EAF4D8"/>
          </w:tcPr>
          <w:p>
            <w:r/>
            <w:r>
              <w:rPr>
                <w:rFonts w:ascii="Times New Roman" w:hAnsi="Times New Roman"/>
                <w:b/>
                <w:color w:val="1F5C2D"/>
                <w:sz w:val="20"/>
              </w:rPr>
              <w:t>v3 (final, текущая)</w:t>
            </w:r>
          </w:p>
        </w:tc>
        <w:tc>
          <w:tcPr>
            <w:tcW w:type="dxa" w:w="1020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0,40</w:t>
            </w:r>
          </w:p>
        </w:tc>
        <w:tc>
          <w:tcPr>
            <w:tcW w:type="dxa" w:w="1020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0,15</w:t>
            </w:r>
          </w:p>
        </w:tc>
        <w:tc>
          <w:tcPr>
            <w:tcW w:type="dxa" w:w="1020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0,45</w:t>
            </w:r>
          </w:p>
        </w:tc>
        <w:tc>
          <w:tcPr>
            <w:tcW w:type="dxa" w:w="3685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Используется в продакшен-ноутбуке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6.4 Верификаторы по доменам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4F6F2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5FA12E"/>
                <w:sz w:val="16"/>
              </w:rPr>
              <w:t>PYTHON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def _verify_answer(completion, answer, domain):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extracted = _extract_boxed_answer(completion)   # ищет последний \boxed{...}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if not extracted or not answer: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return 0.0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if domain == "math":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# SymPy: символьное упрощение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pred = sympy.sympify(extracted)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gold = sympy.sympify(answer)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return 1.0 if sympy.simplify(pred - gold) == 0 else 0.0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elif domain == "physics":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# 5%-relative tolerance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pred_num = float(re.findall(r"[-+]?\d*\.?\d+", extracted)[0])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gold_num = float(re.findall(r"[-+]?\d*\.?\d+", str(answer))[0])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return 1.0 if abs(pred_num - gold_num) / max(abs(gold_num), 1e-10) &lt; 0.05 else 0.0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else:   # biology, cs — exact match (case-insensitive)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    return 1.0 if extracted.strip().lower() == str(answer).strip().lower() else 0.0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# chemistry → ChemPy для стехиометрии (отдельная ветка в stem_rewards.py)</w:t>
            </w:r>
          </w:p>
        </w:tc>
      </w:tr>
    </w:tbl>
    <w:p>
      <w:pPr>
        <w:spacing w:after="40" w:before="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§7  </w:t>
      </w:r>
      <w:r>
        <w:rPr>
          <w:rFonts w:ascii="Times New Roman" w:hAnsi="Times New Roman"/>
          <w:b/>
          <w:color w:val="1F5C2D"/>
          <w:sz w:val="32"/>
        </w:rPr>
        <w:t>Гиперпараметры стадии GSPO (исчерпывающий список)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7.1 Базовая модель и LoRA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55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4252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BASE_MODEL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Qwen/Qwen3.5-9B (Instruct)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9B без QLoRA на A100/PRO 6000; thinking-mode встроен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dtype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bf16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RTX PRO 6000 / A100 поддерживают; нет потерь точности vs fp32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LORA_R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Tina paper (arXiv:2504.15777): r=64 деградирует 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LORA_ALPHA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α / r = 2 — баланс магнитуды апдейта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LORA_DROPOUT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0,0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RL уже имеет inherent exploration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TARGET_MODULES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q,k,v,o,gate,up,down_proj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Все linear-слои attention + MLP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7.2 GSPO-ядро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28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70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4252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 / обоснование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IMPORTANCE_SAMPLING_LEVEL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sequence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GSPO: arXiv:2507.18071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LOSS_TYPE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dr_grpo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Decoupled-Reward GRPO (arXiv:2503.20783)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EPSILON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3·10⁻⁴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Sequence-level: на 3 порядка меньше токенного 0,2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EPSILON_HIGH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4·10⁻⁴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Clip-Higher (DAPO arXiv:2503.14476)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BETA (KL penalty)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0,04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Post-mortem fix: 0,0 ломает instruction-following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MAX_GRAD_NORM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Стандарт TRL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7.3 Длины контекста и батчи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11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8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A100-80GB</w:t>
            </w:r>
          </w:p>
        </w:tc>
        <w:tc>
          <w:tcPr>
            <w:tcW w:type="dxa" w:w="28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PRO 6000-96GB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MAX_PROMPT_LENGTH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512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512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MAX_COMPLETION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4096 (budget=2048 + answer=2048)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4096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MAX_SEQ_LENGTH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4608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4608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 (group size)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BATCH_SIZE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 (BS=2 → OOM на backward)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GRADIENT_ACCUMULATION_STEPS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Effective batch (prompts)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Effective batch (completions)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128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STEPS_PER_GENERATION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7.4 Оптимизатор и расписание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1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Stage 1 (warm-up)</w:t>
            </w:r>
          </w:p>
        </w:tc>
        <w:tc>
          <w:tcPr>
            <w:tcW w:type="dxa" w:w="311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Stage 2 (curriculum)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Optimizer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adamw_torch_fused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Lion 8-bit (arXiv:2302.06675)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Learning rate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5·10⁻⁷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3·10⁻⁷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Weight decay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0,01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Adam β2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0,99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Warmup ratio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0,03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LR schedule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cosine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cosine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Цель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стабилизация политики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сложные задачи (hard tier)</w:t>
            </w:r>
          </w:p>
        </w:tc>
      </w:tr>
    </w:tbl>
    <w:p>
      <w:pPr>
        <w:spacing w:after="40"/>
      </w:pP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Lion (sign-based momentum) на стадии 2 выбран потому, что даёт более устойчивые обновления при шумных RL-градиентах: знаковая нормировка эквивалентна gradient clipping по координатам, что критично при σ(reward) близкой к нулю.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7.5 Curriculum-стратегия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13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Доля задач</w:t>
            </w:r>
          </w:p>
        </w:tc>
        <w:tc>
          <w:tcPr>
            <w:tcW w:type="dxa" w:w="170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Difficulty weight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Доступ в Stage 1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Доступ в Stage 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easy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30 %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medium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50 %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hard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✗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spacing w:after="40"/>
      </w:pP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Difficulty weighting (GRPO-LEAD): hard-задачи получают вес 1,5 в reward (если решены), easy — 0,4. Это компенсирует риск переобучения на простые примеры.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7.6 Промпт-микширование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Каждый rollout-промпт случайно сэмплится из двух режимов: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78 % — Socratic (соответствует деплою): system prompt призывает вести ученика через вопросы;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22 % — TaskGen (предотвращает alignment tax): прямое решение без сократики.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Без TaskGen-добавки модель «забывает», как решать напрямую — это alignment tax из Llama-2 Ghost Attention (arXiv:2307.09288).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§8  </w:t>
      </w:r>
      <w:r>
        <w:rPr>
          <w:rFonts w:ascii="Times New Roman" w:hAnsi="Times New Roman"/>
          <w:b/>
          <w:color w:val="1F5C2D"/>
          <w:sz w:val="32"/>
        </w:rPr>
        <w:t>Стадия KTO (Kahneman–Tversky Optimization)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8.1 Теоретическая основа (arXiv:2402.01306)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KTO основан на теории перспектив Канемана–Тверски: люди иначе воспринимают выигрыши и потери (вес потерь ~ 2× выше). Формула KTO loss для desirable (y_d) и undesirable (y_u):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L_KTO = E[ λ_d · (1 − σ(β · (h_d − ρ))) + λ_u · w_u · (1 − σ(β · (ρ − h_u))) ]</w:t>
      </w:r>
    </w:p>
    <w:p>
      <w:pPr>
        <w:spacing w:after="80" w:line="288" w:lineRule="auto"/>
        <w:jc w:val="both"/>
      </w:pPr>
      <w:r>
        <w:rPr>
          <w:rFonts w:ascii="Times New Roman" w:hAnsi="Times New Roman"/>
          <w:b w:val="0"/>
          <w:i/>
          <w:sz w:val="22"/>
        </w:rPr>
        <w:t>где h = log( π_θ(y|x) / π_ref(y|x) ) — log-ratio, ρ — KL reference point, λ — индикаторы класса.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8.2 Преимущество над DPO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DPO требует парных данных (chosen, rejected) для одного промпта — дорого собирать;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KTO работает на непарных метках: «этот ответ хороший / плохой» — можно собирать дёшево;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Несбалансированный датасет — нормально для KTO; компенсируется undesirable_weight.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8.3 Гиперпараметры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28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68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BETA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Стандарт KTO paper для 7-9B моделей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LEARNING_RATE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5·10⁻⁷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Консервативно для 9B (paper: 5e-7…5e-6)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NUM_EPOCHS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Дольше → переобучение на мелком датасете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MAX_LENGTH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1536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prompt + completion total (TRL 0.27)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BATCH_SIZE (A100)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Effective batch = 32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GRADIENT_ACCUMULATION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DESIRABLE examples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3 875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training/data/dialogs.jsonl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UNDESIRABLE examples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12 597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training/data/preference_pairs.jsonl (rejected стороны)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undesirable_weight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2,13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= 12 597 / (3 875 · 2,13) = 1,53 (балансирует объём)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Total steps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2 582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≈ 14,5 часа на A100 80 GB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8.4 Логика классификации move-категорий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В Socratic-диалоге каждая реплика модели классифицируется по типу хода: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Хорошие (desirable): </w:t>
      </w:r>
      <w:r>
        <w:rPr>
          <w:rFonts w:ascii="Consolas" w:hAnsi="Consolas"/>
          <w:b w:val="0"/>
          <w:i w:val="0"/>
          <w:sz w:val="20"/>
        </w:rPr>
        <w:t>scaffolding, encourage, hint, problematize</w:t>
      </w:r>
      <w:r>
        <w:rPr>
          <w:rFonts w:ascii="Times New Roman" w:hAnsi="Times New Roman"/>
          <w:b w:val="0"/>
          <w:i w:val="0"/>
          <w:sz w:val="22"/>
        </w:rPr>
        <w:t xml:space="preserve"> — ведут ученика, не сливают ответ.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Плохие (undesirable): </w:t>
      </w:r>
      <w:r>
        <w:rPr>
          <w:rFonts w:ascii="Consolas" w:hAnsi="Consolas"/>
          <w:b w:val="0"/>
          <w:i w:val="0"/>
          <w:sz w:val="20"/>
        </w:rPr>
        <w:t>answer_leak, give_up, off_topic</w:t>
      </w:r>
      <w:r>
        <w:rPr>
          <w:rFonts w:ascii="Times New Roman" w:hAnsi="Times New Roman"/>
          <w:b w:val="0"/>
          <w:i w:val="0"/>
          <w:sz w:val="22"/>
        </w:rPr>
        <w:t xml:space="preserve"> — нарушают сократический контракт.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§9  </w:t>
      </w:r>
      <w:r>
        <w:rPr>
          <w:rFonts w:ascii="Times New Roman" w:hAnsi="Times New Roman"/>
          <w:b/>
          <w:color w:val="1F5C2D"/>
          <w:sz w:val="32"/>
        </w:rPr>
        <w:t>Стадия DPO (Direct Preference Optimization)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9.1 Теория (arXiv:2305.18290)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DPO переформулирует RLHF как supervised задачу на парных предпочтениях. Bradley-Terry модель предпочтений: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F5C2D"/>
          <w:sz w:val="24"/>
        </w:rPr>
        <w:t>L_DPO = −E[ log σ( β · log(π_θ(y_w|x)/π_ref(y_w|x)) − β · log(π_θ(y_l|x)/π_ref(y_l|x)) ) ]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y_w — chosen (preferred), y_l — rejected. β контролирует «жёсткость» сдвига от референсной политики.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9.2 Источник пар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DPO в нашем пайплайне — финальная полировка после KTO. Источники пар: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RAFT++ negatives (отвергнутые в Stage 1 GSPO completions);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генерация N=16 completions с KTO-чекпоинта, парный отбор по composite score;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после фильтрации остаётся ≥ 50 пар (MIN_PAIRS) — иначе DPO пропускается.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9.3 Гиперпараметры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55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PRO 6000-96GB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A100-80GB</w:t>
            </w:r>
          </w:p>
        </w:tc>
        <w:tc>
          <w:tcPr>
            <w:tcW w:type="dxa" w:w="3402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DPO_BETA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Консервативный сдвиг (paper recommends 0,1–0,5)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DPO_LR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5·10⁻⁷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5·10⁻⁷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Очень мало — это polish, не learning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DPO_STEPS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Достаточно для финального тюна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DPO_WARMUP_RATIO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20 шагов linear warmup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PAIRS_PER_PROBLEM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Лимитировано VRAM (16 completions × 1024 token)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DPO_BATCH_SIZE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DPO_GRAD_ACCUM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Effective batch = 16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MIN_PAIRS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Skip DPO если меньше — недостаточно сигнала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9.4 Защитный механизм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В DPO-ноутбуке встроен guard: после прогонки eval-сабсета на пром пром checkpoint, если accuracy упала более чем на 1 п.п. от KTO-уровня — DPO откатывается (skip). Это предотвращает деградацию из-за плохо отобранных пар.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§10  </w:t>
      </w:r>
      <w:r>
        <w:rPr>
          <w:rFonts w:ascii="Times New Roman" w:hAnsi="Times New Roman"/>
          <w:b/>
          <w:color w:val="1F5C2D"/>
          <w:sz w:val="32"/>
        </w:rPr>
        <w:t>Бенчмарк, верификаторы и протокол оценки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10.1 Состав бенчмарка (3 678 задач)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113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Задач</w:t>
            </w:r>
          </w:p>
        </w:tc>
        <w:tc>
          <w:tcPr>
            <w:tcW w:type="dxa" w:w="368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Домены</w:t>
            </w:r>
          </w:p>
        </w:tc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Лицензия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MGSM Russian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250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math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MIT (Google Research)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ruMMLU STEM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3 210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math, physics, chemistry, biology, cs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Apache 2.0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Custom (Author)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218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physics, chemistry, biology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MIT (этот проект)</w:t>
            </w:r>
          </w:p>
        </w:tc>
      </w:tr>
      <w:tr>
        <w:tc>
          <w:tcPr>
            <w:tcW w:type="dxa" w:w="1984"/>
            <w:shd w:val="clear" w:color="auto" w:fill="EAF4D8"/>
          </w:tcPr>
          <w:p>
            <w:r/>
            <w:r>
              <w:rPr>
                <w:rFonts w:ascii="Times New Roman" w:hAnsi="Times New Roman"/>
                <w:b/>
                <w:color w:val="1F5C2D"/>
                <w:sz w:val="20"/>
              </w:rPr>
              <w:t>Итого</w:t>
            </w:r>
          </w:p>
        </w:tc>
        <w:tc>
          <w:tcPr>
            <w:tcW w:type="dxa" w:w="1134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3 678</w:t>
            </w:r>
          </w:p>
        </w:tc>
        <w:tc>
          <w:tcPr>
            <w:tcW w:type="dxa" w:w="3685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5 STEM-доменов</w:t>
            </w:r>
          </w:p>
        </w:tc>
        <w:tc>
          <w:tcPr>
            <w:tcW w:type="dxa" w:w="1984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10.2 Распределение по доменам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Домен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Кол-во задач</w:t>
            </w:r>
          </w:p>
        </w:tc>
        <w:tc>
          <w:tcPr>
            <w:tcW w:type="dxa" w:w="3969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Базовая accuracy (Qwen3.5-9B)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Математика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1 200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79,1 %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Физика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74,4 %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Химия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678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46,7 %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Информатика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46,5 %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Биология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28,6 %</w:t>
            </w:r>
          </w:p>
        </w:tc>
      </w:tr>
      <w:tr>
        <w:tc>
          <w:tcPr>
            <w:tcW w:type="dxa" w:w="2268"/>
            <w:shd w:val="clear" w:color="auto" w:fill="EAF4D8"/>
          </w:tcPr>
          <w:p>
            <w:r/>
            <w:r>
              <w:rPr>
                <w:rFonts w:ascii="Times New Roman" w:hAnsi="Times New Roman"/>
                <w:b/>
                <w:color w:val="1F5C2D"/>
                <w:sz w:val="20"/>
              </w:rPr>
              <w:t>Macro-average</w:t>
            </w:r>
          </w:p>
        </w:tc>
        <w:tc>
          <w:tcPr>
            <w:tcW w:type="dxa" w:w="2268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—</w:t>
            </w:r>
          </w:p>
        </w:tc>
        <w:tc>
          <w:tcPr>
            <w:tcW w:type="dxa" w:w="3969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55,1 %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10.3 Верификаторы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Домен</w:t>
            </w:r>
          </w:p>
        </w:tc>
        <w:tc>
          <w:tcPr>
            <w:tcW w:type="dxa" w:w="3402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Верификатор</w:t>
            </w:r>
          </w:p>
        </w:tc>
        <w:tc>
          <w:tcPr>
            <w:tcW w:type="dxa" w:w="368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Допуск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Математика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SymPy: sympy.simplify(pred − gold) == 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точное символьное равенство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Физика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regex + 5 %-относительный допуск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|pred − gold| / |gold| &lt; 0,05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Химия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ChemPy: balance_stoichiometry; для answer match — exact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точное равенство ответа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Биология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exact match (case-insensitive)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точное равенство строки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Информатика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exact match (case-insensitive)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точное равенство строки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10.4 LLM-as-judge для Socratic метрик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>Socratic score (∈ [0, 1])</w:t>
      </w:r>
      <w:r>
        <w:rPr>
          <w:rFonts w:ascii="Times New Roman" w:hAnsi="Times New Roman"/>
          <w:b w:val="0"/>
          <w:i w:val="0"/>
          <w:sz w:val="22"/>
        </w:rPr>
        <w:t>: средняя оценка по нескольким критериям сократики (наводящие вопросы, поэтапность, отсутствие answer-leak).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>No answer leak (∈ [0, 2])</w:t>
      </w:r>
      <w:r>
        <w:rPr>
          <w:rFonts w:ascii="Times New Roman" w:hAnsi="Times New Roman"/>
          <w:b w:val="0"/>
          <w:i w:val="0"/>
          <w:sz w:val="22"/>
        </w:rPr>
        <w:t>: штраф за преждевременную выдачу финального ответа в первой реплике; чем выше, тем меньше leak.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>Hard accuracy</w:t>
      </w:r>
      <w:r>
        <w:rPr>
          <w:rFonts w:ascii="Times New Roman" w:hAnsi="Times New Roman"/>
          <w:b w:val="0"/>
          <w:i w:val="0"/>
          <w:sz w:val="22"/>
        </w:rPr>
        <w:t>: accuracy только по hard-tier задачам — отдельный показатель глубины обучения.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Судья — Llama-3.1-70B-Instruct (через Cerebras inference API). Промпт-шаблон детерминирован (temperature=0). Шкала калибрована на 100 эталонных диалогов.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10.5 Параметры генерации при оценке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DE8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C0392B"/>
                <w:sz w:val="20"/>
              </w:rPr>
              <w:t xml:space="preserve">Критический параметр  </w:t>
            </w:r>
            <w:r>
              <w:rPr>
                <w:rFonts w:ascii="Times New Roman" w:hAnsi="Times New Roman"/>
                <w:sz w:val="22"/>
              </w:rPr>
              <w:t>num_predict = 4096 — обязательное значение для thinking-моделей. При 1024 модель не успевает закрыть &lt;/think&gt; на 30+ % задач, что даёт ложно-низкий accuracy. Это была одна из основных ошибок ранних замеров.</w:t>
            </w:r>
          </w:p>
        </w:tc>
      </w:tr>
    </w:tbl>
    <w:p>
      <w:pPr>
        <w:spacing w:after="80"/>
      </w:pP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Прочие параметры: temperature=0,7, top_p=0,9, repetition_penalty=1,05, seed=42 для воспроизводимости.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§11  </w:t>
      </w:r>
      <w:r>
        <w:rPr>
          <w:rFonts w:ascii="Times New Roman" w:hAnsi="Times New Roman"/>
          <w:b/>
          <w:color w:val="1F5C2D"/>
          <w:sz w:val="32"/>
        </w:rPr>
        <w:t>Ablation и контрольные эксперименты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11.1 Главный ablation (4 конфигурации)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311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Конфигурация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max_completion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Clipped ratio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Correctness@50</w:t>
            </w:r>
          </w:p>
        </w:tc>
        <w:tc>
          <w:tcPr>
            <w:tcW w:type="dxa" w:w="113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Сходится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Thinking ON (no budget)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1024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✗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Thinking OFF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1024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1,6 %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✗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Thinking ON (no budget)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4096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✗</w:t>
            </w:r>
          </w:p>
        </w:tc>
      </w:tr>
      <w:tr>
        <w:tc>
          <w:tcPr>
            <w:tcW w:type="dxa" w:w="3118"/>
            <w:shd w:val="clear" w:color="auto" w:fill="EAF4D8"/>
          </w:tcPr>
          <w:p>
            <w:r/>
            <w:r>
              <w:rPr>
                <w:rFonts w:ascii="Times New Roman" w:hAnsi="Times New Roman"/>
                <w:b/>
                <w:color w:val="1F5C2D"/>
                <w:sz w:val="20"/>
              </w:rPr>
              <w:t>ThinkingBudget + Cold-Start + ReDit (наш)</w:t>
            </w:r>
          </w:p>
        </w:tc>
        <w:tc>
          <w:tcPr>
            <w:tcW w:type="dxa" w:w="1417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4096</w:t>
            </w:r>
          </w:p>
        </w:tc>
        <w:tc>
          <w:tcPr>
            <w:tcW w:type="dxa" w:w="1417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14,3 %</w:t>
            </w:r>
          </w:p>
        </w:tc>
        <w:tc>
          <w:tcPr>
            <w:tcW w:type="dxa" w:w="1417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21,7 %</w:t>
            </w:r>
          </w:p>
        </w:tc>
        <w:tc>
          <w:tcPr>
            <w:tcW w:type="dxa" w:w="1134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✓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11.2 Что показывает ablation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увеличение max_completion с 1024 до 4096 не помогает (clipped остаётся 100 %) — модель просто заполняет больше токенов рассуждением;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отключение thinking даёт 1,6 % clipped, но correctness падает до нуля — модель не умеет решать STEM напрямую;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только наш метод даёт оба: низкий clipped и ненулевой correctness — критерий сходимости выполнен.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11.3 Контр-ablation отдельных компонентов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68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Конфигурация</w:t>
            </w:r>
          </w:p>
        </w:tc>
        <w:tc>
          <w:tcPr>
            <w:tcW w:type="dxa" w:w="28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Stage 1 reward signal</w:t>
            </w:r>
          </w:p>
        </w:tc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Сходится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ThinkingBudget only (без Cold-Start, без ReDit)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слабый — мало positives в группе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медленно ✓ (нестабильно)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ThinkingBudget + Cold-Start (без ReDit)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редкие нулевые группы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✓ (с лагами)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ThinkingBudget + Cold-Start + ReDit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стабильный по всем шагам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✓ устойчиво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§12  </w:t>
      </w:r>
      <w:r>
        <w:rPr>
          <w:rFonts w:ascii="Times New Roman" w:hAnsi="Times New Roman"/>
          <w:b/>
          <w:color w:val="1F5C2D"/>
          <w:sz w:val="32"/>
        </w:rPr>
        <w:t>Результаты по стадиям и доменам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12.1 Прирост accuracy по стадиям (макроусреднение)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311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Стадия</w:t>
            </w:r>
          </w:p>
        </w:tc>
        <w:tc>
          <w:tcPr>
            <w:tcW w:type="dxa" w:w="170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Macro accuracy</w:t>
            </w:r>
          </w:p>
        </w:tc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Δ к base (п.п.)</w:t>
            </w:r>
          </w:p>
        </w:tc>
        <w:tc>
          <w:tcPr>
            <w:tcW w:type="dxa" w:w="255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Δ к предыдущей (п.п.)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Base (Qwen3.5-9B-Instruct)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55,1 %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+ GSPO (Stage 1)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63,5 %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+8,4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+8,4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+ KTO (Stage 2)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64,8 %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+9,7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0"/>
              </w:rPr>
              <w:t>+1,3</w:t>
            </w:r>
          </w:p>
        </w:tc>
      </w:tr>
      <w:tr>
        <w:tc>
          <w:tcPr>
            <w:tcW w:type="dxa" w:w="3118"/>
            <w:shd w:val="clear" w:color="auto" w:fill="EAF4D8"/>
          </w:tcPr>
          <w:p>
            <w:r/>
            <w:r>
              <w:rPr>
                <w:rFonts w:ascii="Times New Roman" w:hAnsi="Times New Roman"/>
                <w:b/>
                <w:color w:val="1F5C2D"/>
                <w:sz w:val="20"/>
              </w:rPr>
              <w:t>+ DPO (Stage 3, финал)</w:t>
            </w:r>
          </w:p>
        </w:tc>
        <w:tc>
          <w:tcPr>
            <w:tcW w:type="dxa" w:w="1701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66,5 %</w:t>
            </w:r>
          </w:p>
        </w:tc>
        <w:tc>
          <w:tcPr>
            <w:tcW w:type="dxa" w:w="1984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+11,4</w:t>
            </w:r>
          </w:p>
        </w:tc>
        <w:tc>
          <w:tcPr>
            <w:tcW w:type="dxa" w:w="2551"/>
            <w:shd w:val="clear" w:color="auto" w:fill="EAF4D8"/>
          </w:tcPr>
          <w:p>
            <w:r/>
            <w:r>
              <w:rPr>
                <w:rFonts w:ascii="Times New Roman" w:hAnsi="Times New Roman"/>
                <w:color w:val="1F5C2D"/>
                <w:sz w:val="20"/>
              </w:rPr>
              <w:t>+1,7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12.2 По доменам (база vs финал)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70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Домен</w:t>
            </w:r>
          </w:p>
        </w:tc>
        <w:tc>
          <w:tcPr>
            <w:tcW w:type="dxa" w:w="113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Base</w:t>
            </w:r>
          </w:p>
        </w:tc>
        <w:tc>
          <w:tcPr>
            <w:tcW w:type="dxa" w:w="113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Финал</w:t>
            </w:r>
          </w:p>
        </w:tc>
        <w:tc>
          <w:tcPr>
            <w:tcW w:type="dxa" w:w="113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Δ (п.п.)</w:t>
            </w:r>
          </w:p>
        </w:tc>
        <w:tc>
          <w:tcPr>
            <w:tcW w:type="dxa" w:w="368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Биология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28,6 %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43,0 %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+14,4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наибольший прирост — низкая база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Информатика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46,5 %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58,6 %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+12,1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хорошая отдача от RL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Химия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46,7 %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62,0 %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+15,3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ChemPy верификация даёт чистый сигнал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Математика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79,1 %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85,2 %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+6,1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близко к ceiling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Физика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74,4 %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83,6 %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+9,2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средний прирост, ceiling эффект</w:t>
            </w:r>
          </w:p>
        </w:tc>
      </w:tr>
    </w:tbl>
    <w:p>
      <w:pPr>
        <w:spacing w:after="40"/>
      </w:pP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Curriculum learning направляет обучающий сигнал в сторону доменов с низкой базовой accuracy — именно там relative reward gradient наибольший. Это объясняет неравномерность прироста (биология +14,4 vs математика +6,1).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12.3 Сократические метрики (после GSPO, 31.03.2026)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28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170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Base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После GSPO</w:t>
            </w:r>
          </w:p>
        </w:tc>
        <w:tc>
          <w:tcPr>
            <w:tcW w:type="dxa" w:w="170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Socratic score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0,911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0,934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+0,023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No answer leak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1,664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1,752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+0,088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Hard accuracy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83,7 %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87,8 %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+4,1 п.п.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Доля ответов с вопросами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34 %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61 % (после KTO)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+27 п.п.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12.4 Trade-off: точность ↔ сократика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</w:rPr>
        <w:t>На промежуточном замере после GSPO (150 задач, 31.03) общая accuracy просела на −2,3 п.п. Эта потеря компенсируется на стадиях KTO и DPO; в финале (66,5 %) — чистый прирост +11,4 относительно базы. Это — приемлемая «налоговая ставка» на сократическое выравнивание.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§13  </w:t>
      </w:r>
      <w:r>
        <w:rPr>
          <w:rFonts w:ascii="Times New Roman" w:hAnsi="Times New Roman"/>
          <w:b/>
          <w:color w:val="1F5C2D"/>
          <w:sz w:val="32"/>
        </w:rPr>
        <w:t>Failure modes и post-mortem fixes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13.1 12 правок post-mortem (23.03.2026)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45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Что было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Что стало</w:t>
            </w:r>
          </w:p>
        </w:tc>
        <w:tc>
          <w:tcPr>
            <w:tcW w:type="dxa" w:w="368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 проблемы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TRL без бюджета думания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ThinkingBudgetProcessor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vLLM #15418, DeepSeek-R1, DAPO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Нет cold-start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200 шагов SFT на rejection-sampled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DeepSeek-R1 procedure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Нет socratic prior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100 шагов на dialogs.jsonl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Llama-2 Ghost Attention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LoRA r=64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LoRA r=16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Tina paper arXiv:2504.15777 (r=64 деградирует)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LR=1e-6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LR=5e-7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Sparse reward требует консервативного шага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ReDit + zero-variance masking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ReDit без masking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Взаимоисключающие техники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dropout=0.1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dropout=0.0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RL имеет inherent exploration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BETA=0,0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BETA=0,04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Без KL модель теряет instruction-following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System prompt = TaskGen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System prompt = Socratic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Ghost Attention: train=deploy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Socratic reward убран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weight=0,45 возвращён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Без него — alignment regression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weights [0,85; 0,15]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weights [0,4; 0,15; 0,45]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GDPO + MO-GRPO variance-aware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MAX_COMPLETION=1024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MAX_COMPLETION=4096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0"/>
              </w:rPr>
              <w:t>Бюджет 2048 + ответ 2048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13.2 Speed optimizations (19.03.2026)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GRAD_ACCUM 32 → 16 — стандартный для GRPO effective batch, −50 % gen-time;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steps_per_generation 8 → 16 — лучшая утилизация GPU, IS корректирует staleness;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SAVE_STEPS 50 → 100 — меньше Drive flushes (Colab лимит на write throughput).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§14  </w:t>
      </w:r>
      <w:r>
        <w:rPr>
          <w:rFonts w:ascii="Times New Roman" w:hAnsi="Times New Roman"/>
          <w:b/>
          <w:color w:val="1F5C2D"/>
          <w:sz w:val="32"/>
        </w:rPr>
        <w:t>Воспроизводимость: окружение, версии, артефакты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14.1 Аппаратная конфигурация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Стадия</w:t>
            </w:r>
          </w:p>
        </w:tc>
        <w:tc>
          <w:tcPr>
            <w:tcW w:type="dxa" w:w="28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GPU minimum</w:t>
            </w:r>
          </w:p>
        </w:tc>
        <w:tc>
          <w:tcPr>
            <w:tcW w:type="dxa" w:w="170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VRAM</w:t>
            </w:r>
          </w:p>
        </w:tc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Время, 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Cold-Start SFT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A100-40GB / RTX 3090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40 GB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≈ 1,5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GSPO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A100-80GB / PRO 6000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80–96 GB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≈ 8,0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KTO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A100-80GB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80 GB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≈ 14,5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DPO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A100-80GB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80 GB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≈ 2,0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Eval (3 678 задач)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A100-40GB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40 GB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≈ 3,0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14.2 Версии библиотек (фиксированный snapshot)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4F6F2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5FA12E"/>
                <w:sz w:val="16"/>
              </w:rPr>
              <w:t>TEXT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Базовые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torch==2.5.1+cu124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transformers==4.49.0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trl==0.27.0          # GSPO support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peft==0.13.2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unsloth==2026.3.0    # FastLanguageModel + LoRA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bitsandbytes==0.45.0 # 8bit optimizers (Lion)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datasets==3.2.0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Верификация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sympy==1.13.3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chempy==0.9.0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Логирование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loguru==0.7.3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wandb==0.18.5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Inference (оценка)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ollama==0.4.7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huggingface_hub==0.27.0</w:t>
            </w:r>
          </w:p>
        </w:tc>
      </w:tr>
    </w:tbl>
    <w:p>
      <w:pPr>
        <w:spacing w:after="40" w:before="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14.3 Артефакты на HuggingFace Hub</w:t>
      </w:r>
    </w:p>
    <w:p>
      <w:pPr>
        <w:pStyle w:val="ListBullet"/>
        <w:spacing w:after="40" w:line="288" w:lineRule="auto"/>
        <w:ind w:left="340"/>
      </w:pPr>
      <w:r>
        <w:rPr>
          <w:rFonts w:ascii="Consolas" w:hAnsi="Consolas"/>
          <w:b/>
          <w:i w:val="0"/>
          <w:sz w:val="20"/>
        </w:rPr>
        <w:t>Siesher/mits-qwen3-9b-gspo</w:t>
      </w:r>
      <w:r>
        <w:rPr>
          <w:rFonts w:ascii="Times New Roman" w:hAnsi="Times New Roman"/>
          <w:b w:val="0"/>
          <w:i w:val="0"/>
          <w:sz w:val="22"/>
        </w:rPr>
        <w:t xml:space="preserve"> — LoRA-адаптер после стадии 1 (Cold-Start + GSPO). Размер: 88 MB.</w:t>
      </w:r>
    </w:p>
    <w:p>
      <w:pPr>
        <w:pStyle w:val="ListBullet"/>
        <w:spacing w:after="40" w:line="288" w:lineRule="auto"/>
        <w:ind w:left="340"/>
      </w:pPr>
      <w:r>
        <w:rPr>
          <w:rFonts w:ascii="Consolas" w:hAnsi="Consolas"/>
          <w:b/>
          <w:i w:val="0"/>
          <w:sz w:val="20"/>
        </w:rPr>
        <w:t>Siesher/mits-qwen3-9b-kto</w:t>
      </w:r>
      <w:r>
        <w:rPr>
          <w:rFonts w:ascii="Times New Roman" w:hAnsi="Times New Roman"/>
          <w:b w:val="0"/>
          <w:i w:val="0"/>
          <w:sz w:val="22"/>
        </w:rPr>
        <w:t xml:space="preserve"> — LoRA-адаптер после стадии 2. Совместим с GSPO-чекпоинтом (merge сверху).</w:t>
      </w:r>
    </w:p>
    <w:p>
      <w:pPr>
        <w:pStyle w:val="ListBullet"/>
        <w:spacing w:after="40" w:line="288" w:lineRule="auto"/>
        <w:ind w:left="340"/>
      </w:pPr>
      <w:r>
        <w:rPr>
          <w:rFonts w:ascii="Consolas" w:hAnsi="Consolas"/>
          <w:b/>
          <w:i w:val="0"/>
          <w:sz w:val="20"/>
        </w:rPr>
        <w:t>Siesher/mits-qwen3-9b-final</w:t>
      </w:r>
      <w:r>
        <w:rPr>
          <w:rFonts w:ascii="Times New Roman" w:hAnsi="Times New Roman"/>
          <w:b w:val="0"/>
          <w:i w:val="0"/>
          <w:sz w:val="22"/>
        </w:rPr>
        <w:t xml:space="preserve"> — финальный адаптер после DPO. Готов к деплою через Ollama.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14.4 Скрипты валидации</w:t>
      </w:r>
    </w:p>
    <w:p>
      <w:pPr>
        <w:pStyle w:val="ListBullet"/>
        <w:spacing w:after="40" w:line="288" w:lineRule="auto"/>
        <w:ind w:left="340"/>
      </w:pPr>
      <w:r>
        <w:rPr>
          <w:rFonts w:ascii="Consolas" w:hAnsi="Consolas"/>
          <w:b w:val="0"/>
          <w:i w:val="0"/>
          <w:sz w:val="20"/>
        </w:rPr>
        <w:t>training/scripts/evaluate_stage.py</w:t>
      </w:r>
      <w:r>
        <w:rPr>
          <w:rFonts w:ascii="Times New Roman" w:hAnsi="Times New Roman"/>
          <w:b w:val="0"/>
          <w:i w:val="0"/>
          <w:sz w:val="22"/>
        </w:rPr>
        <w:t xml:space="preserve"> — независимая оценка любого чекпоинта на 3 678-задачном бенчмарке.</w:t>
      </w:r>
    </w:p>
    <w:p>
      <w:pPr>
        <w:pStyle w:val="ListBullet"/>
        <w:spacing w:after="40" w:line="288" w:lineRule="auto"/>
        <w:ind w:left="340"/>
      </w:pPr>
      <w:r>
        <w:rPr>
          <w:rFonts w:ascii="Consolas" w:hAnsi="Consolas"/>
          <w:b w:val="0"/>
          <w:i w:val="0"/>
          <w:sz w:val="20"/>
        </w:rPr>
        <w:t>training/scripts/build_eval_benchmark.py</w:t>
      </w:r>
      <w:r>
        <w:rPr>
          <w:rFonts w:ascii="Times New Roman" w:hAnsi="Times New Roman"/>
          <w:b w:val="0"/>
          <w:i w:val="0"/>
          <w:sz w:val="22"/>
        </w:rPr>
        <w:t xml:space="preserve"> — сборка бенчмарка из MGSM/ruMMLU/custom (детерминированный seed=42).</w:t>
      </w:r>
    </w:p>
    <w:p>
      <w:pPr>
        <w:pStyle w:val="ListBullet"/>
        <w:spacing w:after="40" w:line="288" w:lineRule="auto"/>
        <w:ind w:left="340"/>
      </w:pPr>
      <w:r>
        <w:rPr>
          <w:rFonts w:ascii="Consolas" w:hAnsi="Consolas"/>
          <w:b w:val="0"/>
          <w:i w:val="0"/>
          <w:sz w:val="20"/>
        </w:rPr>
        <w:t>training/scripts/verify_answers.py</w:t>
      </w:r>
      <w:r>
        <w:rPr>
          <w:rFonts w:ascii="Times New Roman" w:hAnsi="Times New Roman"/>
          <w:b w:val="0"/>
          <w:i w:val="0"/>
          <w:sz w:val="22"/>
        </w:rPr>
        <w:t xml:space="preserve"> — независимый верификатор для перепроверки результатов.</w:t>
      </w:r>
    </w:p>
    <w:p>
      <w:pPr>
        <w:pStyle w:val="ListBullet"/>
        <w:spacing w:after="40" w:line="288" w:lineRule="auto"/>
        <w:ind w:left="340"/>
      </w:pPr>
      <w:r>
        <w:rPr>
          <w:rFonts w:ascii="Consolas" w:hAnsi="Consolas"/>
          <w:b w:val="0"/>
          <w:i w:val="0"/>
          <w:sz w:val="20"/>
        </w:rPr>
        <w:t>training/scripts/stem_rewards.py</w:t>
      </w:r>
      <w:r>
        <w:rPr>
          <w:rFonts w:ascii="Times New Roman" w:hAnsi="Times New Roman"/>
          <w:b w:val="0"/>
          <w:i w:val="0"/>
          <w:sz w:val="22"/>
        </w:rPr>
        <w:t xml:space="preserve"> — единая reward-функция, используемая в GSPO/KTO/DPO и в evaluate_stage.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14.5 Команда полного воспроизведения (от base до final)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4F6F2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5FA12E"/>
                <w:sz w:val="16"/>
              </w:rPr>
              <w:t>BASH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1. Сборка бенчмарка (5 минут)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python training/scripts/build_eval_benchmark.py --output evaluation/bench_3678.jsonl --seed 42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2. Оценка базовой модели (~3 ч на A100-40GB)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python training/scripts/evaluate_stage.py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--model Qwen/Qwen3.5-9B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--bench evaluation/bench_3678.jsonl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--num_predict 4096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--output evaluation/reports/base.jsonl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3. Запуск GSPO (~8 ч на A100-80GB) — открыть в Colab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notebooks/grpo_qwen3.5_9b.ipynb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4. Запуск KTO (~14,5 ч на A100-80GB)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notebooks/kto_qwen3.5_9b.ipynb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5. Запуск DPO (~2 ч на A100-80GB)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notebooks/dpo_polish_qwen3.5_9b.ipynb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# 6. Финальная оценка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>python training/scripts/evaluate_stage.py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--adapter Siesher/mits-qwen3-9b-final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--bench evaluation/bench_3678.jsonl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--num_predict 4096 \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02818"/>
                <w:sz w:val="19"/>
              </w:rPr>
              <w:t xml:space="preserve">    --output evaluation/reports/final.jsonl</w:t>
            </w:r>
          </w:p>
        </w:tc>
      </w:tr>
    </w:tbl>
    <w:p>
      <w:pPr>
        <w:spacing w:after="40" w:before="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§15  </w:t>
      </w:r>
      <w:r>
        <w:rPr>
          <w:rFonts w:ascii="Times New Roman" w:hAnsi="Times New Roman"/>
          <w:b/>
          <w:color w:val="1F5C2D"/>
          <w:sz w:val="32"/>
        </w:rPr>
        <w:t>Список источников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[DeepSeek-R1] </w:t>
      </w:r>
      <w:r>
        <w:rPr>
          <w:rFonts w:ascii="Times New Roman" w:hAnsi="Times New Roman"/>
          <w:sz w:val="20"/>
        </w:rPr>
        <w:t>Guo D. et al. DeepSeek-R1: Incentivizing Reasoning Capability in LLMs via Reinforcement Learning. arXiv:2501.12948 (2025). Cold-start procedure, thinking-mode.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[DeepSeekMath / GRPO] </w:t>
      </w:r>
      <w:r>
        <w:rPr>
          <w:rFonts w:ascii="Times New Roman" w:hAnsi="Times New Roman"/>
          <w:sz w:val="20"/>
        </w:rPr>
        <w:t>Shao Z. et al. DeepSeekMath: Pushing the Limits of Mathematical Reasoning in Open Language Models. arXiv:2402.03300 (2024). Введение GRPO.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[GSPO] </w:t>
      </w:r>
      <w:r>
        <w:rPr>
          <w:rFonts w:ascii="Times New Roman" w:hAnsi="Times New Roman"/>
          <w:sz w:val="20"/>
        </w:rPr>
        <w:t>Zheng Y. et al. Group Sequence Policy Optimization. arXiv:2507.18071 (2025). Sequence-level importance sampling.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[S1 (test-time scaling)] </w:t>
      </w:r>
      <w:r>
        <w:rPr>
          <w:rFonts w:ascii="Times New Roman" w:hAnsi="Times New Roman"/>
          <w:sz w:val="20"/>
        </w:rPr>
        <w:t>Muennighoff N. et al. s1: Simple Test-Time Scaling. arXiv:2501.19393 (2025). Forced thinking termination at inference.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[KTO] </w:t>
      </w:r>
      <w:r>
        <w:rPr>
          <w:rFonts w:ascii="Times New Roman" w:hAnsi="Times New Roman"/>
          <w:sz w:val="20"/>
        </w:rPr>
        <w:t>Ethayarajh K. et al. KTO: Model Alignment as Prospect-Theoretic Optimization. arXiv:2402.01306 (2024).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[DPO] </w:t>
      </w:r>
      <w:r>
        <w:rPr>
          <w:rFonts w:ascii="Times New Roman" w:hAnsi="Times New Roman"/>
          <w:sz w:val="20"/>
        </w:rPr>
        <w:t>Rafailov R. et al. Direct Preference Optimization: Your Language Model is Secretly a Reward Model. arXiv:2305.18290 (2023).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[ReDit] </w:t>
      </w:r>
      <w:r>
        <w:rPr>
          <w:rFonts w:ascii="Times New Roman" w:hAnsi="Times New Roman"/>
          <w:sz w:val="20"/>
        </w:rPr>
        <w:t>Lin Y. et al. ReDit: Reward Dithering for Improved LLM Policy Optimization. arXiv:2506.18631 (2025).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[Dr. GRPO] </w:t>
      </w:r>
      <w:r>
        <w:rPr>
          <w:rFonts w:ascii="Times New Roman" w:hAnsi="Times New Roman"/>
          <w:sz w:val="20"/>
        </w:rPr>
        <w:t>Liu Z. et al. Dr. GRPO: Decoupled Reward GRPO for Stable Large-Model RL. arXiv:2503.20783 (2025).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[DAPO] </w:t>
      </w:r>
      <w:r>
        <w:rPr>
          <w:rFonts w:ascii="Times New Roman" w:hAnsi="Times New Roman"/>
          <w:sz w:val="20"/>
        </w:rPr>
        <w:t>Yu Q. et al. DAPO: An Open-Source LLM Reinforcement Learning System at Scale. arXiv:2503.14476 (2025). Clip-Higher.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[VAPO] </w:t>
      </w:r>
      <w:r>
        <w:rPr>
          <w:rFonts w:ascii="Times New Roman" w:hAnsi="Times New Roman"/>
          <w:sz w:val="20"/>
        </w:rPr>
        <w:t>Liang J. et al. VAPO: Value-Augmented Policy Optimization. arXiv:2504.05118 (2025).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[GDPO-decoupled] </w:t>
      </w:r>
      <w:r>
        <w:rPr>
          <w:rFonts w:ascii="Times New Roman" w:hAnsi="Times New Roman"/>
          <w:sz w:val="20"/>
        </w:rPr>
        <w:t>Wang H. et al. Group-Decoupled Policy Optimization (GDPO). arXiv:2601.05242 (2026).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[Lion optimizer] </w:t>
      </w:r>
      <w:r>
        <w:rPr>
          <w:rFonts w:ascii="Times New Roman" w:hAnsi="Times New Roman"/>
          <w:sz w:val="20"/>
        </w:rPr>
        <w:t>Chen X. et al. Symbolic Discovery of Optimization Algorithms. arXiv:2302.06675 (2023).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[Tina (LoRA for RL)] </w:t>
      </w:r>
      <w:r>
        <w:rPr>
          <w:rFonts w:ascii="Times New Roman" w:hAnsi="Times New Roman"/>
          <w:sz w:val="20"/>
        </w:rPr>
        <w:t>Park S. et al. Tina: Tiny Reasoning Models via LoRA. arXiv:2504.15777 (2025). r=16 рекомендуется, r=64 деградирует.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[Llama-2 Ghost Attention] </w:t>
      </w:r>
      <w:r>
        <w:rPr>
          <w:rFonts w:ascii="Times New Roman" w:hAnsi="Times New Roman"/>
          <w:sz w:val="20"/>
        </w:rPr>
        <w:t>Touvron H. et al. Llama 2: Open Foundation and Fine-Tuned Chat Models. arXiv:2307.09288 (2023). System prompt: train=deploy.</w:t>
      </w:r>
    </w:p>
    <w:p>
      <w:pPr>
        <w:spacing w:after="6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[vLLM thinking issue] </w:t>
      </w:r>
      <w:r>
        <w:rPr>
          <w:rFonts w:ascii="Times New Roman" w:hAnsi="Times New Roman"/>
          <w:sz w:val="20"/>
        </w:rPr>
        <w:t>vLLM project. Issue #15418: Unbounded thinking phase in TRL rollout. github.com/vllm-project/vllm/issues/15418</w:t>
      </w:r>
    </w:p>
    <w:p>
      <w:pPr>
        <w:spacing w:before="240" w:after="80" w:line="288" w:lineRule="auto"/>
      </w:pPr>
      <w:r>
        <w:rPr>
          <w:rFonts w:ascii="Times New Roman" w:hAnsi="Times New Roman"/>
          <w:b w:val="0"/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DBEEE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2F6585"/>
                <w:sz w:val="20"/>
              </w:rPr>
              <w:t xml:space="preserve">Связанные документы  </w:t>
            </w:r>
            <w:r>
              <w:rPr>
                <w:rFonts w:ascii="Times New Roman" w:hAnsi="Times New Roman"/>
                <w:sz w:val="22"/>
              </w:rPr>
              <w:t>Тезисы для StudVesna 2026 — docs/diploma/Тезисы_StudVesna2026_Сухацкий.docx;  доклад к презентации — docs/diploma/Доклад_StudVesna2026_Сухацкий.docx;  НИР — docs/diploma/НИР_Сухацкий_2026_controlled_reasoning.docx;  курсовой проект — docs/diploma/Курсовой_проект_Сухацкий_2026.docx;  презентация — docs/diploma/Презентация_v2.html.</w:t>
            </w:r>
          </w:p>
        </w:tc>
      </w:tr>
    </w:tbl>
    <w:p>
      <w:pPr>
        <w:spacing w:after="80"/>
      </w:pPr>
    </w:p>
    <w:sectPr w:rsidR="00FC693F" w:rsidRPr="0006063C" w:rsidSect="00034616">
      <w:pgSz w:w="12246" w:h="15817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