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  <Override PartName="/word/media/rId27.png" ContentType="image/png"/>
  <Override PartName="/word/media/rId3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D-MeZO-N: Decentralized Federated MeZO with Nesterov Acceleration</w:t>
      </w:r>
    </w:p>
    <w:p>
      <w:pPr>
        <w:pStyle w:val="Author"/>
      </w:pPr>
      <w:r>
        <w:t xml:space="preserve">Maksim Filimonov · Bauman MSTU (Kaluga branch)</w:t>
      </w:r>
    </w:p>
    <w:p>
      <w:pPr>
        <w:pStyle w:val="Date"/>
      </w:pPr>
      <w:r>
        <w:t xml:space="preserve">Spring 2026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introduce</w:t>
      </w:r>
      <w:r>
        <w:t xml:space="preserve"> </w:t>
      </w:r>
      <w:r>
        <w:rPr>
          <w:b/>
          <w:bCs/>
        </w:rPr>
        <w:t xml:space="preserve">D-MeZO-N</w:t>
      </w:r>
      <w:r>
        <w:t xml:space="preserve"> </w:t>
      </w:r>
      <w:r>
        <w:t xml:space="preserve">— Decentralized Federated MeZO with Nesterov-style acceleration — the first fully peer-to-peer federated zeroth-order optimizer for large language model fine-tuning. Building on Malladi et al.’s MeZO (memory-efficient zeroth-order, NeurIPS 2023) we replace the single-machine setup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clients connected by a doubly-stochastic mixing matrix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(Koloskova et al. 2020), where each client communicates only a single scalar (the projected gradient</w:t>
      </w:r>
      <w:r>
        <w:t xml:space="preserve"> </w:t>
      </w:r>
      <m:oMath>
        <m:r>
          <m:t>ρ</m:t>
        </m:r>
      </m:oMath>
      <w:r>
        <w:t xml:space="preserve">) and one integer seed per round per neighbour — eliminating the gigabyte-scale gradient exchange of FedAvg-style methods. To stabilise heavy-ball Nesterov momentum under the high variance of ZO gradient estimators we introduce</w:t>
      </w:r>
      <w:r>
        <w:t xml:space="preserve"> </w:t>
      </w:r>
      <m:oMath>
        <m:r>
          <m:t>ρ</m:t>
        </m:r>
      </m:oMath>
      <w:r>
        <w:t xml:space="preserve">-clipping with a linear</w:t>
      </w:r>
      <w:r>
        <w:t xml:space="preserve"> </w:t>
      </w:r>
      <m:oMath>
        <m:r>
          <m:t>β</m:t>
        </m:r>
      </m:oMath>
      <w:r>
        <w:t xml:space="preserve">-decay schedule, yielding a clean accelerated variant that monotonically descends and beats vanilla D-MeZO by 6.0% on the worst federated cell. On Qwen3.5-4B-Base (a hybrid linear-attention V-L model — first known federated ZO experiment on this architecture class) with the SST-2 task,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federated grid (topology × partition) over 2 seeds yields 0.1271–0.1507 final eval loss across all cells, beating the centralized MeZO baseline (0.1762) by 14.5–27.9% via implicit</w:t>
      </w:r>
      <w:r>
        <w:t xml:space="preserve"> </w:t>
      </w:r>
      <m:oMath>
        <m:r>
          <m:t>z</m:t>
        </m:r>
      </m:oMath>
      <w:r>
        <w:t xml:space="preserve">-direction averaging. We complement the empirical study with two formal convergence theorems —</w:t>
      </w:r>
      <w:r>
        <w:t xml:space="preserve"> </w:t>
      </w:r>
      <w:r>
        <w:rPr>
          <w:b/>
          <w:bCs/>
        </w:rPr>
        <w:t xml:space="preserve">Theorem 1</w:t>
      </w:r>
      <w:r>
        <w:t xml:space="preserve"> </w:t>
      </w:r>
      <w:r>
        <w:t xml:space="preserve">(convex + momentum,</w:t>
      </w:r>
      <w:r>
        <w:t xml:space="preserve"> </w:t>
      </w:r>
      <m:oMath>
        <m:r>
          <m:t>ρ</m:t>
        </m:r>
      </m:oMath>
      <w:r>
        <w:t xml:space="preserve">-clipping) and</w:t>
      </w:r>
      <w:r>
        <w:t xml:space="preserve"> </w:t>
      </w:r>
      <w:r>
        <w:rPr>
          <w:b/>
          <w:bCs/>
        </w:rPr>
        <w:t xml:space="preserve">Theorem 2</w:t>
      </w:r>
      <w:r>
        <w:t xml:space="preserve"> </w:t>
      </w:r>
      <w:r>
        <w:t xml:space="preserve">(non-convex Polyak-Łojasiewicz, no momentum) — whose four predictions each match the empirical behaviour quantitatively.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Memory-efficient zeroth-order (MeZO) optimization of large language models was introduced by Malladi et al. (2023) as a surprising result: fine-tuning a multi-billion-parameter LLM requires only forward passes, with a memory cost equal to inference. The key trick — replacing backpropagation with a two-point gradient estimator over a random direction reconstructable from a seed — drops the optimizer state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(Adam moments)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 single scalar). For federated learning this property is transformative: instead of streaming dense gradients between clients, MeZO clients exchange only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pairs.</w:t>
      </w:r>
    </w:p>
    <w:p>
      <w:pPr>
        <w:pStyle w:val="BodyText"/>
      </w:pPr>
      <w:r>
        <w:t xml:space="preserve">This paper closes the gap with four empirical and two theoretical contributions: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C1</w:t>
      </w:r>
      <w:r>
        <w:t xml:space="preserve"> </w:t>
      </w:r>
      <w:r>
        <w:t xml:space="preserve">— First federated MeZO on a hybrid linear-attention LLM (Qwen3.5-4B-Base).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C2</w:t>
      </w:r>
      <w:r>
        <w:t xml:space="preserve"> </w:t>
      </w:r>
      <w:r>
        <w:t xml:space="preserve">— D-MeZO is robust to extreme partition heterogeneity: Dirichlet(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 tax</w:t>
      </w:r>
      <w:r>
        <w:t xml:space="preserve"> </w:t>
      </w:r>
      <m:oMath>
        <m:r>
          <m:rPr>
            <m:sty m:val="p"/>
          </m:rPr>
          <m:t>≤</m:t>
        </m:r>
        <m:r>
          <m:t>18</m:t>
        </m:r>
        <m:r>
          <m:rPr>
            <m:sty m:val="p"/>
          </m:rPr>
          <m:t>%</m:t>
        </m:r>
      </m:oMath>
      <w:r>
        <w:t xml:space="preserve"> </w:t>
      </w:r>
      <w:r>
        <w:t xml:space="preserve">at the mean.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C3</w:t>
      </w:r>
      <w:r>
        <w:t xml:space="preserve"> </w:t>
      </w:r>
      <w:r>
        <w:t xml:space="preserve">— Topology cost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clients; counter-intuitively, ring(4)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complete(4) on the ZO regime.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C4</w:t>
      </w:r>
      <w:r>
        <w:t xml:space="preserve"> </w:t>
      </w:r>
      <w:r>
        <w:t xml:space="preserve">— D-MeZO-N (heavy-ball Nesterov +</w:t>
      </w:r>
      <w:r>
        <w:t xml:space="preserve"> </w:t>
      </w:r>
      <m:oMath>
        <m:r>
          <m:t>ρ</m:t>
        </m:r>
      </m:oMath>
      <w:r>
        <w:t xml:space="preserve">-clipping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+ linear</w:t>
      </w:r>
      <w:r>
        <w:t xml:space="preserve"> </w:t>
      </w:r>
      <m:oMath>
        <m:r>
          <m:t>β</m:t>
        </m:r>
      </m:oMath>
      <w:r>
        <w:t xml:space="preserve">-decay</w:t>
      </w:r>
      <w:r>
        <w:t xml:space="preserve"> </w:t>
      </w:r>
      <m:oMath>
        <m:r>
          <m:t>0.9</m:t>
        </m:r>
        <m:r>
          <m:rPr>
            <m:sty m:val="p"/>
          </m:rPr>
          <m:t>→</m:t>
        </m:r>
        <m:r>
          <m:t>0</m:t>
        </m:r>
      </m:oMath>
      <w:r>
        <w:t xml:space="preserve">) reaches final 0.1291 vs. vanilla 0.1373 on the worst cell.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Theorem 1</w:t>
      </w:r>
      <w:r>
        <w:t xml:space="preserve">: formal convergence bound for D-MeZO-N in the convex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Theorem 2</w:t>
      </w:r>
      <w:r>
        <w:t xml:space="preserve">: formal convergence bound under the Polyak-Łojasiewicz (PL) inequality without momentum.</w:t>
      </w:r>
    </w:p>
    <w:bookmarkEnd w:id="10"/>
    <w:bookmarkStart w:id="11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MeZO.</w:t>
      </w:r>
      <w:r>
        <w:t xml:space="preserve"> </w:t>
      </w:r>
      <w:r>
        <w:t xml:space="preserve">Malladi et al. (2023) introduced MeZO — a SPSA-style (Spall 1992) zeroth-order optimizer with a key practical trick: replace the per-parameter random perturbation with a single seed that deterministically reconstructs the direction. Theorem 3.1 of their paper proves a variance bound that uses the effective Hessian rank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instead of full dimension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Decentralised SGD.</w:t>
      </w:r>
      <w:r>
        <w:t xml:space="preserve"> </w:t>
      </w:r>
      <w:r>
        <w:t xml:space="preserve">Koloskova et al. (2020) provide a unified analysis for D-SGD with arbitrary mixing matrices</w:t>
      </w:r>
      <w:r>
        <w:t xml:space="preserve"> </w:t>
      </w:r>
      <m:oMath>
        <m:r>
          <m:t>W</m:t>
        </m:r>
      </m:oMath>
      <w:r>
        <w:t xml:space="preserve">. Their Theorem 2 (convex) and Theorem 8 (PL) bound the convergence rate as a function of the spectral gap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gradient heterogeneity</w:t>
      </w:r>
      <w:r>
        <w:t xml:space="preserve"> </w:t>
      </w:r>
      <m:oMath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Federated zeroth-order.</w:t>
      </w:r>
      <w:r>
        <w:t xml:space="preserve"> </w:t>
      </w:r>
      <w:r>
        <w:t xml:space="preserve">FedKSeed (Qin et al., 2024 ICML), Ferret (Shu et al., 2024) and FedZeN (Maritan et al. 2024) all build on MeZO for FL, but are limited to (i) full-attention architectures and (ii) FedAvg-style central-server aggregation.</w:t>
      </w:r>
    </w:p>
    <w:p>
      <w:pPr>
        <w:pStyle w:val="BodyText"/>
      </w:pPr>
      <w:r>
        <w:rPr>
          <w:b/>
          <w:bCs/>
        </w:rPr>
        <w:t xml:space="preserve">Heavy-ball under PL.</w:t>
      </w:r>
      <w:r>
        <w:t xml:space="preserve"> </w:t>
      </w:r>
      <w:r>
        <w:t xml:space="preserve">Yang, Zhao, Cheng (2016) give a unified Lyapunov analysis of heavy-ball SGD in convex and non-convex PL regimes. Karimi, Nutini, Schmidt (2016) establish the canonical linear-convergence-to-noise-floor framework for stochastic gradient methods under PL.</w:t>
      </w:r>
    </w:p>
    <w:bookmarkEnd w:id="11"/>
    <w:bookmarkStart w:id="18" w:name="method-d-mezo-n"/>
    <w:p>
      <w:pPr>
        <w:pStyle w:val="Heading1"/>
      </w:pPr>
      <w:r>
        <w:t xml:space="preserve">3. Method: D-MeZO-N</w:t>
      </w:r>
    </w:p>
    <w:bookmarkStart w:id="12" w:name="setup"/>
    <w:p>
      <w:pPr>
        <w:pStyle w:val="Heading2"/>
      </w:pPr>
      <w:r>
        <w:t xml:space="preserve">3.1 Setup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clients each hold a local data shard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a local copy of the model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 The federation is described by a doubly-stochastic mixing matrix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with spectral gap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b"/>
            </m:rPr>
            <m:t>1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2"/>
    <w:bookmarkStart w:id="16" w:name="algorithm"/>
    <w:p>
      <w:pPr>
        <w:pStyle w:val="Heading2"/>
      </w:pPr>
      <w:r>
        <w:t xml:space="preserve">3.2 Algorithm</w:t>
      </w:r>
    </w:p>
    <w:p>
      <w:pPr>
        <w:pStyle w:val="FirstParagraph"/>
      </w:pPr>
      <w:r>
        <w:t xml:space="preserve">On round</w:t>
      </w:r>
      <w:r>
        <w:t xml:space="preserve"> </w:t>
      </w:r>
      <m:oMath>
        <m:r>
          <m:t>t</m:t>
        </m:r>
      </m:oMath>
      <w:r>
        <w:t xml:space="preserve">, each client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performs a MeZO step using a fresh seed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, producing the projected gradient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ϵ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ϵ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full D-MeZO-N round combines</w:t>
      </w:r>
      <w:r>
        <w:t xml:space="preserve"> </w:t>
      </w:r>
      <m:oMath>
        <m:r>
          <m:t>ρ</m:t>
        </m:r>
      </m:oMath>
      <w:r>
        <w:t xml:space="preserve">-clip, a heavy-ball Nesterov velocity update with momentum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, a parameter step, and a consensus mixing step: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ρ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C</m:t>
              </m:r>
              <m:r>
                <m:rPr>
                  <m:sty m:val="p"/>
                </m:rPr>
                <m:t>)</m:t>
              </m:r>
              <m:sSub>
                <m:e>
                  <m:r>
                    <m:t>z</m:t>
                  </m:r>
                </m:e>
                <m:sub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t</m:t>
                      </m:r>
                    </m:sup>
                  </m:sSubSup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η</m:t>
              </m:r>
              <m:sSubSup>
                <m:e>
                  <m:r>
                    <m:t>v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Sup>
                <m:e>
                  <m:r>
                    <m:t>θ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aptionedFigure"/>
      </w:pPr>
      <w:r>
        <w:drawing>
          <wp:inline>
            <wp:extent cx="5334000" cy="2695677"/>
            <wp:effectExtent b="0" l="0" r="0" t="0"/>
            <wp:docPr descr="Figure 5. D-MeZO-N algorithm for n=4 clients on a ring topology. Each client performs an independent local MeZO probe (seed s_i, scalar \rho_i), clips \rho_i, updates a local velocity buffer with the scheduled \beta_t, then participates in a doubly-stochastic consensus mixing step." title="" id="14" name="Picture"/>
            <a:graphic>
              <a:graphicData uri="http://schemas.openxmlformats.org/drawingml/2006/picture">
                <pic:pic>
                  <pic:nvPicPr>
                    <pic:cNvPr descr="figures/fig5_algorithm_schemati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D-MeZO-N algorithm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clients on a ring topology. Each client performs an independent local MeZO probe (seed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scalar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), clips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, updates a local velocity buffer with the scheduled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, then participates in a doubly-stochastic consensus mixing step.</w:t>
      </w:r>
    </w:p>
    <w:bookmarkEnd w:id="16"/>
    <w:bookmarkStart w:id="17" w:name="rho-clipping"/>
    <w:p>
      <w:pPr>
        <w:pStyle w:val="Heading2"/>
      </w:pPr>
      <w:r>
        <w:t xml:space="preserve">3.3</w:t>
      </w:r>
      <w:r>
        <w:t xml:space="preserve"> </w:t>
      </w:r>
      <m:oMath>
        <m:r>
          <m:t>ρ</m:t>
        </m:r>
      </m:oMath>
      <w:r>
        <w:t xml:space="preserve">-clipping</w:t>
      </w:r>
    </w:p>
    <w:p>
      <w:pPr>
        <w:pStyle w:val="FirstParagraph"/>
      </w:pPr>
      <w:r>
        <w:t xml:space="preserve">We bound the per-step contribution 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symmetric clipping: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±</m:t>
          </m:r>
          <m:r>
            <m:t>C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Threshold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was selected empirically.</w:t>
      </w:r>
    </w:p>
    <w:bookmarkEnd w:id="17"/>
    <w:bookmarkEnd w:id="18"/>
    <w:bookmarkStart w:id="23" w:name="theory"/>
    <w:p>
      <w:pPr>
        <w:pStyle w:val="Heading1"/>
      </w:pPr>
      <w:r>
        <w:t xml:space="preserve">4. Theory</w:t>
      </w:r>
    </w:p>
    <w:bookmarkStart w:id="19" w:name="assumptions"/>
    <w:p>
      <w:pPr>
        <w:pStyle w:val="Heading2"/>
      </w:pPr>
      <w:r>
        <w:t xml:space="preserve">4.1 Assumptions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(A1)</w:t>
      </w:r>
      <w:r>
        <w:t xml:space="preserve"> </w:t>
      </w:r>
      <m:oMath>
        <m:r>
          <m:t>L</m:t>
        </m:r>
      </m:oMath>
      <w:r>
        <w:t xml:space="preserve">-smoothness: each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-smooth.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(C2)</w:t>
      </w:r>
      <w:r>
        <w:t xml:space="preserve"> </w:t>
      </w:r>
      <w:r>
        <w:t xml:space="preserve">Bounded gradient diversity: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∥</m:t>
            </m:r>
          </m:e>
        </m:nary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(C3)</w:t>
      </w:r>
      <w:r>
        <w:t xml:space="preserve"> </w:t>
      </w:r>
      <w:r>
        <w:t xml:space="preserve">Bounded stochastic noise: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ξ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∇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(C5)</w:t>
      </w:r>
      <w:r>
        <w:t xml:space="preserve"> </w:t>
      </w:r>
      <w:r>
        <w:t xml:space="preserve">Effective Hessian rank: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sSub>
          <m:e>
            <m:r>
              <m:rPr>
                <m:sty m:val="p"/>
              </m:rPr>
              <m:t>∥</m:t>
            </m:r>
          </m:e>
          <m:sub>
            <m:r>
              <m:t>o</m:t>
            </m:r>
            <m:r>
              <m:t>p</m:t>
            </m:r>
          </m:sub>
        </m:sSub>
        <m:r>
          <m:rPr>
            <m:sty m:val="p"/>
          </m:rPr>
          <m:t>≪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(A2 / PL, used in Theorem 2 only):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μ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L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  <m:r>
          <m:t> </m:t>
        </m:r>
        <m:r>
          <m:rPr>
            <m:sty m:val="p"/>
          </m:rPr>
          <m:t>∀</m:t>
        </m:r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.</m:t>
        </m:r>
      </m:oMath>
    </w:p>
    <w:bookmarkEnd w:id="19"/>
    <w:bookmarkStart w:id="20" w:name="lemmas"/>
    <w:p>
      <w:pPr>
        <w:pStyle w:val="Heading2"/>
      </w:pPr>
      <w:r>
        <w:t xml:space="preserve">4.2 Lemmas</w:t>
      </w:r>
    </w:p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(Malladi ZO variance).</w:t>
      </w:r>
      <w:r>
        <w:t xml:space="preserve"> </w:t>
      </w:r>
      <w:r>
        <w:rPr>
          <w:i/>
          <w:iCs/>
        </w:rPr>
        <w:t xml:space="preserve">Under (A1)+(C5):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∥</m:t>
          </m:r>
          <m:acc>
            <m:accPr>
              <m:chr m:val="̂"/>
            </m:accPr>
            <m:e>
              <m:r>
                <m:t>ρ</m:t>
              </m:r>
            </m:e>
          </m:acc>
          <m:r>
            <m:rPr>
              <m:sty m:val="p"/>
            </m:rPr>
            <m:t>⋅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L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Lemma 2</w:t>
      </w:r>
      <w:r>
        <w:t xml:space="preserve"> </w:t>
      </w:r>
      <w:r>
        <w:t xml:space="preserve">(</w:t>
      </w:r>
      <m:oMath>
        <m:r>
          <m:t>ρ</m:t>
        </m:r>
      </m:oMath>
      <w:r>
        <w:t xml:space="preserve">-clipping bias-variance).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,</m:t>
        </m:r>
        <m:r>
          <m:rPr>
            <m:sty m:val="p"/>
          </m:rPr>
          <m:t>±</m:t>
        </m:r>
        <m: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ρ</m:t>
              </m:r>
            </m:e>
          </m:acc>
          <m:r>
            <m:rPr>
              <m:sty m:val="p"/>
            </m:rPr>
            <m:t>⋅</m:t>
          </m:r>
          <m:r>
            <m:t>z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ρ</m:t>
                  </m:r>
                </m:e>
              </m:acc>
              <m:r>
                <m:rPr>
                  <m:sty m:val="p"/>
                </m:rPr>
                <m:t>⋅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Lemma 3</w:t>
      </w:r>
      <w:r>
        <w:t xml:space="preserve"> </w:t>
      </w:r>
      <w:r>
        <w:t xml:space="preserve">(consensus error).</w:t>
      </w:r>
      <w:r>
        <w:t xml:space="preserve"> </w:t>
      </w:r>
      <w:r>
        <w:rPr>
          <w:i/>
          <w:iCs/>
        </w:rPr>
        <w:t xml:space="preserve">For D-MeZO-N with mixing matrix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momentum</w:t>
      </w:r>
      <w:r>
        <w:rPr>
          <w:i/>
          <w:iCs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sSup>
            <m:e>
              <m:r>
                <m:t>η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Lemma 5</w:t>
      </w:r>
      <w:r>
        <w:t xml:space="preserve"> </w:t>
      </w:r>
      <w:r>
        <w:t xml:space="preserve">(PL descent; Karimi-Nutini-Schmidt 2016).</w:t>
      </w:r>
      <w:r>
        <w:t xml:space="preserve"> </w:t>
      </w:r>
      <w:r>
        <w:rPr>
          <w:i/>
          <w:iCs/>
        </w:rPr>
        <w:t xml:space="preserve">Under (A1)+(A2)+(C2)+(C3) for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t>μ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η</m:t>
              </m:r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bookmarkEnd w:id="20"/>
    <w:bookmarkStart w:id="21" w:name="theorem-1-convex-case-with-momentum"/>
    <w:p>
      <w:pPr>
        <w:pStyle w:val="Heading2"/>
      </w:pPr>
      <w:r>
        <w:t xml:space="preserve">4.3 Theorem 1 — convex case with momentum</w:t>
      </w:r>
    </w:p>
    <w:p>
      <w:pPr>
        <w:pStyle w:val="FirstParagraph"/>
      </w:pPr>
      <w:r>
        <w:rPr>
          <w:b/>
          <w:bCs/>
        </w:rPr>
        <w:t xml:space="preserve">Theorem 1</w:t>
      </w:r>
      <w:r>
        <w:t xml:space="preserve"> </w:t>
      </w:r>
      <w:r>
        <w:t xml:space="preserve">(D-MeZO-N convergence, convex case).</w:t>
      </w:r>
      <w:r>
        <w:t xml:space="preserve"> </w:t>
      </w:r>
      <w:r>
        <w:rPr>
          <w:i/>
          <w:iCs/>
        </w:rPr>
        <w:t xml:space="preserve">Assume (A1)–(C5) with each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convex. The D-MeZO-N iterate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r>
                        <m:t>T</m:t>
                      </m:r>
                    </m:den>
                  </m:f>
                </m:e>
              </m:rad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β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2" w:name="theorem-2-non-convex-pl-case-no-momentum"/>
    <w:p>
      <w:pPr>
        <w:pStyle w:val="Heading2"/>
      </w:pPr>
      <w:r>
        <w:t xml:space="preserve">4.4 Theorem 2 — non-convex PL case (no momentum)</w:t>
      </w:r>
    </w:p>
    <w:p>
      <w:pPr>
        <w:pStyle w:val="FirstParagraph"/>
      </w:pPr>
      <w:r>
        <w:rPr>
          <w:b/>
          <w:bCs/>
        </w:rPr>
        <w:t xml:space="preserve">Theorem 2</w:t>
      </w:r>
      <w:r>
        <w:t xml:space="preserve"> </w:t>
      </w:r>
      <w:r>
        <w:t xml:space="preserve">(D-MeZO convergence, non-convex PL,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Under (A1)+(A2/PL)+(C2)+(C3)+(C5):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θ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η</m:t>
                  </m:r>
                  <m:r>
                    <m:t>L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μ</m:t>
                  </m:r>
                  <m:r>
                    <m:t>n</m:t>
                  </m:r>
                </m:den>
              </m:f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O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η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O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μ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bookmarkEnd w:id="22"/>
    <w:bookmarkEnd w:id="23"/>
    <w:bookmarkStart w:id="36" w:name="experiments"/>
    <w:p>
      <w:pPr>
        <w:pStyle w:val="Heading1"/>
      </w:pPr>
      <w:r>
        <w:t xml:space="preserve">5. Experiments</w:t>
      </w:r>
    </w:p>
    <w:p>
      <w:pPr>
        <w:pStyle w:val="CaptionedFigure"/>
      </w:pPr>
      <w:r>
        <w:drawing>
          <wp:inline>
            <wp:extent cx="5334000" cy="3812070"/>
            <wp:effectExtent b="0" l="0" r="0" t="0"/>
            <wp:docPr descr="Figure 1. Per-cell trajectories of the Day 5 federated grid. All federated configurations consistently descend below the centralized baseline." title="" id="25" name="Picture"/>
            <a:graphic>
              <a:graphicData uri="http://schemas.openxmlformats.org/drawingml/2006/picture">
                <pic:pic>
                  <pic:nvPicPr>
                    <pic:cNvPr descr="figures/fig1_day5_gri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Per-cell trajectories of the Day 5 federated grid. All federated configurations consistently descend below the centralized baseline.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Final eval (mean ± range/2)</w:t>
            </w:r>
          </w:p>
        </w:tc>
        <w:tc>
          <w:tcPr/>
          <w:p>
            <w:pPr>
              <w:pStyle w:val="Compact"/>
            </w:pPr>
            <w:r>
              <w:t xml:space="preserve">Accuracy (mean %)</w:t>
            </w:r>
          </w:p>
        </w:tc>
        <w:tc>
          <w:tcPr/>
          <w:p>
            <w:pPr>
              <w:pStyle w:val="Compact"/>
            </w:pPr>
            <w:r>
              <w:t xml:space="preserve">vs. centralized 0.1762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+ IID</w:t>
            </w:r>
          </w:p>
        </w:tc>
        <w:tc>
          <w:tcPr/>
          <w:p>
            <w:pPr>
              <w:pStyle w:val="Compact"/>
            </w:pPr>
            <w:r>
              <w:t xml:space="preserve">0.1348 ± 0.0051</w:t>
            </w:r>
          </w:p>
        </w:tc>
        <w:tc>
          <w:tcPr/>
          <w:p>
            <w:pPr>
              <w:pStyle w:val="Compact"/>
            </w:pPr>
            <w:r>
              <w:t xml:space="preserve">96.56%</w:t>
            </w:r>
          </w:p>
        </w:tc>
        <w:tc>
          <w:tcPr/>
          <w:p>
            <w:pPr>
              <w:pStyle w:val="Compact"/>
            </w:pPr>
            <w:r>
              <w:t xml:space="preserve">−23.5%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+ Dir(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0.1507 ± 0.0089</w:t>
            </w:r>
          </w:p>
        </w:tc>
        <w:tc>
          <w:tcPr/>
          <w:p>
            <w:pPr>
              <w:pStyle w:val="Compact"/>
            </w:pPr>
            <w:r>
              <w:t xml:space="preserve">95.00%</w:t>
            </w:r>
          </w:p>
        </w:tc>
        <w:tc>
          <w:tcPr/>
          <w:p>
            <w:pPr>
              <w:pStyle w:val="Compact"/>
            </w:pPr>
            <w:r>
              <w:t xml:space="preserve">−14.5%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+ IID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0.1271 ± 0.0014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97.81%</w:t>
            </w:r>
            <w:r>
              <w:t xml:space="preserve"> </w:t>
            </w:r>
            <w:r>
              <w:t xml:space="preserve">★ best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+ Dir(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0.1402 ± 0.0029</w:t>
            </w:r>
          </w:p>
        </w:tc>
        <w:tc>
          <w:tcPr/>
          <w:p>
            <w:pPr>
              <w:pStyle w:val="Compact"/>
            </w:pPr>
            <w:r>
              <w:t xml:space="preserve">95.63%</w:t>
            </w:r>
          </w:p>
        </w:tc>
        <w:tc>
          <w:tcPr/>
          <w:p>
            <w:pPr>
              <w:pStyle w:val="Compact"/>
            </w:pPr>
            <w:r>
              <w:t xml:space="preserve">−20.4%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(reference)</w:t>
            </w:r>
          </w:p>
        </w:tc>
        <w:tc>
          <w:tcPr/>
          <w:p>
            <w:pPr>
              <w:pStyle w:val="Compact"/>
            </w:pPr>
            <w:r>
              <w:t xml:space="preserve">0.1762 (n=1)</w:t>
            </w:r>
          </w:p>
        </w:tc>
        <w:tc>
          <w:tcPr/>
          <w:p>
            <w:pPr>
              <w:pStyle w:val="Compact"/>
            </w:pPr>
            <w:r>
              <w:t xml:space="preserve">95.63%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R1d</w:t>
            </w:r>
            <w:r>
              <w:t xml:space="preserve"> </w:t>
            </w:r>
            <w:r>
              <w:t xml:space="preserve">(D-MeZO-N) on worst cell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0.1291</w:t>
            </w:r>
            <w:r>
              <w:t xml:space="preserve"> </w:t>
            </w:r>
            <w:r>
              <w:t xml:space="preserve">(single seed)</w:t>
            </w:r>
          </w:p>
        </w:tc>
        <w:tc>
          <w:tcPr/>
          <w:p>
            <w:pPr>
              <w:pStyle w:val="Compact"/>
            </w:pPr>
            <w:r>
              <w:t xml:space="preserve">95.63%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−26.7%</w:t>
            </w:r>
          </w:p>
        </w:tc>
      </w:tr>
    </w:tbl>
    <w:p>
      <w:pPr>
        <w:pStyle w:val="CaptionedFigure"/>
      </w:pPr>
      <w:r>
        <w:drawing>
          <wp:inline>
            <wp:extent cx="5334000" cy="2253505"/>
            <wp:effectExtent b="0" l="0" r="0" t="0"/>
            <wp:docPr descr="Figure 3. (a) Final eval loss of each federated configuration vs. the centralised MeZO baseline. (b) Final accuracy comparison." title="" id="28" name="Picture"/>
            <a:graphic>
              <a:graphicData uri="http://schemas.openxmlformats.org/drawingml/2006/picture">
                <pic:pic>
                  <pic:nvPicPr>
                    <pic:cNvPr descr="figures/fig3_federated_vs_centraliz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(a) Final eval loss of each federated configuration vs. the centralised MeZO baseline. (b) Final accuracy comparison.</w:t>
      </w:r>
    </w:p>
    <w:p>
      <w:pPr>
        <w:pStyle w:val="CaptionedFigure"/>
      </w:pPr>
      <w:r>
        <w:drawing>
          <wp:inline>
            <wp:extent cx="5334000" cy="3225349"/>
            <wp:effectExtent b="0" l="0" r="0" t="0"/>
            <wp:docPr descr="Figure 2. Phase diagram of Nesterov-MeZO variants on the worst federated cell." title="" id="31" name="Picture"/>
            <a:graphic>
              <a:graphicData uri="http://schemas.openxmlformats.org/drawingml/2006/picture">
                <pic:pic>
                  <pic:nvPicPr>
                    <pic:cNvPr descr="figures/fig2_nesterov_phase_diagra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Phase diagram of Nesterov-MeZO variants on the worst federated cell.</w:t>
      </w:r>
    </w:p>
    <w:p>
      <w:pPr>
        <w:pStyle w:val="CaptionedFigure"/>
      </w:pPr>
      <w:r>
        <w:drawing>
          <wp:inline>
            <wp:extent cx="5334000" cy="2930170"/>
            <wp:effectExtent b="0" l="0" r="0" t="0"/>
            <wp:docPr descr="Figure 4. D-MeZO-N (R1d) detailed trajectory vs. control." title="" id="34" name="Picture"/>
            <a:graphic>
              <a:graphicData uri="http://schemas.openxmlformats.org/drawingml/2006/picture">
                <pic:pic>
                  <pic:nvPicPr>
                    <pic:cNvPr descr="figures/fig4_r1d_detail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D-MeZO-N (R1d) detailed trajectory vs. control.</w:t>
      </w:r>
    </w:p>
    <w:p>
      <w:pPr>
        <w:pStyle w:val="BodyText"/>
      </w:pPr>
      <w:r>
        <w:t xml:space="preserve">The empirical ratio</w:t>
      </w:r>
      <w:r>
        <w:t xml:space="preserve"> </w:t>
      </w:r>
      <m:oMath>
        <m:r>
          <m:t>0.1271</m:t>
        </m:r>
        <m:r>
          <m:rPr>
            <m:sty m:val="p"/>
          </m:rPr>
          <m:t>/</m:t>
        </m:r>
        <m:r>
          <m:t>0.1762</m:t>
        </m:r>
        <m:r>
          <m:rPr>
            <m:sty m:val="p"/>
          </m:rPr>
          <m:t>=</m:t>
        </m:r>
        <m:r>
          <m:t>0.722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matches Theorem 1’s stochastic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t>T</m:t>
            </m:r>
          </m:e>
        </m:rad>
      </m:oMath>
      <w:r>
        <w:t xml:space="preserve">. Mechanism: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clients each perform an independent MeZO probe with their own seed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direction</w:t>
      </w:r>
      <w:r>
        <w:t xml:space="preserve"> </w:t>
      </w:r>
      <m:oMath>
        <m:sSub>
          <m:e>
            <m:r>
              <m:t>z</m:t>
            </m:r>
          </m:e>
          <m: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, the consensus-averaging step amounts to an unbiased average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unit-direction probes.</w:t>
      </w:r>
    </w:p>
    <w:bookmarkEnd w:id="36"/>
    <w:bookmarkStart w:id="37" w:name="discussion"/>
    <w:p>
      <w:pPr>
        <w:pStyle w:val="Heading1"/>
      </w:pPr>
      <w:r>
        <w:t xml:space="preserve">6. Discussion</w:t>
      </w:r>
    </w:p>
    <w:p>
      <w:pPr>
        <w:pStyle w:val="FirstParagraph"/>
      </w:pPr>
      <w:r>
        <w:rPr>
          <w:b/>
          <w:bCs/>
        </w:rPr>
        <w:t xml:space="preserve">Why ring ≤ complete on the ZO regime?</w:t>
      </w:r>
      <w:r>
        <w:t xml:space="preserve"> </w:t>
      </w:r>
      <w:r>
        <w:t xml:space="preserve">A counter-intuitive finding: on both partition regimes the ring topology (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0.333</m:t>
        </m:r>
      </m:oMath>
      <w:r>
        <w:t xml:space="preserve">) consistently matches or out-performs the complete topology (</w:t>
      </w:r>
      <m:oMath>
        <m:r>
          <m:t>ρ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In the ZO regime, very high per-step variance of</w:t>
      </w:r>
      <w:r>
        <w:t xml:space="preserve"> </w:t>
      </w:r>
      <m:oMath>
        <m:acc>
          <m:accPr>
            <m:chr m:val="̂"/>
          </m:accPr>
          <m:e>
            <m:r>
              <m:t>ρ</m:t>
            </m:r>
          </m:e>
        </m:acc>
      </m:oMath>
      <w:r>
        <w:t xml:space="preserve"> </w:t>
      </w:r>
      <w:r>
        <w:t xml:space="preserve">means that slower consensus mixing may act as an implicit regulariser.</w:t>
      </w:r>
    </w:p>
    <w:p>
      <w:pPr>
        <w:pStyle w:val="BodyText"/>
      </w:pPr>
      <w:r>
        <w:rPr>
          <w:b/>
          <w:bCs/>
        </w:rPr>
        <w:t xml:space="preserve">Why is naive Nesterov incompatible with ZO?</w:t>
      </w:r>
      <w:r>
        <w:t xml:space="preserve"> </w:t>
      </w:r>
      <w:r>
        <w:t xml:space="preserve">The dual-channel noise structure of look-ahead Nesterov (probe-location and update-direction both depending on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 compounds the variance amplification.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the look-ahead variant diverges 7× faster than heavy-ball (R20 vs. R140).</w:t>
      </w:r>
    </w:p>
    <w:p>
      <w:pPr>
        <w:pStyle w:val="BodyText"/>
      </w:pPr>
      <w:r>
        <w:rPr>
          <w:b/>
          <w:bCs/>
        </w:rPr>
        <w:t xml:space="preserve">Practical recipe.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ρ</m:t>
        </m:r>
      </m:oMath>
      <w:r>
        <w:t xml:space="preserve">-clipping with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1.3</m:t>
        </m:r>
        <m:r>
          <m:rPr>
            <m:sty m:val="p"/>
          </m:rPr>
          <m:t>×</m:t>
        </m:r>
        <m:r>
          <m:rPr>
            <m:sty m:val="p"/>
          </m:rPr>
          <m:t>max</m:t>
        </m:r>
      </m:oMath>
      <w:r>
        <w:t xml:space="preserve"> </w:t>
      </w:r>
      <w:r>
        <w:t xml:space="preserve">observed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ρ</m:t>
            </m:r>
          </m:e>
        </m:acc>
        <m:r>
          <m:rPr>
            <m:sty m:val="p"/>
          </m:rPr>
          <m:t>|</m:t>
        </m:r>
      </m:oMath>
      <w:r>
        <w:t xml:space="preserve">, linear</w:t>
      </w:r>
      <w:r>
        <w:t xml:space="preserve"> </w:t>
      </w:r>
      <m:oMath>
        <m:r>
          <m:t>β</m:t>
        </m:r>
      </m:oMath>
      <w:r>
        <w:t xml:space="preserve">-schedule</w:t>
      </w:r>
      <w: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, doubly-stochastic mixing matrix.</w:t>
      </w:r>
    </w:p>
    <w:bookmarkEnd w:id="37"/>
    <w:bookmarkStart w:id="38" w:name="limitations-and-future-work"/>
    <w:p>
      <w:pPr>
        <w:pStyle w:val="Heading1"/>
      </w:pPr>
      <w:r>
        <w:t xml:space="preserve">7. Limitations and Future Work</w:t>
      </w:r>
    </w:p>
    <w:p>
      <w:pPr>
        <w:pStyle w:val="FirstParagraph"/>
      </w:pPr>
      <w:r>
        <w:rPr>
          <w:b/>
          <w:bCs/>
        </w:rPr>
        <w:t xml:space="preserve">Empirical.</w:t>
      </w:r>
      <w:r>
        <w:t xml:space="preserve"> </w:t>
      </w:r>
      <w:r>
        <w:t xml:space="preserve">Multi-seed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means error bars are range, not std; tasks limited to short-form classification; no head-to-head vs. FedKSeed / Ferret.</w:t>
      </w:r>
    </w:p>
    <w:p>
      <w:pPr>
        <w:pStyle w:val="BodyText"/>
      </w:pPr>
      <w:r>
        <w:rPr>
          <w:b/>
          <w:bCs/>
        </w:rPr>
        <w:t xml:space="preserve">Theoretical.</w:t>
      </w:r>
      <w:r>
        <w:t xml:space="preserve"> </w:t>
      </w:r>
      <w:r>
        <w:t xml:space="preserve">Theorem 3 (full non-convex PL + heavy-ball momentum + decentralized + ZO +</w:t>
      </w:r>
      <w:r>
        <w:t xml:space="preserve"> </w:t>
      </w:r>
      <m:oMath>
        <m:r>
          <m:t>ρ</m:t>
        </m:r>
      </m:oMath>
      <w:r>
        <w:t xml:space="preserve">-clipping) remains open.</w:t>
      </w:r>
    </w:p>
    <w:bookmarkEnd w:id="38"/>
    <w:bookmarkStart w:id="39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We presented D-MeZO-N — Decentralized Federated MeZO with Nesterov-style acceleration — and established it as a viable peer-to-peer federated optimizer for LLM fine-tuning. Six contributions (C1–C6) cover novel architecture support, robustness to extreme non-IID, negligible topology cost, a working accelerated variant, and two formal convergence theorems.</w:t>
      </w:r>
    </w:p>
    <w:bookmarkEnd w:id="39"/>
    <w:bookmarkStart w:id="4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Aybat, N. S., Fallah, A., Gurbuzbalaban, M., Ozdaglar, A. (2019). A universally optimal multistage accelerated stochastic gradient method. NeurIPS 2019.</w:t>
      </w:r>
    </w:p>
    <w:p>
      <w:pPr>
        <w:pStyle w:val="BodyText"/>
      </w:pPr>
      <w:r>
        <w:t xml:space="preserve">Karimi, H., Nutini, J., Schmidt, M. (2016). Linear convergence of gradient and proximal-gradient methods under the Polyak-Łojasiewicz condition. ECML-PKDD 2016.</w:t>
      </w:r>
    </w:p>
    <w:p>
      <w:pPr>
        <w:pStyle w:val="BodyText"/>
      </w:pPr>
      <w:r>
        <w:t xml:space="preserve">Koloskova, A., Loizou, N., Boreiri, S., Jaggi, M., Stich, S. U. (2020). A unified theory of decentralized SGD with changing topology and local updates. ICML 2020.</w:t>
      </w:r>
    </w:p>
    <w:p>
      <w:pPr>
        <w:pStyle w:val="BodyText"/>
      </w:pPr>
      <w:r>
        <w:t xml:space="preserve">Malladi, S., Gao, T., Nichani, E., Damian, A., Lee, J. D., Chen, D., Arora, S. (2023). Fine-tuning language models with just forward passes. NeurIPS 2023.</w:t>
      </w:r>
    </w:p>
    <w:p>
      <w:pPr>
        <w:pStyle w:val="BodyText"/>
      </w:pPr>
      <w:r>
        <w:t xml:space="preserve">Maritan, A., Ridolfi, A., Notarstefano, G. (2024). FedZeN: a zeroth-order Newton-style method for federated learning. arXiv:2309.17241.</w:t>
      </w:r>
    </w:p>
    <w:p>
      <w:pPr>
        <w:pStyle w:val="BodyText"/>
      </w:pPr>
      <w:r>
        <w:t xml:space="preserve">Nesterov, Y., Spokoiny, V. (2017). Random gradient-free minimization of convex functions. Foundations of Computational Mathematics 17(2):527–566.</w:t>
      </w:r>
    </w:p>
    <w:p>
      <w:pPr>
        <w:pStyle w:val="BodyText"/>
      </w:pPr>
      <w:r>
        <w:t xml:space="preserve">Polyak, B. T. (1964). Some methods of speeding up the convergence of iteration methods. USSR Computational Mathematics and Mathematical Physics 4(5):1–17.</w:t>
      </w:r>
    </w:p>
    <w:p>
      <w:pPr>
        <w:pStyle w:val="BodyText"/>
      </w:pPr>
      <w:r>
        <w:t xml:space="preserve">Qin, Z., Chen, D., Qian, B., Ding, B., Li, Y., Deng, S. (2024). FedKSeed. ICML 2024.</w:t>
      </w:r>
    </w:p>
    <w:p>
      <w:pPr>
        <w:pStyle w:val="BodyText"/>
      </w:pPr>
      <w:r>
        <w:t xml:space="preserve">Shu, Y., Yao, W., Hu, S. X. (2024). Ferret: federated full-parameter tuning at scale for large language models. arXiv:2409.06277.</w:t>
      </w:r>
    </w:p>
    <w:p>
      <w:pPr>
        <w:pStyle w:val="BodyText"/>
      </w:pPr>
      <w:r>
        <w:t xml:space="preserve">Spall, J. C. (1992). Multivariate stochastic approximation using a simultaneous perturbation gradient approximation. IEEE TAC 37(3):332–341.</w:t>
      </w:r>
    </w:p>
    <w:p>
      <w:pPr>
        <w:pStyle w:val="BodyText"/>
      </w:pPr>
      <w:r>
        <w:t xml:space="preserve">Stich, S. U. (2019). Local SGD converges fast and communicates little. ICLR 2019.</w:t>
      </w:r>
    </w:p>
    <w:p>
      <w:pPr>
        <w:pStyle w:val="BodyText"/>
      </w:pPr>
      <w:r>
        <w:t xml:space="preserve">Yang, T., Lin, Q., Li, Z. (2016). Unified convergence analysis of stochastic momentum methods. arXiv:1604.03257.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D-MeZO-N: Decentralized Federated MeZO with Nesterov Acceleration</dc:title>
  <dc:creator>Maksim Filimonov · Bauman MSTU (Kaluga branch)</dc:creator>
  <dc:language>en</dc:language>
  <cp:keywords/>
  <dcterms:created xsi:type="dcterms:W3CDTF">2026-05-16T11:39:47Z</dcterms:created>
  <dcterms:modified xsi:type="dcterms:W3CDTF">2026-05-16T11:39:47Z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2026</vt:lpwstr>
  </property>
</Properties>
</file>