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5.png" ContentType="image/png"/>
  <Override PartName="/word/media/rId30.png" ContentType="image/png"/>
  <Override PartName="/word/media/rId38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D-MeZO-N: Децентрализованный федеративный MeZO с ускорением Нестерова</w:t>
      </w:r>
    </w:p>
    <w:p>
      <w:pPr>
        <w:pStyle w:val="Author"/>
      </w:pPr>
      <w:r>
        <w:t xml:space="preserve">Максим Филимонов · МГТУ им. Н.Э. Баумана (Калужский филиал)</w:t>
      </w:r>
    </w:p>
    <w:p>
      <w:pPr>
        <w:pStyle w:val="Date"/>
      </w:pPr>
      <w:r>
        <w:t xml:space="preserve">Весна 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Мы представляем</w:t>
      </w:r>
      <w:r>
        <w:t xml:space="preserve"> </w:t>
      </w:r>
      <w:r>
        <w:rPr>
          <w:b/>
          <w:bCs/>
        </w:rPr>
        <w:t xml:space="preserve">D-MeZO-N</w:t>
      </w:r>
      <w:r>
        <w:t xml:space="preserve"> </w:t>
      </w:r>
      <w:r>
        <w:t xml:space="preserve">— Decentralized Federated MeZO с ускорением Нестерова — первый полностью peer-to-peer федеративный zeroth-order оптимизатор для дообучения больших языковых моделей. Опираясь на MeZO (Malladi et al., NeurIPS 2023, memory-efficient zeroth-order), мы заменяем одномашинную постановку на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клиентов, связанных дважды-стохастической mixing-матрицей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(Koloskova et al. 2020). Каждый клиент передаёт только один скаляр (проекцию градиента</w:t>
      </w:r>
      <w:r>
        <w:t xml:space="preserve"> </w:t>
      </w:r>
      <m:oMath>
        <m:r>
          <m:t>ρ</m:t>
        </m:r>
      </m:oMath>
      <w:r>
        <w:t xml:space="preserve">) и одно целое число (seed) за раунд каждому соседу — что устраняет гигабайтные обмены градиентами, типичные для FedAvg. Для стабилизации heavy-ball момента Нестерова при высокой дисперсии ZO-оценок градиента мы вводим</w:t>
      </w:r>
      <w:r>
        <w:t xml:space="preserve"> </w:t>
      </w:r>
      <m:oMath>
        <m:r>
          <m:t>ρ</m:t>
        </m:r>
      </m:oMath>
      <w:r>
        <w:t xml:space="preserve">-clipping вместе с линейным расписанием</w:t>
      </w:r>
      <w:r>
        <w:t xml:space="preserve"> </w:t>
      </w:r>
      <m:oMath>
        <m:r>
          <m:t>β</m:t>
        </m:r>
      </m:oMath>
      <w:r>
        <w:t xml:space="preserve">-decay; получаем ускоренный вариант с монотонным убыванием, который превосходит vanilla D-MeZO на 6.0% на самой сложной федеративной ячейке. На модели Qwen3.5-4B-Base (гибридная linear-attention V-L архитектура — первый известный эксперимент федеративного ZO на этом классе моделей) с задачей SST-2 сетка 2×2 (топология × распределение) по 2 seed-ам даёт final eval loss 0.1271–0.1507 во всех ячейках, превосходя централизованный MeZO baseline (0.1762) на 14.5–27.9% за счёт неявного усреднения</w:t>
      </w:r>
      <w:r>
        <w:t xml:space="preserve"> </w:t>
      </w:r>
      <m:oMath>
        <m:r>
          <m:t>z</m:t>
        </m:r>
      </m:oMath>
      <w:r>
        <w:t xml:space="preserve">-направлений. Эмпирику дополняют две формальные теоремы сходимости —</w:t>
      </w:r>
      <w:r>
        <w:t xml:space="preserve"> </w:t>
      </w:r>
      <w:r>
        <w:rPr>
          <w:b/>
          <w:bCs/>
        </w:rPr>
        <w:t xml:space="preserve">Теорема 1</w:t>
      </w:r>
      <w:r>
        <w:t xml:space="preserve"> </w:t>
      </w:r>
      <w:r>
        <w:t xml:space="preserve">(выпуклый случай + момент,</w:t>
      </w:r>
      <w:r>
        <w:t xml:space="preserve"> </w:t>
      </w:r>
      <m:oMath>
        <m:r>
          <m:t>ρ</m:t>
        </m:r>
      </m:oMath>
      <w:r>
        <w:t xml:space="preserve">-clipping) и</w:t>
      </w:r>
      <w:r>
        <w:t xml:space="preserve"> </w:t>
      </w:r>
      <w:r>
        <w:rPr>
          <w:b/>
          <w:bCs/>
        </w:rPr>
        <w:t xml:space="preserve">Теорема 2</w:t>
      </w:r>
      <w:r>
        <w:t xml:space="preserve"> </w:t>
      </w:r>
      <w:r>
        <w:t xml:space="preserve">(невыпуклый случай PL без момента) — каждая из которых имеет четыре предсказания, количественно подтверждённые эмпирикой. Весь код, конфиги, MLflow run ID и 75 unit-тестов опубликованы.</w:t>
      </w:r>
    </w:p>
    <w:bookmarkEnd w:id="9"/>
    <w:bookmarkStart w:id="10" w:name="введение"/>
    <w:p>
      <w:pPr>
        <w:pStyle w:val="Heading1"/>
      </w:pPr>
      <w:r>
        <w:t xml:space="preserve">1. Введение</w:t>
      </w:r>
    </w:p>
    <w:p>
      <w:pPr>
        <w:pStyle w:val="FirstParagraph"/>
      </w:pPr>
      <w:r>
        <w:t xml:space="preserve">Memory-efficient zeroth-order оптимизация (MeZO) для больших языковых моделей была введена Malladi et al. (2023) как неожиданный результат: дообучение LLM с миллиардами параметров можно делать только через forward-passes, со стоимостью памяти как при инференсе. Ключевой приём — замена backpropagation двухточечной оценкой градиента по случайному направлению, восстанавливаемому из seed-а — сжимает состояние оптимизатора с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(моменты Adam) до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(один скаляр). Для федеративного обучения это преобразующе: вместо передачи плотных градиентов (или их сжатых аппроксимаций) клиенты MeZO обмениваются только парами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Однако существующая литература по федеративному MeZO (FedKSeed, Ferret, FedZeN) ограничена (а) единой full-attention архитектурой (семейство OPT, LLaMA), и (б) центрально-агрегированной топологией FedAvg. Перенос результатов distributed SPSA (современным воплощением которого является MeZO) — consensus-based вариантов, accelerated schemes, расширений с моментом Нестерова — в область дообучения LLM оставался открытым вопросом.</w:t>
      </w:r>
    </w:p>
    <w:p>
      <w:pPr>
        <w:pStyle w:val="BodyText"/>
      </w:pPr>
      <w:r>
        <w:t xml:space="preserve">В этой статье мы закрываем пробел шестью контрибуциями (C1–C6):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</w:t>
      </w:r>
      <w:r>
        <w:t xml:space="preserve"> </w:t>
      </w:r>
      <w:r>
        <w:t xml:space="preserve">— Первое федеративное применение MeZO на гибридной linear-attention LLM (Qwen3.5-4B-Base, layer_types = [linear, linear, linear, full] × 8 в text decoder, плюс замороженный 24-слойный ViT).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— D-MeZO устойчив к экстремальной неоднородности распределения: партиционная «стоимость» Dirichlet(</w:t>
      </w:r>
      <m:oMath>
        <m:r>
          <m:t>α</m:t>
        </m:r>
      </m:oMath>
      <w:r>
        <w:t xml:space="preserve">=0.5)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18% в среднем (по 2 seed-ам), против типичных 50–200% для FedAvg.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— Стоимость топологии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7%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клиентах; контр-интуитивно, ring(4)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complete(4) на ZO-режиме на обоих распределениях — это говорит о неявной регуляризации за счёт более медленного consensus-микширования.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C4</w:t>
      </w:r>
      <w:r>
        <w:t xml:space="preserve"> </w:t>
      </w:r>
      <w:r>
        <w:t xml:space="preserve">— D-MeZO-N (heavy-ball Нестеров +</w:t>
      </w:r>
      <w:r>
        <w:t xml:space="preserve"> </w:t>
      </w:r>
      <m:oMath>
        <m:r>
          <m:t>ρ</m:t>
        </m:r>
      </m:oMath>
      <w:r>
        <w:t xml:space="preserve">-clipping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+ линейный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 даёт монотонно сходящийся ускоренный вариант; на самой сложной ячейке он достигает final 0.1291 против vanilla 0.1373 (улучшение на 6.0%) и превосходит централизованный MeZO на 26.7%.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Теорема 1</w:t>
      </w:r>
      <w:r>
        <w:t xml:space="preserve">: формальная оценка сходимости D-MeZO-N в выпуклом случае, комбинирующая Malladi ZO-variance, Koloskova D-SGD consensus error, Polyak heavy-ball и нашу лемму</w:t>
      </w:r>
      <w:r>
        <w:t xml:space="preserve"> </w:t>
      </w:r>
      <m:oMath>
        <m:r>
          <m:t>ρ</m:t>
        </m:r>
      </m:oMath>
      <w:r>
        <w:t xml:space="preserve">-clipping.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Теорема 2</w:t>
      </w:r>
      <w:r>
        <w:t xml:space="preserve">: формальная оценка сходимости в условии Polyak-Łojasiewicz (PL) без момента, покрывающая позднюю стадию D-MeZO-N после затухания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FirstParagraph"/>
      </w:pPr>
      <w:r>
        <w:t xml:space="preserve">Все четыре предсказания Теоремы 1 (линейное федеративное ускорение, расходимость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без clip, late drift у R1b, монотонное убывание у R1d) и все четыре предсказания Теоремы 2 (линейная сходимость к шумовому floor,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стохастический floor, consensus-штраф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применимость к поздней стадии R1d) количественно подтверждены эмпирическими прогонами.</w:t>
      </w:r>
    </w:p>
    <w:bookmarkEnd w:id="10"/>
    <w:bookmarkStart w:id="11" w:name="связанные-работы"/>
    <w:p>
      <w:pPr>
        <w:pStyle w:val="Heading1"/>
      </w:pPr>
      <w:r>
        <w:t xml:space="preserve">2. Связанные работы</w:t>
      </w:r>
    </w:p>
    <w:p>
      <w:pPr>
        <w:pStyle w:val="FirstParagraph"/>
      </w:pPr>
      <w:r>
        <w:rPr>
          <w:b/>
          <w:bCs/>
        </w:rPr>
        <w:t xml:space="preserve">MeZO.</w:t>
      </w:r>
      <w:r>
        <w:t xml:space="preserve"> </w:t>
      </w:r>
      <w:r>
        <w:t xml:space="preserve">Malladi et al. (2023) ввели MeZO — SPSA-стиль (Spall 1992) zeroth-order оптимизатор с ключевым практическим приёмом: вместо явной материализации случайного вектора размерности</w:t>
      </w:r>
      <w:r>
        <w:t xml:space="preserve"> </w:t>
      </w:r>
      <m:oMath>
        <m:r>
          <m:t>d</m:t>
        </m:r>
      </m:oMath>
      <w:r>
        <w:t xml:space="preserve">, направление возмущения детерминированно восстанавливается из seed-а. Они показали дообучение OPT-{1.3B, 13B, 30B, 66B} на SuperGLUE с памятью, сравнимой с инференсом. Теорема 3.1 их статьи доказывает оценку дисперсии, использующую эффективный ранг гессиана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вместо полной размерности</w:t>
      </w:r>
      <w:r>
        <w:t xml:space="preserve"> </w:t>
      </w:r>
      <m:oMath>
        <m:r>
          <m:t>d</m:t>
        </m:r>
      </m:oMath>
      <w:r>
        <w:t xml:space="preserve">, что и обеспечивает применимость на масштабе LLM.</w:t>
      </w:r>
    </w:p>
    <w:p>
      <w:pPr>
        <w:pStyle w:val="BodyText"/>
      </w:pPr>
      <w:r>
        <w:rPr>
          <w:b/>
          <w:bCs/>
        </w:rPr>
        <w:t xml:space="preserve">Децентрализованный SGD.</w:t>
      </w:r>
      <w:r>
        <w:t xml:space="preserve"> </w:t>
      </w:r>
      <w:r>
        <w:t xml:space="preserve">Koloskova et al. (2020, «A Unified Theory of Decentralized SGD») дают унифицированный анализ D-SGD с произвольной mixing-матрицей</w:t>
      </w:r>
      <w:r>
        <w:t xml:space="preserve"> </w:t>
      </w:r>
      <m:oMath>
        <m:r>
          <m:t>W</m:t>
        </m:r>
      </m:oMath>
      <w:r>
        <w:t xml:space="preserve">. Их Теорема 2 (выпуклый случай) и Теорема 8 (PL) ограничивают rate сходимости в зависимости от спектральной щели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и неоднородности градиентов</w:t>
      </w:r>
      <w:r>
        <w:t xml:space="preserve"> </w:t>
      </w:r>
      <m:oMath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 Эти оценки — наша отправная точка для комбинирования ZO-дисперсии MeZO с штрафом за федеративную топологию.</w:t>
      </w:r>
    </w:p>
    <w:p>
      <w:pPr>
        <w:pStyle w:val="BodyText"/>
      </w:pPr>
      <w:r>
        <w:rPr>
          <w:b/>
          <w:bCs/>
        </w:rPr>
        <w:t xml:space="preserve">Федеративный zeroth-order.</w:t>
      </w:r>
      <w:r>
        <w:t xml:space="preserve"> </w:t>
      </w:r>
      <w:r>
        <w:t xml:space="preserve">FedKSeed (Qin et al., ICML 2024) и Ferret (Shu et al., 2024) — оба строятся на MeZO для FL, используя общие словари seed-ов для дальнейшего сжатия коммуникации. FedZeN (Maritan et al. 2024) исследует Newton-стиль zeroth-order в FL. Все три работы ограничены (i) full-attention архитектурами и (ii) центрально-агрегированной FedAvg топологией; ни одна из них не рассматривает peer-to-peer децентрализованный случай с ускорением Нестерова.</w:t>
      </w:r>
    </w:p>
    <w:p>
      <w:pPr>
        <w:pStyle w:val="BodyText"/>
      </w:pPr>
      <w:r>
        <w:rPr>
          <w:b/>
          <w:bCs/>
        </w:rPr>
        <w:t xml:space="preserve">Heavy-ball под PL.</w:t>
      </w:r>
      <w:r>
        <w:t xml:space="preserve"> </w:t>
      </w:r>
      <w:r>
        <w:t xml:space="preserve">Yang, Zhao, Cheng (2016) дают унифицированный анализ Ляпунова для heavy-ball SGD в выпуклом и невыпуклом PL режимах; Aybat et al. (2019) дают универсально оптимальный многоэтапный ускоренный метод. Karimi, Nutini, Schmidt (2016) устанавливают канонический фреймворк линейной сходимости к шумовому floor для стохастических градиентных методов под PL.</w:t>
      </w:r>
    </w:p>
    <w:p>
      <w:pPr>
        <w:pStyle w:val="BodyText"/>
      </w:pPr>
      <w:r>
        <w:rPr>
          <w:b/>
          <w:bCs/>
        </w:rPr>
        <w:t xml:space="preserve">Гибридные linear-attention LLM.</w:t>
      </w:r>
      <w:r>
        <w:t xml:space="preserve"> </w:t>
      </w:r>
      <w:r>
        <w:t xml:space="preserve">Qwen3.5-4B-Base (выпуск 2026) — V-L модель, где text decoder сочетает 24 linear-attention слоя (вариант gated DeltaNet) с 8 full-attention слоями в периодической схеме «8-блок». Насколько нам известно, ни одна zeroth-order федеративная статья пока не оценивала этот класс архитектур.</w:t>
      </w:r>
    </w:p>
    <w:bookmarkEnd w:id="11"/>
    <w:bookmarkStart w:id="19" w:name="метод-d-mezo-n"/>
    <w:p>
      <w:pPr>
        <w:pStyle w:val="Heading1"/>
      </w:pPr>
      <w:r>
        <w:t xml:space="preserve">3. Метод: D-MeZO-N</w:t>
      </w:r>
    </w:p>
    <w:bookmarkStart w:id="12" w:name="постановка"/>
    <w:p>
      <w:pPr>
        <w:pStyle w:val="Heading2"/>
      </w:pPr>
      <w:r>
        <w:t xml:space="preserve">3.1 Постановка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 хранят локальные шарды данных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локальные копии параметров модели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 Связность задаётся дважды-стохастической mixing-матрицей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со спектральной щелью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r>
            <m:t>W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соответствует полносвязной топологии — точное среднее за один раунд;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соответствует разрыву графа. Для топологии «кольцо»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(используемой в наших экспериментах)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0.333</m:t>
        </m:r>
      </m:oMath>
      <w:r>
        <w:t xml:space="preserve">.</w:t>
      </w:r>
    </w:p>
    <w:bookmarkEnd w:id="12"/>
    <w:bookmarkStart w:id="16" w:name="алгоритм"/>
    <w:p>
      <w:pPr>
        <w:pStyle w:val="Heading2"/>
      </w:pPr>
      <w:r>
        <w:t xml:space="preserve">3.2 Алгоритм</w:t>
      </w:r>
    </w:p>
    <w:p>
      <w:pPr>
        <w:pStyle w:val="FirstParagraph"/>
      </w:pPr>
      <w:r>
        <w:t xml:space="preserve">На раунде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каждый клиент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выполняет MeZO-шаг с новым seed-ом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t xml:space="preserve"> </w:t>
      </w:r>
      <w:r>
        <w:t xml:space="preserve">(из per-client counter-PRNG), производя проекцию градиента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ϵ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восстанавливается из seed-а</w:t>
      </w:r>
      <w:r>
        <w:t xml:space="preserve"> </w:t>
      </w:r>
      <m:oMath>
        <m:r>
          <m:t>s</m:t>
        </m:r>
      </m:oMath>
      <w:r>
        <w:t xml:space="preserve">. Полный раунд D-MeZO-N комбинирует</w:t>
      </w:r>
      <w:r>
        <w:t xml:space="preserve"> </w:t>
      </w:r>
      <m:oMath>
        <m:r>
          <m:t>ρ</m:t>
        </m:r>
      </m:oMath>
      <w:r>
        <w:t xml:space="preserve">-clip шаг, heavy-ball обновление скорости с (возможно расписанным) коэффициентом момента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шаг по параметрам и consensus mixing: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ρ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C</m:t>
              </m:r>
              <m:r>
                <m:rPr>
                  <m:sty m:val="p"/>
                </m:rPr>
                <m:t>)</m:t>
              </m:r>
              <m:sSub>
                <m:e>
                  <m:r>
                    <m:t>z</m:t>
                  </m:r>
                </m:e>
                <m:sub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η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θ</m:t>
                  </m:r>
                </m:e>
                <m:sub>
                  <m:r>
                    <m:t>j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алгоритм сводится к vanilla D-MeZO (наш baseline). При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 включённом</w:t>
      </w:r>
      <w:r>
        <w:t xml:space="preserve"> </w:t>
      </w:r>
      <m:oMath>
        <m:r>
          <m:t>ρ</m:t>
        </m:r>
      </m:oMath>
      <w:r>
        <w:t xml:space="preserve">-clipping это D-MeZO-N. Мы предлагаем два режима расписания: постоянный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(R1b в §5) и линейный спад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(R1d, наш рекомендованный рецепт).</w:t>
      </w:r>
    </w:p>
    <w:p>
      <w:pPr>
        <w:pStyle w:val="CaptionedFigure"/>
      </w:pPr>
      <w:r>
        <w:drawing>
          <wp:inline>
            <wp:extent cx="5334000" cy="2695677"/>
            <wp:effectExtent b="0" l="0" r="0" t="0"/>
            <wp:docPr descr="Рисунок 5. Алгоритм D-MeZO-N для n=4 клиентов на кольцевой топологии. Каждый клиент независимо выполняет локальный MeZO-замер (seed s_i, скаляр \rho_i), клипает \rho_i, обновляет локальный буфер скорости с расписанным \beta_t, и затем участвует в дважды-стохастическом consensus-усреднении с соседями. Коммуникация — O(1) скаляров + 1 seed на соседа за раунд." title="" id="14" name="Picture"/>
            <a:graphic>
              <a:graphicData uri="http://schemas.openxmlformats.org/drawingml/2006/picture">
                <pic:pic>
                  <pic:nvPicPr>
                    <pic:cNvPr descr="figures/fig5_algorithm_schematic_ru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Алгоритм D-MeZO-N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клиентов на кольцевой топологии. Каждый клиент независимо выполняет локальный MeZO-замер (seed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скаляр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), клипает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, обновляет локальный буфер скорости с расписанным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и затем участвует в дважды-стохастическом consensus-усреднении с соседями. Коммуникация —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скаляров + 1 seed на соседа за раунд.</w:t>
      </w:r>
    </w:p>
    <w:bookmarkEnd w:id="16"/>
    <w:bookmarkStart w:id="17" w:name="rho-clipping-мотивация-леммы-2"/>
    <w:p>
      <w:pPr>
        <w:pStyle w:val="Heading2"/>
      </w:pPr>
      <w:r>
        <w:t xml:space="preserve">3.3</w:t>
      </w:r>
      <w:r>
        <w:t xml:space="preserve"> </w:t>
      </w:r>
      <m:oMath>
        <m:r>
          <m:t>ρ</m:t>
        </m:r>
      </m:oMath>
      <w:r>
        <w:t xml:space="preserve">-clipping (мотивация Леммы 2)</w:t>
      </w:r>
    </w:p>
    <w:p>
      <w:pPr>
        <w:pStyle w:val="FirstParagraph"/>
      </w:pPr>
      <w:r>
        <w:t xml:space="preserve">Проекция градиента MeZO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имеет дисперсию, ограниченную Леммой 1 ниже, но на практике отдельные значения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могут «всплескать» на 2–3 порядка из-за тяжёлых хвостов оценки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+</m:t>
        </m:r>
        <m:r>
          <m:t>ϵ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r>
          <m:t>ϵ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t>ϵ</m:t>
        </m:r>
      </m:oMath>
      <w:r>
        <w:t xml:space="preserve"> </w:t>
      </w:r>
      <w:r>
        <w:t xml:space="preserve">вблизи негладких точек loss-ландшафта LLM (мы наблюдали отдельные пики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900</m:t>
        </m:r>
      </m:oMath>
      <w:r>
        <w:t xml:space="preserve"> </w:t>
      </w:r>
      <w:r>
        <w:t xml:space="preserve">в первых раундах при типичной величине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100</m:t>
        </m:r>
      </m:oMath>
      <w:r>
        <w:t xml:space="preserve">). Без ограничения таких пиков буфер скорости Нестерова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acc>
          <m:accPr>
            <m:chr m:val="̂"/>
          </m:accPr>
          <m:e>
            <m:r>
              <m:t>ρ</m:t>
            </m:r>
          </m:e>
        </m:acc>
        <m:r>
          <m:t>z</m:t>
        </m:r>
      </m:oMath>
      <w:r>
        <w:t xml:space="preserve"> </w:t>
      </w:r>
      <w:r>
        <w:t xml:space="preserve">аккумулирует их с steady-state амплифайером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5.3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, что приводит к катастрофической расходимости на раунде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140</m:t>
        </m:r>
      </m:oMath>
      <w:r>
        <w:t xml:space="preserve"> </w:t>
      </w:r>
      <w:r>
        <w:t xml:space="preserve">(см. §5.4). Мы ограничиваем вклад в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 каждом шаге симметричным клипом: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C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Порог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выбран эмпирически (ловит все наблюдаемые пики, сохраняя ~95% сигнала в нормальном диапазоне). Лемма 2 в §4 количественно описывает возникающий bias-variance trade-off.</w:t>
      </w:r>
    </w:p>
    <w:bookmarkEnd w:id="17"/>
    <w:bookmarkStart w:id="18" w:name="стоимость-коммуникации"/>
    <w:p>
      <w:pPr>
        <w:pStyle w:val="Heading2"/>
      </w:pPr>
      <w:r>
        <w:t xml:space="preserve">3.4 Стоимость коммуникации</w:t>
      </w:r>
    </w:p>
    <w:p>
      <w:pPr>
        <w:pStyle w:val="FirstParagraph"/>
      </w:pPr>
      <w:r>
        <w:t xml:space="preserve">За раунд каждому соседу клиент передаёт текущее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(один float) и 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 целое число). Для модели на 4 миллиарда параметров это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-кратное сжатие по сравнению с обменом плотными градиентами в FedAvg: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скаляр</m:t>
          </m:r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 целое seed</m:t>
          </m:r>
          <m:r>
            <m:rPr>
              <m:nor/>
              <m:sty m:val="p"/>
            </m:rPr>
            <m:t> на соседа за раунд</m:t>
          </m:r>
          <m:r>
            <m:rPr>
              <m:sty m:val="p"/>
            </m:rPr>
            <m:t>.</m:t>
          </m:r>
        </m:oMath>
      </m:oMathPara>
    </w:p>
    <w:bookmarkEnd w:id="18"/>
    <w:bookmarkEnd w:id="19"/>
    <w:bookmarkStart w:id="25" w:name="теория"/>
    <w:p>
      <w:pPr>
        <w:pStyle w:val="Heading1"/>
      </w:pPr>
      <w:r>
        <w:t xml:space="preserve">4. Теория</w:t>
      </w:r>
    </w:p>
    <w:bookmarkStart w:id="20" w:name="предположения"/>
    <w:p>
      <w:pPr>
        <w:pStyle w:val="Heading2"/>
      </w:pPr>
      <w:r>
        <w:t xml:space="preserve">4.1 Предположения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(A1)</w:t>
      </w:r>
      <w:r>
        <w:t xml:space="preserve"> </w:t>
      </w:r>
      <m:oMath>
        <m:r>
          <m:t>L</m:t>
        </m:r>
      </m:oMath>
      <w:r>
        <w:t xml:space="preserve">-гладкость: каждое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является</w:t>
      </w:r>
      <w:r>
        <w:t xml:space="preserve"> </w:t>
      </w:r>
      <m:oMath>
        <m:r>
          <m:t>L</m:t>
        </m:r>
      </m:oMath>
      <w:r>
        <w:t xml:space="preserve">-гладким (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(C2)</w:t>
      </w:r>
      <w:r>
        <w:t xml:space="preserve"> </w:t>
      </w:r>
      <w:r>
        <w:t xml:space="preserve">Ограниченное разнообразие градиентов: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(C3)</w:t>
      </w:r>
      <w:r>
        <w:t xml:space="preserve"> </w:t>
      </w:r>
      <w:r>
        <w:t xml:space="preserve">Ограниченный стохастический шум: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ξ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∇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(C5)</w:t>
      </w:r>
      <w:r>
        <w:t xml:space="preserve"> </w:t>
      </w:r>
      <w:r>
        <w:t xml:space="preserve">Эффективный ранг гессиана: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≪</m:t>
        </m:r>
        <m:r>
          <m:t>d</m:t>
        </m:r>
      </m:oMath>
      <w:r>
        <w:t xml:space="preserve"> </w:t>
      </w:r>
      <w:r>
        <w:t xml:space="preserve">(Malladi 2023 §5).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(A2 / PL, только для Теоремы 2):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2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  <m:r>
          <m:t> </m:t>
        </m:r>
        <m:r>
          <m:rPr>
            <m:sty m:val="p"/>
          </m:rPr>
          <m:t>∀</m:t>
        </m:r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.</m:t>
        </m:r>
      </m:oMath>
    </w:p>
    <w:bookmarkEnd w:id="20"/>
    <w:bookmarkStart w:id="21" w:name="набор-лемм"/>
    <w:p>
      <w:pPr>
        <w:pStyle w:val="Heading2"/>
      </w:pPr>
      <w:r>
        <w:t xml:space="preserve">4.2 Набор лемм</w:t>
      </w:r>
    </w:p>
    <w:p>
      <w:pPr>
        <w:pStyle w:val="FirstParagraph"/>
      </w:pPr>
      <w:r>
        <w:rPr>
          <w:b/>
          <w:bCs/>
        </w:rPr>
        <w:t xml:space="preserve">Лемма 1</w:t>
      </w:r>
      <w:r>
        <w:t xml:space="preserve"> </w:t>
      </w:r>
      <w:r>
        <w:t xml:space="preserve">(Nesterov-Spokoiny / Malladi ZO-variance).</w:t>
      </w:r>
      <w:r>
        <w:t xml:space="preserve"> </w:t>
      </w:r>
      <w:r>
        <w:rPr>
          <w:i/>
          <w:iCs/>
        </w:rPr>
        <w:t xml:space="preserve">В условиях (A1)+(C5) двухточечная ZO-оценка с</w:t>
      </w:r>
      <w:r>
        <w:rPr>
          <w:i/>
          <w:iCs/>
        </w:rP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удовлетворяет: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∥</m:t>
          </m:r>
          <m:acc>
            <m:accPr>
              <m:chr m:val="̂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∇</m:t>
          </m:r>
          <m:r>
            <m:t>L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со смещением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ρ</m:t>
            </m:r>
          </m:e>
        </m:acc>
        <m:r>
          <m:t> </m:t>
        </m:r>
        <m:r>
          <m:t>z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lin"/>
          </m:fPr>
          <m:num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  <m:r>
              <m:t>L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</m:oMath>
      <w:r>
        <w:rPr>
          <w:i/>
          <w:iCs/>
        </w:rPr>
        <w:t xml:space="preserve">. Замена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на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это улучшение Malladi (2023), делающее ZO применимым на масштабе LLM.</w:t>
      </w:r>
    </w:p>
    <w:p>
      <w:pPr>
        <w:pStyle w:val="BodyText"/>
      </w:pPr>
      <w:r>
        <w:rPr>
          <w:b/>
          <w:bCs/>
        </w:rPr>
        <w:t xml:space="preserve">Лемма 2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-clipping bias-variance).</w:t>
      </w:r>
      <w:r>
        <w:t xml:space="preserve"> </w:t>
      </w:r>
      <w:r>
        <w:rPr>
          <w:i/>
          <w:iCs/>
        </w:rPr>
        <w:t xml:space="preserve">Пусть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,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r>
                <m:rPr>
                  <m:sty m:val="p"/>
                </m:rPr>
                <m:t>⋅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и смещение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]</m:t>
        </m:r>
        <m:r>
          <m:rPr>
            <m:sty m:val="p"/>
          </m:rPr>
          <m:t>|</m:t>
        </m:r>
        <m:r>
          <m:rPr>
            <m:sty m:val="p"/>
          </m:rPr>
          <m:t>≤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</m:oMath>
      <w:r>
        <w:rPr>
          <w:i/>
          <w:iCs/>
        </w:rPr>
        <w:t xml:space="preserve">, где</w:t>
      </w:r>
      <w:r>
        <w:rPr>
          <w:i/>
          <w:iCs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i/>
          <w:iCs/>
        </w:rPr>
        <w:t xml:space="preserve">. Доказательство: неравенство Маркова на хвосте. ∎</w:t>
      </w:r>
    </w:p>
    <w:p>
      <w:pPr>
        <w:pStyle w:val="BodyText"/>
      </w:pPr>
      <w:r>
        <w:rPr>
          <w:b/>
          <w:bCs/>
        </w:rPr>
        <w:t xml:space="preserve">Лемма 3</w:t>
      </w:r>
      <w:r>
        <w:t xml:space="preserve"> </w:t>
      </w:r>
      <w:r>
        <w:t xml:space="preserve">(consensus error в стиле Колосковой).</w:t>
      </w:r>
      <w:r>
        <w:t xml:space="preserve"> </w:t>
      </w:r>
      <w:r>
        <w:rPr>
          <w:i/>
          <w:iCs/>
        </w:rPr>
        <w:t xml:space="preserve">Для D-MeZO-N с mixing-матрицей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 моментом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Sup>
            <m:e>
              <m:r>
                <m:t>θ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η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Доказательство: геометрическая прогрессия для степеней mixing-матрицы (Koloskova 2020 Лемма 3) в комбинации с Леммой 2 на per-round update magnitude. ∎</w:t>
      </w:r>
    </w:p>
    <w:p>
      <w:pPr>
        <w:pStyle w:val="BodyText"/>
      </w:pPr>
      <w:r>
        <w:rPr>
          <w:b/>
          <w:bCs/>
        </w:rPr>
        <w:t xml:space="preserve">Лемма 5</w:t>
      </w:r>
      <w:r>
        <w:t xml:space="preserve"> </w:t>
      </w:r>
      <w:r>
        <w:t xml:space="preserve">(PL descent с предвзятым SGD; Karimi-Nutini-Schmidt 2016).</w:t>
      </w:r>
      <w:r>
        <w:t xml:space="preserve"> </w:t>
      </w:r>
      <w:r>
        <w:rPr>
          <w:i/>
          <w:iCs/>
        </w:rPr>
        <w:t xml:space="preserve">В условиях (A1)+(A2)+(C2)+(C3) для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bookmarkEnd w:id="21"/>
    <w:bookmarkStart w:id="22" w:name="теорема-1-выпуклый-случай-с-моментом"/>
    <w:p>
      <w:pPr>
        <w:pStyle w:val="Heading2"/>
      </w:pPr>
      <w:r>
        <w:t xml:space="preserve">4.3 Теорема 1 — выпуклый случай с моментом</w:t>
      </w:r>
    </w:p>
    <w:p>
      <w:pPr>
        <w:pStyle w:val="FirstParagraph"/>
      </w:pPr>
      <w:r>
        <w:rPr>
          <w:b/>
          <w:bCs/>
        </w:rPr>
        <w:t xml:space="preserve">Теорема 1</w:t>
      </w:r>
      <w:r>
        <w:t xml:space="preserve"> </w:t>
      </w:r>
      <w:r>
        <w:t xml:space="preserve">(сходимость D-MeZO-N, выпуклый случай).</w:t>
      </w:r>
      <w:r>
        <w:t xml:space="preserve"> </w:t>
      </w:r>
      <w:r>
        <w:rPr>
          <w:i/>
          <w:iCs/>
        </w:rPr>
        <w:t xml:space="preserve">Предположим (A1)–(C5) с выпуклыми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. При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L</m:t>
        </m:r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(линейный спад от</w:t>
      </w:r>
      <w:r>
        <w:rPr>
          <w:i/>
          <w:iCs/>
        </w:rPr>
        <w:t xml:space="preserve"> </w:t>
      </w:r>
      <m:oMath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до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m:oMath>
        <m:r>
          <m:t>ϵ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t>L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≥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ϵ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итерация D-MeZO-N удовлетворяет: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r>
                        <m:t>T</m:t>
                      </m:r>
                    </m:den>
                  </m:f>
                </m:e>
              </m:rad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Три слагаемых: стохастическое linear-speedup, consensus penalty, ZO-bias.</w:t>
      </w:r>
    </w:p>
    <w:p>
      <w:pPr>
        <w:pStyle w:val="BodyText"/>
      </w:pPr>
      <w:r>
        <w:rPr>
          <w:b/>
          <w:bCs/>
        </w:rPr>
        <w:t xml:space="preserve">Эскиз доказательства.</w:t>
      </w:r>
      <w:r>
        <w:t xml:space="preserve"> </w:t>
      </w:r>
      <w:r>
        <w:t xml:space="preserve">Применяем</w:t>
      </w:r>
      <w:r>
        <w:t xml:space="preserve"> </w:t>
      </w:r>
      <m:oMath>
        <m:r>
          <m:t>L</m:t>
        </m:r>
      </m:oMath>
      <w:r>
        <w:t xml:space="preserve">-гладкость к</w:t>
      </w:r>
      <w:r>
        <w:t xml:space="preserve"> </w:t>
      </w:r>
      <m:oMath>
        <m:r>
          <m:rPr>
            <m:sty m:val="p"/>
          </m:rPr>
          <m:t>∥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через Лемму 1 (после подстановки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по Malladi), Лемму 2 для ограничения дисперсии клипованных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, и Лемму 3 для ограничения отклонения клиентов от consensus-среднего. Определяем функцию Ляпунова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L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c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и телескопируем её ожидаемое убывание по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указанный выбор</w:t>
      </w:r>
      <w:r>
        <w:t xml:space="preserve"> </w:t>
      </w:r>
      <m:oMath>
        <m:r>
          <m:t>η</m:t>
        </m:r>
        <m:r>
          <m:rPr>
            <m:sty m:val="p"/>
          </m:rPr>
          <m:t>,</m:t>
        </m:r>
        <m:r>
          <m:t>ϵ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оптимизирует оценку с точностью до логарифмических факторов. ∎</w:t>
      </w:r>
    </w:p>
    <w:bookmarkEnd w:id="22"/>
    <w:bookmarkStart w:id="23" w:name="X65e3073ef9cc94a987d3a67ab6c827c145780a3"/>
    <w:p>
      <w:pPr>
        <w:pStyle w:val="Heading2"/>
      </w:pPr>
      <w:r>
        <w:t xml:space="preserve">4.4 Теорема 2 — невыпуклый PL случай (без момента)</w:t>
      </w:r>
    </w:p>
    <w:p>
      <w:pPr>
        <w:pStyle w:val="FirstParagraph"/>
      </w:pPr>
      <w:r>
        <w:rPr>
          <w:b/>
          <w:bCs/>
        </w:rPr>
        <w:t xml:space="preserve">Теорема 2</w:t>
      </w:r>
      <w:r>
        <w:t xml:space="preserve"> </w:t>
      </w:r>
      <w:r>
        <w:t xml:space="preserve">(сходимость D-MeZO, невыпуклый PL,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rPr>
          <w:i/>
          <w:iCs/>
        </w:rPr>
        <w:t xml:space="preserve">Предположим (A1)+(A2/PL)+(C2)+(C3)+(C5). При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μ</m:t>
        </m:r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ϵ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≥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ϵ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итерация удовлетворяет: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sSub>
            <m:e>
              <m:r>
                <m:rPr>
                  <m:sty m:val="p"/>
                </m:rP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η</m:t>
                  </m:r>
                  <m:r>
                    <m:t>L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t>n</m:t>
                  </m:r>
                </m:den>
              </m:f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μ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Линейная сходимость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к четырёхчленному шумовому floor.</w:t>
      </w:r>
    </w:p>
    <w:p>
      <w:pPr>
        <w:pStyle w:val="BodyText"/>
      </w:pPr>
      <w:r>
        <w:rPr>
          <w:b/>
          <w:bCs/>
        </w:rPr>
        <w:t xml:space="preserve">Эскиз доказательства.</w:t>
      </w:r>
      <w:r>
        <w:t xml:space="preserve"> </w:t>
      </w:r>
      <w:r>
        <w:t xml:space="preserve">Применяем Лемму 5 (PL descent с предвзятым SGD) к виртуальной усреднённой последовательности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. По Леммам 1+2 ограничиваем смещение и дисперсию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(после federated-усреднения дисперсия уменьшается в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раз — фактор linear speedup), и по Лемме 3 поглощаем consensus drift в смещение. Телескопируем рекурсию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и получаем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η</m:t>
        </m:r>
        <m:r>
          <m:t>μ</m:t>
        </m:r>
        <m:r>
          <m:rPr>
            <m:sty m:val="p"/>
          </m:rPr>
          <m:t>)</m:t>
        </m:r>
      </m:oMath>
      <w:r>
        <w:t xml:space="preserve">. ∎</w:t>
      </w:r>
    </w:p>
    <w:p>
      <w:pPr>
        <w:pStyle w:val="BodyText"/>
      </w:pPr>
      <w:r>
        <w:t xml:space="preserve">Теорема 2 строго покрывает поведение нашего рекомендованного варианта D-MeZO-N (R1d) на поздней стадии, где</w:t>
      </w:r>
      <w:r>
        <w:t xml:space="preserve"> </w:t>
      </w:r>
      <m:oMath>
        <m:r>
          <m:t>β</m:t>
        </m:r>
      </m:oMath>
      <w:r>
        <w:t xml:space="preserve">-расписание затухло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— см. §5.4 для эмпирического соответствия.</w:t>
      </w:r>
    </w:p>
    <w:bookmarkEnd w:id="23"/>
    <w:bookmarkStart w:id="24" w:name="предсказания-vs.-эмпирика"/>
    <w:p>
      <w:pPr>
        <w:pStyle w:val="Heading2"/>
      </w:pPr>
      <w:r>
        <w:t xml:space="preserve">4.5 Предсказания vs. эмпирика</w:t>
      </w:r>
    </w:p>
    <w:p>
      <w:pPr>
        <w:pStyle w:val="FirstParagraph"/>
      </w:pPr>
      <w:r>
        <w:t xml:space="preserve">Две теоремы дают восемь количественно проверяемых предсказаний; соответствия сведены в Таблицу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Предсказание</w:t>
            </w:r>
          </w:p>
        </w:tc>
        <w:tc>
          <w:tcPr/>
          <w:p>
            <w:pPr>
              <w:pStyle w:val="Compact"/>
            </w:pPr>
            <w:r>
              <w:t xml:space="preserve">Теория</w:t>
            </w:r>
          </w:p>
        </w:tc>
        <w:tc>
          <w:tcPr/>
          <w:p>
            <w:pPr>
              <w:pStyle w:val="Compact"/>
            </w:pPr>
            <w:r>
              <w:t xml:space="preserve">Эмпирика</w:t>
            </w:r>
          </w:p>
        </w:tc>
        <w:tc>
          <w:tcPr/>
          <w:p>
            <w:pPr>
              <w:pStyle w:val="Compact"/>
            </w:pPr>
            <w:r>
              <w:t xml:space="preserve">Совпадение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Federated speedup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Стохастическое слагаемое T1+T2</w:t>
            </w:r>
          </w:p>
        </w:tc>
        <w:tc>
          <w:tcPr/>
          <w:p>
            <w:pPr>
              <w:pStyle w:val="Compact"/>
            </w:pPr>
            <w:r>
              <w:t xml:space="preserve">Centralized 0.176 → fed 0.130, ratio 0.74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t xml:space="preserve">без clip расходится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=5.3× неогр.</w:t>
            </w:r>
          </w:p>
        </w:tc>
        <w:tc>
          <w:tcPr/>
          <w:p>
            <w:pPr>
              <w:pStyle w:val="Compact"/>
            </w:pPr>
            <w:r>
              <w:t xml:space="preserve">Blow-up на R140 (loss 4.1 → 16+)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Look-ahead удваивает noise channels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 </w:t>
            </w:r>
            <w:r>
              <w:t xml:space="preserve">и в probe location, и в update</w:t>
            </w:r>
          </w:p>
        </w:tc>
        <w:tc>
          <w:tcPr/>
          <w:p>
            <w:pPr>
              <w:pStyle w:val="Compact"/>
            </w:pPr>
            <w:r>
              <w:t xml:space="preserve">Look-ahead NaN на R20 (в 7× быстрее)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-clip + const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→ late drift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Bounded velocity, biased accumulation</w:t>
            </w:r>
          </w:p>
        </w:tc>
        <w:tc>
          <w:tcPr/>
          <w:p>
            <w:pPr>
              <w:pStyle w:val="Compact"/>
            </w:pPr>
            <w:r>
              <w:t xml:space="preserve">R1b: 0.119 @ R300 → 0.225 @ R1000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-decay убирает drift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 </w:t>
            </w:r>
            <w:r>
              <w:t xml:space="preserve">при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R1d монотонное убывание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Линейная сходимость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(T2)</w:t>
            </w:r>
          </w:p>
        </w:tc>
        <w:tc>
          <w:tcPr/>
          <w:p>
            <w:pPr>
              <w:pStyle w:val="Compact"/>
            </w:pPr>
            <w:r>
              <w:t xml:space="preserve">Геом. спад к noise floor</w:t>
            </w:r>
          </w:p>
        </w:tc>
        <w:tc>
          <w:tcPr/>
          <w:p>
            <w:pPr>
              <w:pStyle w:val="Compact"/>
            </w:pPr>
            <w:r>
              <w:t xml:space="preserve">Ring+IID: 3.56 → 0.126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Consensus penalty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Зануляется для complete (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ring (≤7% разница)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ZO bias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Старший порядок по возмущению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→ bias-член &lt;0.01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24"/>
    <w:bookmarkEnd w:id="25"/>
    <w:bookmarkStart w:id="43" w:name="эксперименты"/>
    <w:p>
      <w:pPr>
        <w:pStyle w:val="Heading1"/>
      </w:pPr>
      <w:r>
        <w:t xml:space="preserve">5. Эксперименты</w:t>
      </w:r>
    </w:p>
    <w:bookmarkStart w:id="26" w:name="постановка-1"/>
    <w:p>
      <w:pPr>
        <w:pStyle w:val="Heading2"/>
      </w:pPr>
      <w:r>
        <w:t xml:space="preserve">5.1 Постановка</w:t>
      </w:r>
    </w:p>
    <w:p>
      <w:pPr>
        <w:pStyle w:val="FirstParagraph"/>
      </w:pPr>
      <w:r>
        <w:rPr>
          <w:b/>
          <w:bCs/>
        </w:rPr>
        <w:t xml:space="preserve">Hardware.</w:t>
      </w:r>
      <w:r>
        <w:t xml:space="preserve"> </w:t>
      </w:r>
      <w:r>
        <w:t xml:space="preserve">Google Colab Pro+ с RTX PRO 6000 Blackwell (96 GB). Всё обучение в bfloat16. Каждый федеративный run на 1000 раундов занимает ~37 мин wall-clock.</w:t>
      </w:r>
    </w:p>
    <w:p>
      <w:pPr>
        <w:pStyle w:val="BodyText"/>
      </w:pPr>
      <w:r>
        <w:rPr>
          <w:b/>
          <w:bCs/>
        </w:rPr>
        <w:t xml:space="preserve">Модели.</w:t>
      </w:r>
      <w:r>
        <w:t xml:space="preserve"> </w:t>
      </w:r>
      <w:r>
        <w:t xml:space="preserve">Qwen3-4B (стандартный трансформер с full attention; ~8 GB FP16) для Day 4 baseline; Qwen3.5-4B-Base (гибридная linear/full-attention V-L модель; 24-слойный ViT заморожен через loader модели, MeZO возмущает только 426 trainable групп параметров text decoder) для всех последующих экспериментов.</w:t>
      </w:r>
    </w:p>
    <w:p>
      <w:pPr>
        <w:pStyle w:val="BodyText"/>
      </w:pPr>
      <w:r>
        <w:rPr>
          <w:b/>
          <w:bCs/>
        </w:rPr>
        <w:t xml:space="preserve">Задачи.</w:t>
      </w:r>
      <w:r>
        <w:t xml:space="preserve"> </w:t>
      </w:r>
      <w:r>
        <w:t xml:space="preserve">GLUE / SST-2 (бинарная сентимент-классификация, prompt-completion framing по Malladi 2023) — основная задача. SuperGLUE / BoolQ (yes/no QA, длинный контекст) — cross-task sanity для гибридной архитектуры.</w:t>
      </w:r>
    </w:p>
    <w:p>
      <w:pPr>
        <w:pStyle w:val="BodyText"/>
      </w:pPr>
      <w:r>
        <w:rPr>
          <w:b/>
          <w:bCs/>
        </w:rPr>
        <w:t xml:space="preserve">Канонические гиперпараметры.</w:t>
      </w:r>
      <w:r>
        <w:t xml:space="preserve"> </w:t>
      </w:r>
      <w:r>
        <w:t xml:space="preserve">Подобраны через LR ablation на Day 1: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weight_decay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, batch_size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</m:oMath>
      <w:r>
        <w:t xml:space="preserve">, max_length</w:t>
      </w:r>
      <w:r>
        <w:t xml:space="preserve"> </w:t>
      </w:r>
      <m:oMath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(SST-2) /</w:t>
      </w:r>
      <w:r>
        <w:t xml:space="preserve"> </w:t>
      </w:r>
      <m:oMath>
        <m:r>
          <m:t>512</m:t>
        </m:r>
      </m:oMath>
      <w:r>
        <w:t xml:space="preserve"> </w:t>
      </w:r>
      <w:r>
        <w:t xml:space="preserve">(BoolQ). Consensus mode: weight_avg (дважды-стохастический по Koloskova). Число клиентов: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 Train pool: 2000 примеров, разбитых по клиентам. Eval pool: 200 примеров (отдельный split). Seeds: 42 и 43.</w:t>
      </w:r>
    </w:p>
    <w:bookmarkEnd w:id="26"/>
    <w:bookmarkStart w:id="33" w:name="федеративная-сетка-multi-seed"/>
    <w:p>
      <w:pPr>
        <w:pStyle w:val="Heading2"/>
      </w:pPr>
      <w:r>
        <w:t xml:space="preserve">5.2 Федеративная сетка (multi-seed)</w:t>
      </w:r>
    </w:p>
    <w:p>
      <w:pPr>
        <w:pStyle w:val="FirstParagraph"/>
      </w:pPr>
      <w:r>
        <w:t xml:space="preserve">Оцениваем D-MeZO без момента на сетке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топологии (complete, ring) × распределения (IID, Dirichlet(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)), с обоими seed-ами 42 и 43. Реализации Dirichlet существенно различаются между seed-ами (s42: размеры клиентов {340, 1488, 167, 5}; s43: {1322, 195, 388, 95}), поэтому multi-seed variance включает как алгоритмическую стохастику, так и шум реализации распределения.</w:t>
      </w:r>
    </w:p>
    <w:p>
      <w:pPr>
        <w:pStyle w:val="CaptionedFigure"/>
      </w:pPr>
      <w:r>
        <w:drawing>
          <wp:inline>
            <wp:extent cx="5334000" cy="3812070"/>
            <wp:effectExtent b="0" l="0" r="0" t="0"/>
            <wp:docPr descr="Рисунок 1. Per-cell trajectories Day-5 федеративной сетки на Qwen3.5-4B-Base / SST-2. Каждая панель показывает два seed-а (42 синим, 43 красным); пунктирная серая линия — централизованный baseline Qwen3.5. Все федеративные конфигурации стабильно опускаются ниже централизованного baseline." title="" id="28" name="Picture"/>
            <a:graphic>
              <a:graphicData uri="http://schemas.openxmlformats.org/drawingml/2006/picture">
                <pic:pic>
                  <pic:nvPicPr>
                    <pic:cNvPr descr="figures/fig1_day5_gri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Per-cell trajectories Day-5 федеративной сетки на Qwen3.5-4B-Base / SST-2. Каждая панель показывает два seed-а (42 синим, 43 красным); пунктирная серая линия — централизованный baseline Qwen3.5. Все федеративные конфигурации стабильно опускаются ниже централизованного baseline.</w:t>
      </w:r>
    </w:p>
    <w:p>
      <w:pPr>
        <w:pStyle w:val="BodyText"/>
      </w:pPr>
      <w:r>
        <w:t xml:space="preserve">Среднее по seed-ам с half-range в роли консервативной error bar сведено в Таблицу 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Final eval (среднее ± range/2)</w:t>
            </w:r>
          </w:p>
        </w:tc>
        <w:tc>
          <w:tcPr/>
          <w:p>
            <w:pPr>
              <w:pStyle w:val="Compact"/>
            </w:pPr>
            <w:r>
              <w:t xml:space="preserve">Accuracy (среднее, %)</w:t>
            </w:r>
          </w:p>
        </w:tc>
        <w:tc>
          <w:tcPr/>
          <w:p>
            <w:pPr>
              <w:pStyle w:val="Compact"/>
            </w:pPr>
            <w:r>
              <w:t xml:space="preserve">vs. centralized 0.1762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IID</w:t>
            </w:r>
          </w:p>
        </w:tc>
        <w:tc>
          <w:tcPr/>
          <w:p>
            <w:pPr>
              <w:pStyle w:val="Compact"/>
            </w:pPr>
            <w:r>
              <w:t xml:space="preserve">0.1348 ± 0.0051</w:t>
            </w:r>
          </w:p>
        </w:tc>
        <w:tc>
          <w:tcPr/>
          <w:p>
            <w:pPr>
              <w:pStyle w:val="Compact"/>
            </w:pPr>
            <w:r>
              <w:t xml:space="preserve">96.56%</w:t>
            </w:r>
          </w:p>
        </w:tc>
        <w:tc>
          <w:tcPr/>
          <w:p>
            <w:pPr>
              <w:pStyle w:val="Compact"/>
            </w:pPr>
            <w:r>
              <w:t xml:space="preserve">−23.5%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0.1507 ± 0.0089</w:t>
            </w:r>
          </w:p>
        </w:tc>
        <w:tc>
          <w:tcPr/>
          <w:p>
            <w:pPr>
              <w:pStyle w:val="Compact"/>
            </w:pPr>
            <w:r>
              <w:t xml:space="preserve">95.00%</w:t>
            </w:r>
          </w:p>
        </w:tc>
        <w:tc>
          <w:tcPr/>
          <w:p>
            <w:pPr>
              <w:pStyle w:val="Compact"/>
            </w:pPr>
            <w:r>
              <w:t xml:space="preserve">−14.5%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IID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0.1271 ± 0.0014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97.81%</w:t>
            </w:r>
            <w:r>
              <w:t xml:space="preserve"> </w:t>
            </w:r>
            <w:r>
              <w:t xml:space="preserve">★ best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0.1402 ± 0.0029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−20.4%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(reference)</w:t>
            </w:r>
          </w:p>
        </w:tc>
        <w:tc>
          <w:tcPr/>
          <w:p>
            <w:pPr>
              <w:pStyle w:val="Compact"/>
            </w:pPr>
            <w:r>
              <w:t xml:space="preserve">0.1762 (n=1)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R1d</w:t>
            </w:r>
            <w:r>
              <w:t xml:space="preserve"> </w:t>
            </w:r>
            <w:r>
              <w:t xml:space="preserve">(D-MeZO-N) на worst cell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0.1291</w:t>
            </w:r>
            <w:r>
              <w:t xml:space="preserve"> </w:t>
            </w:r>
            <w:r>
              <w:t xml:space="preserve">(single seed)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−26.7%</w:t>
            </w:r>
          </w:p>
        </w:tc>
      </w:tr>
    </w:tbl>
    <w:p>
      <w:pPr>
        <w:pStyle w:val="CaptionedFigure"/>
      </w:pPr>
      <w:r>
        <w:drawing>
          <wp:inline>
            <wp:extent cx="5334000" cy="2253505"/>
            <wp:effectExtent b="0" l="0" r="0" t="0"/>
            <wp:docPr descr="Рисунок 3. (a) Final eval loss каждой федеративной конфигурации (среднее ± range по 2 seed-ам) против централизованного MeZO baseline. Все четыре федеративные конфиги улучшают централизованный reference, с ring + IID — наибольший разрыв (−27.9%). (b) Сравнение финальной accuracy; все конфигурации кучкуются в пределах 3 п.п., наивысшее среднее у ring + IID (97.8%)." title="" id="31" name="Picture"/>
            <a:graphic>
              <a:graphicData uri="http://schemas.openxmlformats.org/drawingml/2006/picture">
                <pic:pic>
                  <pic:nvPicPr>
                    <pic:cNvPr descr="figures/fig3_federated_vs_centraliz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(a) Final eval loss каждой федеративной конфигурации (среднее ± range по 2 seed-ам) против централизованного MeZO baseline. Все четыре федеративные конфиги улучшают централизованный reference, с ring + IID — наибольший разрыв (−27.9%). (b) Сравнение финальной accuracy; все конфигурации кучкуются в пределах 3 п.п., наивысшее среднее у ring + IID (97.8%).</w:t>
      </w:r>
    </w:p>
    <w:bookmarkEnd w:id="33"/>
    <w:bookmarkStart w:id="34" w:name="X82fee670d2efb9beb6a2d771a91481bd3cb3ad1"/>
    <w:p>
      <w:pPr>
        <w:pStyle w:val="Heading2"/>
      </w:pPr>
      <w:r>
        <w:t xml:space="preserve">5.3 Почему federated превосходит centralized? (механизм P1)</w:t>
      </w:r>
    </w:p>
    <w:p>
      <w:pPr>
        <w:pStyle w:val="FirstParagraph"/>
      </w:pPr>
      <w:r>
        <w:t xml:space="preserve">Эмпирическое соотношение</w:t>
      </w:r>
      <w:r>
        <w:t xml:space="preserve"> </w:t>
      </w:r>
      <m:oMath>
        <m:r>
          <m:t>0.1271</m:t>
        </m:r>
        <m:r>
          <m:rPr>
            <m:sty m:val="p"/>
          </m:rPr>
          <m:t>/</m:t>
        </m:r>
        <m:r>
          <m:t>0.1762</m:t>
        </m:r>
        <m:r>
          <m:rPr>
            <m:sty m:val="p"/>
          </m:rPr>
          <m:t>=</m:t>
        </m:r>
        <m:r>
          <m:t>0.722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 </w:t>
      </w:r>
      <w:r>
        <w:t xml:space="preserve">соответствует стохастическому члену Теоремы 1 —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t>T</m:t>
            </m:r>
          </m:e>
        </m:rad>
      </m:oMath>
      <w:r>
        <w:t xml:space="preserve">. Механизм: когда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 независимо делают MeZO-замер своим собственным seed-ом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направлением</w:t>
      </w:r>
      <w:r>
        <w:t xml:space="preserve"> </w:t>
      </w:r>
      <m:oMath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consensus-усреднение даёт несмещённое среднее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независимых unit-direction замеров. Стандартный анализ variance reduction (дисперсия</w:t>
      </w:r>
      <w:r>
        <w:t xml:space="preserve"> </w:t>
      </w:r>
      <m:oMath>
        <m:r>
          <m:rPr>
            <m:sty m:val="p"/>
          </m:rPr>
          <m:t>÷</m:t>
        </m:r>
        <m:r>
          <m:t>n</m:t>
        </m:r>
      </m:oMath>
      <w:r>
        <w:t xml:space="preserve">) показывает, что weight_avg consensus фактически делает параллельное multi-direction MeZO при том же бюджете forward-passes, что и централизованный single-direction MeZO. Это количественно предсказанная «бесплатная выгода» для федеративного обучения в ZO-режиме — обратная обычной FL-формулировке, где федеративный setup воспринимается как cost-paying.</w:t>
      </w:r>
    </w:p>
    <w:bookmarkEnd w:id="34"/>
    <w:bookmarkStart w:id="41" w:name="X417634f2fdedf7d52825259bd4a123357de8e16"/>
    <w:p>
      <w:pPr>
        <w:pStyle w:val="Heading2"/>
      </w:pPr>
      <w:r>
        <w:t xml:space="preserve">5.4 Nesterov ablation: фазовая диаграмма на worst cell</w:t>
      </w:r>
    </w:p>
    <w:p>
      <w:pPr>
        <w:pStyle w:val="FirstParagraph"/>
      </w:pPr>
      <w:r>
        <w:t xml:space="preserve">Изолируем worst Day-5 ячейку (ring + Dir(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)) и прогоняем серию вариантов момента при seed=42 для bit-exact ablation.</w:t>
      </w:r>
    </w:p>
    <w:p>
      <w:pPr>
        <w:pStyle w:val="CaptionedFigure"/>
      </w:pPr>
      <w:r>
        <w:drawing>
          <wp:inline>
            <wp:extent cx="5334000" cy="3225349"/>
            <wp:effectExtent b="0" l="0" r="0" t="0"/>
            <wp:docPr descr="Рисунок 2. Фазовая диаграмма вариантов Nesterov-MeZO на самой сложной федеративной ячейке. \beta=0.9 без clip (фиолетовый) расходится на раунде R140 из-за noise-amplified velocity; loose clipping при C=200 (оранжевый) предотвращает мгновенный blow-up, но медленно расходится к R500; tight clipping при C=50 с постоянным \beta=0.9 (R1b, красный) даёт 3× early speedup, но momentum overshoot вызывает late drift после R300; рекомендованный linear \beta-decay 0.9 \to 0 с C=50 (R1d, зелёный) даёт монотонное убывание на всём горизонте." title="" id="36" name="Picture"/>
            <a:graphic>
              <a:graphicData uri="http://schemas.openxmlformats.org/drawingml/2006/picture">
                <pic:pic>
                  <pic:nvPicPr>
                    <pic:cNvPr descr="figures/fig2_nesterov_phase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Фазовая диаграмма вариантов Nesterov-MeZO на самой сложной федеративной ячейке.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без clip (фиолетовый) расходится на раунде R140 из-за noise-amplified velocity; loose 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(оранжевый) предотвращает мгновенный blow-up, но медленно расходится к R500; tight 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с постоянным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(R1b, красный) даёт 3× early speedup, но momentum overshoot вызывает late drift после R300; рекомендованный linear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с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(R1d, зелёный) даёт монотонное убывание на всём горизонте.</w:t>
      </w:r>
    </w:p>
    <w:p>
      <w:pPr>
        <w:pStyle w:val="BodyText"/>
      </w:pPr>
      <w:r>
        <w:t xml:space="preserve">Фазовая диаграмма содержит четыре чётко разделённых региона, каждый количественно предсказанный Теоремой 1 (через variance amplifier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A</w:t>
      </w:r>
      <w:r>
        <w:t xml:space="preserve"> </w:t>
      </w:r>
      <w:r>
        <w:t xml:space="preserve">(без clip, высокий</w:t>
      </w:r>
      <w:r>
        <w:t xml:space="preserve"> </w:t>
      </w:r>
      <m:oMath>
        <m:r>
          <m:t>β</m:t>
        </m:r>
      </m:oMath>
      <w:r>
        <w:t xml:space="preserve">): катастрофический blow-up на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140</m:t>
        </m:r>
      </m:oMath>
      <w:r>
        <w:t xml:space="preserve">. Variance amplifier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</m:oMath>
      <w:r>
        <w:t xml:space="preserve"> </w:t>
      </w:r>
      <w:r>
        <w:t xml:space="preserve">ZO-variance неограничен.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B</w:t>
      </w:r>
      <w:r>
        <w:t xml:space="preserve"> </w:t>
      </w:r>
      <w:r>
        <w:t xml:space="preserve">(loose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200</m:t>
        </m:r>
      </m:oMath>
      <w:r>
        <w:t xml:space="preserve">, высокий</w:t>
      </w:r>
      <w:r>
        <w:t xml:space="preserve"> </w:t>
      </w:r>
      <m:oMath>
        <m:r>
          <m:t>β</m:t>
        </m:r>
      </m:oMath>
      <w:r>
        <w:t xml:space="preserve">): ограниченные выбросы, но velocity buffer накапливает sub-clip шум; trajectory slow-diverges к R500.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C</w:t>
      </w:r>
      <w:r>
        <w:t xml:space="preserve"> </w:t>
      </w:r>
      <w:r>
        <w:t xml:space="preserve">(tight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 постоянный</w:t>
      </w:r>
      <w:r>
        <w:t xml:space="preserve"> </w:t>
      </w:r>
      <m:oMath>
        <m:r>
          <m:t>β</m:t>
        </m:r>
      </m:oMath>
      <w:r>
        <w:t xml:space="preserve">): velocity ограничен; early-stage 3× speedup; late-stage momentum overshoot создаёт</w:t>
      </w:r>
      <w:r>
        <w:t xml:space="preserve"> </w:t>
      </w:r>
      <m:oMath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drift после R300.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D</w:t>
      </w:r>
      <w:r>
        <w:t xml:space="preserve"> </w:t>
      </w:r>
      <w:r>
        <w:t xml:space="preserve">(tight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): velocity ограничен И amplifier</w:t>
      </w:r>
      <w:r>
        <w:t xml:space="preserve"> </w:t>
      </w:r>
      <m:oMath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</m:oMath>
      <w:r>
        <w:t xml:space="preserve">; монотонное убывание; final 0.1291 превосходит control 0.1373 на 6.0%.</w:t>
      </w:r>
    </w:p>
    <w:p>
      <w:pPr>
        <w:pStyle w:val="CaptionedFigure"/>
      </w:pPr>
      <w:r>
        <w:drawing>
          <wp:inline>
            <wp:extent cx="5334000" cy="2930170"/>
            <wp:effectExtent b="0" l="0" r="0" t="0"/>
            <wp:docPr descr="Рисунок 4. Детальная траектория D-MeZO-N (R1d) против no-Nesterov control на worst cell. Eval loss на левой оси (log scale); \beta-расписание \beta(t) = 0.9 \cdot (1 - t/T) наложено красным на правой оси. Траектория R1d строго монотонно убывает в каждой контрольной точке, заканчиваясь на 0.1291 против control 0.1373." title="" id="39" name="Picture"/>
            <a:graphic>
              <a:graphicData uri="http://schemas.openxmlformats.org/drawingml/2006/picture">
                <pic:pic>
                  <pic:nvPicPr>
                    <pic:cNvPr descr="figures/fig4_r1d_detail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Детальная траектория D-MeZO-N (R1d) против no-Nesterov control на worst cell. Eval loss на левой оси (log scale);</w:t>
      </w:r>
      <w:r>
        <w:t xml:space="preserve"> </w:t>
      </w:r>
      <m:oMath>
        <m:r>
          <m:t>β</m:t>
        </m:r>
      </m:oMath>
      <w:r>
        <w:t xml:space="preserve">-расписание</w:t>
      </w:r>
      <w:r>
        <w:t xml:space="preserve"> </w:t>
      </w:r>
      <m:oMath>
        <m:r>
          <m:t>β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наложено красным на правой оси. Траектория R1d строго монотонно убывает в каждой контрольной точке, заканчиваясь на 0.1291 против control 0.1373.</w:t>
      </w:r>
    </w:p>
    <w:bookmarkEnd w:id="41"/>
    <w:bookmarkStart w:id="42" w:name="воспроизводимость"/>
    <w:p>
      <w:pPr>
        <w:pStyle w:val="Heading2"/>
      </w:pPr>
      <w:r>
        <w:t xml:space="preserve">5.5 Воспроизводимость</w:t>
      </w:r>
    </w:p>
    <w:p>
      <w:pPr>
        <w:pStyle w:val="FirstParagraph"/>
      </w:pPr>
      <w:r>
        <w:t xml:space="preserve">Все эксперименты воспроизводимы из публичного репозитория. Репо содержит: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Код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src/dmezo/</w:t>
      </w:r>
      <w:r>
        <w:t xml:space="preserve"> </w:t>
      </w:r>
      <w:r>
        <w:t xml:space="preserve">(~2.5K LOC) с MeZO-примитивами, federated simulator, partition utilities, вариантами Нестерова с</w:t>
      </w:r>
      <w:r>
        <w:t xml:space="preserve"> </w:t>
      </w:r>
      <m:oMath>
        <m:r>
          <m:t>ρ</m:t>
        </m:r>
      </m:oMath>
      <w:r>
        <w:t xml:space="preserve">-clipping и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Тесты</w:t>
      </w:r>
      <w:r>
        <w:t xml:space="preserve">: 75/75 pytest проходят. Покрытие: детерминизм возмущения, свойства mixing-матрицы, корректность simulator consensus, статистика partition, classification accuracy,</w:t>
      </w:r>
      <w:r>
        <w:t xml:space="preserve"> </w:t>
      </w:r>
      <m:oMath>
        <m:r>
          <m:t>ρ</m:t>
        </m:r>
      </m:oMath>
      <w:r>
        <w:t xml:space="preserve">-clipping,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Конфиги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configs/*.yaml</w:t>
      </w:r>
      <w:r>
        <w:t xml:space="preserve"> </w:t>
      </w:r>
      <w:r>
        <w:t xml:space="preserve">— один на эксперимент, Hydra-loadable.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Notebooks</w:t>
      </w:r>
      <w:r>
        <w:t xml:space="preserve">:</w:t>
      </w:r>
      <w:r>
        <w:t xml:space="preserve"> </w:t>
      </w:r>
      <w:r>
        <w:rPr>
          <w:rStyle w:val="VerbatimChar"/>
        </w:rPr>
        <w:t xml:space="preserve">notebooks/run_finals.ipynb</w:t>
      </w:r>
      <w:r>
        <w:t xml:space="preserve"> </w:t>
      </w:r>
      <w:r>
        <w:t xml:space="preserve">— single-click воспроизведение полной multi-seed сетки + R1d + centralized baseline на Colab Pro+.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MLflow run IDs</w:t>
      </w:r>
      <w:r>
        <w:t xml:space="preserve"> </w:t>
      </w:r>
      <w:r>
        <w:t xml:space="preserve">(Drive-mirrored) для каждой числовой величины в Таблицах 1–2 и Рисунках 1–4.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Технотчёт</w:t>
      </w:r>
      <w:r>
        <w:t xml:space="preserve"> </w:t>
      </w:r>
      <w:r>
        <w:rPr>
          <w:rStyle w:val="VerbatimChar"/>
        </w:rPr>
        <w:t xml:space="preserve">docs/04-theory.md</w:t>
      </w:r>
      <w:r>
        <w:t xml:space="preserve"> </w:t>
      </w:r>
      <w:r>
        <w:t xml:space="preserve">с полными доказательствами Теорем 1 и 2 и roadmap к Теореме 3 (PL + момент).</w:t>
      </w:r>
    </w:p>
    <w:bookmarkEnd w:id="42"/>
    <w:bookmarkEnd w:id="43"/>
    <w:bookmarkStart w:id="47" w:name="обсуждение"/>
    <w:p>
      <w:pPr>
        <w:pStyle w:val="Heading1"/>
      </w:pPr>
      <w:r>
        <w:t xml:space="preserve">6. Обсуждение</w:t>
      </w:r>
    </w:p>
    <w:bookmarkStart w:id="44" w:name="почему-ring-complete-на-zo-режиме-c3"/>
    <w:p>
      <w:pPr>
        <w:pStyle w:val="Heading2"/>
      </w:pPr>
      <w:r>
        <w:t xml:space="preserve">6.1 Почему ring ≤ complete на ZO-режиме? (C3)</w:t>
      </w:r>
    </w:p>
    <w:p>
      <w:pPr>
        <w:pStyle w:val="FirstParagraph"/>
      </w:pPr>
      <w:r>
        <w:t xml:space="preserve">Контр-интуитивный результат: на обоих partition-режимах ring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0.333</m:t>
        </m:r>
      </m:oMath>
      <w:r>
        <w:t xml:space="preserve">) стабильно сравним или превосходит complete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В обычном first-order федеративном обучении complete должен доминировать, поскольку даёт точное per-round среднее. В ZO-режиме, однако, очень высокая per-step дисперсия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означает, что более медленное consensus-усреднение может играть роль неявного регуляризатора — каждый клиент интегрирует свой локальный шум за несколько раундов, прежде чем он распространится к соседям, сглаживая эффективную траекторию. Формальный анализ этого эффекта потребовал бы изучения спектральной концентрации распределения velocity-buffer под разными mixing-матрицами; это вынесено в future work.</w:t>
      </w:r>
    </w:p>
    <w:bookmarkEnd w:id="44"/>
    <w:bookmarkStart w:id="45" w:name="почему-наивный-нестеров-несовместим-с-zo"/>
    <w:p>
      <w:pPr>
        <w:pStyle w:val="Heading2"/>
      </w:pPr>
      <w:r>
        <w:t xml:space="preserve">6.2 Почему наивный Нестеров несовместим с ZO?</w:t>
      </w:r>
    </w:p>
    <w:p>
      <w:pPr>
        <w:pStyle w:val="FirstParagraph"/>
      </w:pPr>
      <w:r>
        <w:t xml:space="preserve">Двухканальная noise-структура look-ahead Нестерова (probe-location и update-direction оба зависят от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) компаундирует variance-amplification: look-ahead позиция</w:t>
      </w:r>
      <w:r>
        <w:t xml:space="preserve"> </w:t>
      </w:r>
      <m:oMath>
        <m:r>
          <m:t>θ</m:t>
        </m:r>
        <m:r>
          <m:rPr>
            <m:sty m:val="p"/>
          </m:rPr>
          <m:t>+</m:t>
        </m:r>
        <m:r>
          <m:t>β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сама по себе является зашумлённым сдвигом, и замер там даёт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-оценку с дисперсией, масштабирующейся как квадрат локального гессиана умноженный на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 При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look-ahead вариант расходится в 7× быстрее heavy-ball варианта (R20 vs. R140), что подтверждает dual-channel механизм. Мы гипотезируем, что variance-reduced ZO-оценки (multi-direction SPSA, усредняющие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направлений на шаг) могут восстановить хорошие свойства look-ahead Нестерова; проверка этого оставлена для follow-up работы.</w:t>
      </w:r>
    </w:p>
    <w:bookmarkEnd w:id="45"/>
    <w:bookmarkStart w:id="46" w:name="практический-рецепт"/>
    <w:p>
      <w:pPr>
        <w:pStyle w:val="Heading2"/>
      </w:pPr>
      <w:r>
        <w:t xml:space="preserve">6.3 Практический рецепт</w:t>
      </w:r>
    </w:p>
    <w:p>
      <w:pPr>
        <w:pStyle w:val="FirstParagraph"/>
      </w:pPr>
      <w:r>
        <w:t xml:space="preserve">На основе наших экспериментов рекомендуем следующий deployment-рецепт для D-MeZO-N (вариант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(default Princeton MeZO, скорректированный по нашему LR ablation).</w:t>
      </w:r>
    </w:p>
    <w:p>
      <w:pPr>
        <w:pStyle w:val="Compact"/>
        <w:numPr>
          <w:ilvl w:val="0"/>
          <w:numId w:val="1005"/>
        </w:numPr>
      </w:pP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(default Malladi 2023).</w:t>
      </w:r>
    </w:p>
    <w:p>
      <w:pPr>
        <w:pStyle w:val="Compact"/>
        <w:numPr>
          <w:ilvl w:val="0"/>
          <w:numId w:val="1005"/>
        </w:numPr>
      </w:pPr>
      <m:oMath>
        <m:r>
          <m:t>ρ</m:t>
        </m:r>
      </m:oMath>
      <w:r>
        <w:t xml:space="preserve">-clipping с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r>
          <m:rPr>
            <m:sty m:val="p"/>
          </m:rPr>
          <m:t>max</m:t>
        </m:r>
      </m:oMath>
      <w:r>
        <w:t xml:space="preserve"> </w:t>
      </w:r>
      <w:r>
        <w:t xml:space="preserve">наблюдённого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на первых 100 раундах. Для Qwen3-class моделей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сработал.</w:t>
      </w:r>
    </w:p>
    <w:p>
      <w:pPr>
        <w:pStyle w:val="Compact"/>
        <w:numPr>
          <w:ilvl w:val="0"/>
          <w:numId w:val="1005"/>
        </w:numPr>
      </w:pPr>
      <w:r>
        <w:t xml:space="preserve">Линейное</w:t>
      </w:r>
      <w:r>
        <w:t xml:space="preserve"> </w:t>
      </w:r>
      <m:oMath>
        <m:r>
          <m:t>β</m:t>
        </m:r>
      </m:oMath>
      <w:r>
        <w:t xml:space="preserve">-расписание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(или cosine, hold-then-decay).</w:t>
      </w:r>
    </w:p>
    <w:p>
      <w:pPr>
        <w:pStyle w:val="Compact"/>
        <w:numPr>
          <w:ilvl w:val="0"/>
          <w:numId w:val="1005"/>
        </w:numPr>
      </w:pPr>
      <w:r>
        <w:t xml:space="preserve">Дважды-стохастическая mixing-матрица</w:t>
      </w:r>
      <w:r>
        <w:t xml:space="preserve"> </w:t>
      </w:r>
      <m:oMath>
        <m:r>
          <m:t>W</m:t>
        </m:r>
      </m:oMath>
      <w:r>
        <w:t xml:space="preserve">. Кольцо или complete-топология дают близкие результаты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Multi-seed (</w:t>
      </w:r>
      <m:oMath>
        <m:r>
          <m:rPr>
            <m:sty m:val="p"/>
          </m:rPr>
          <m:t>≥</m:t>
        </m:r>
        <m:r>
          <m:t>3</m:t>
        </m:r>
      </m:oMath>
      <w:r>
        <w:t xml:space="preserve">) для paper-grade оценки дисперсии; мы использовали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из-за бюджетных ограничений.</w:t>
      </w:r>
    </w:p>
    <w:bookmarkEnd w:id="46"/>
    <w:bookmarkEnd w:id="47"/>
    <w:bookmarkStart w:id="48" w:name="ограничения-и-future-work"/>
    <w:p>
      <w:pPr>
        <w:pStyle w:val="Heading1"/>
      </w:pPr>
      <w:r>
        <w:t xml:space="preserve">7. Ограничения и future work</w:t>
      </w:r>
    </w:p>
    <w:p>
      <w:pPr>
        <w:pStyle w:val="FirstParagraph"/>
      </w:pPr>
      <w:r>
        <w:rPr>
          <w:b/>
          <w:bCs/>
        </w:rPr>
        <w:t xml:space="preserve">Эмпирические ограничения.</w:t>
      </w:r>
      <w:r>
        <w:t xml:space="preserve"> </w:t>
      </w:r>
      <w:r>
        <w:t xml:space="preserve">(а) Multi-seed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означает, что error bars даны как range, а не std;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достаточно для надёжного std. (б) R1d (рекомендованный вариант D-MeZO-N) был прогнан на одном seed-е; multi-seed расширение прямолинейно, но ограничено бюджетом. (в) Задачи ограничены short-form классификацией (SST-2, BoolQ); генеративные задачи (SAMSum, GSM8K) не исследованы. (г) Scale-up за пределы 4-клиентского / 4B-параметрового режима — реальные FL-деплои имеют 100+ клиентов и 8B+ модели; на этом масштабе мы не тестировали. (д) Нет head-to-head сравнения с FedKSeed / Ferret / FedZeN — эти интеграции — нетривиальная работа по коду и были вне scope.</w:t>
      </w:r>
    </w:p>
    <w:p>
      <w:pPr>
        <w:pStyle w:val="BodyText"/>
      </w:pPr>
      <w:r>
        <w:rPr>
          <w:b/>
          <w:bCs/>
        </w:rPr>
        <w:t xml:space="preserve">Теоретические ограничения.</w:t>
      </w:r>
      <w:r>
        <w:t xml:space="preserve"> </w:t>
      </w:r>
      <w:r>
        <w:t xml:space="preserve">Теорема 3 (полная невыпуклая PL + heavy-ball momentum + decentralized + ZO +</w:t>
      </w:r>
      <w:r>
        <w:t xml:space="preserve"> </w:t>
      </w:r>
      <m:oMath>
        <m:r>
          <m:t>ρ</m:t>
        </m:r>
      </m:oMath>
      <w:r>
        <w:t xml:space="preserve">-clipping) остаётся открытой. Необходимый аппарат существует в литературе — Yang-Zhao-Cheng 2016 для non-convex momentum Lyapunov, Koloskova 2020 Теорема 8 для decentralized PL, Aybat-Fallah et al. 2019 для оптимального</w:t>
      </w:r>
      <w:r>
        <w:t xml:space="preserve"> </w:t>
      </w:r>
      <m:oMath>
        <m:r>
          <m:t>β</m:t>
        </m:r>
      </m:oMath>
      <w:r>
        <w:t xml:space="preserve">-расписания под PL — но 4-сторонняя композиция с ZO и clipping нетривиальна. Мы предоставляем roadmap в</w:t>
      </w:r>
      <w:r>
        <w:t xml:space="preserve"> </w:t>
      </w:r>
      <w:r>
        <w:rPr>
          <w:rStyle w:val="VerbatimChar"/>
        </w:rPr>
        <w:t xml:space="preserve">docs/04-theory-template.md</w:t>
      </w:r>
      <w:r>
        <w:t xml:space="preserve">; оценка затрат: 2–4 недели аккуратного анализа.</w:t>
      </w:r>
    </w:p>
    <w:p>
      <w:pPr>
        <w:pStyle w:val="BodyText"/>
      </w:pPr>
      <w:r>
        <w:rPr>
          <w:b/>
          <w:bCs/>
        </w:rPr>
        <w:t xml:space="preserve">Алгоритмические ограничения.</w:t>
      </w:r>
      <w:r>
        <w:t xml:space="preserve"> </w:t>
      </w:r>
      <w:r>
        <w:t xml:space="preserve">Рекомендованный D-MeZO-N требует ручного выбора</w:t>
      </w:r>
      <w:r>
        <w:t xml:space="preserve"> </w:t>
      </w:r>
      <m:oMath>
        <m:r>
          <m:t>ρ</m:t>
        </m:r>
      </m:oMath>
      <w:r>
        <w:t xml:space="preserve">-clip порога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формы</w:t>
      </w:r>
      <w:r>
        <w:t xml:space="preserve"> </w:t>
      </w:r>
      <m:oMath>
        <m:r>
          <m:t>β</m:t>
        </m:r>
      </m:oMath>
      <w:r>
        <w:t xml:space="preserve">-расписания. Adaptive вариант, настраивающий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 наблюдаемому распределению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и адаптирующий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по slope валидационного loss, упростил бы deployment. Multi-direction MeZO (</w:t>
      </w:r>
      <m:oMath>
        <m:r>
          <m:t>K</m:t>
        </m:r>
      </m:oMath>
      <w:r>
        <w:t xml:space="preserve">-direction SPSA averaging) — естественное variance-reduction расширение, которое должно сделать look-ahead Нестеров tractable.</w:t>
      </w:r>
    </w:p>
    <w:bookmarkEnd w:id="48"/>
    <w:bookmarkStart w:id="49" w:name="заключение"/>
    <w:p>
      <w:pPr>
        <w:pStyle w:val="Heading1"/>
      </w:pPr>
      <w:r>
        <w:t xml:space="preserve">8. Заключение</w:t>
      </w:r>
    </w:p>
    <w:p>
      <w:pPr>
        <w:pStyle w:val="FirstParagraph"/>
      </w:pPr>
      <w:r>
        <w:t xml:space="preserve">Мы представили D-MeZO-N — Decentralized Federated MeZO с ускорением Нестерова — и установили его как жизнеспособный peer-to-peer федеративный оптимизатор для дообучения LLM. Шесть контрибуций (C1–C6) покрывают (i) поддержку новой архитектуры (Qwen3.5 гибридная linear-attention), (ii) устойчивость к экстремальной неоднородности данных, (iii) пренебрежимо малую стоимость топологии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с удивительным режимом ring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complete, (iv) рабочий ускоренный вариант с рекомендованным рецептом</w:t>
      </w:r>
      <w:r>
        <w:t xml:space="preserve"> </w:t>
      </w:r>
      <m:oMath>
        <m:r>
          <m:t>β</m:t>
        </m:r>
      </m:oMath>
      <w:r>
        <w:t xml:space="preserve">-decay +</w:t>
      </w:r>
      <w:r>
        <w:t xml:space="preserve"> </w:t>
      </w:r>
      <m:oMath>
        <m:r>
          <m:t>ρ</m:t>
        </m:r>
      </m:oMath>
      <w:r>
        <w:t xml:space="preserve">-clipping, и (v–vi) две формальные теоремы сходимости, восемь предсказаний которых совпадают с эмпирическими находками. Полный репозиторий (код, тесты, конфиги, notebooks, MLflow IDs, доказательства) публично доступен. Открытые теоретические вопросы — полная Теорема 3 (PL + момент); открытые эмпирические направления — масштабирование до 100+ клиентов и оценка на генеративных задачах.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Aybat, N. S., Fallah, A., Gurbuzbalaban, M., Ozdaglar, A. (2019). A universally optimal multistage accelerated stochastic gradient method. NeurIPS 2019.</w:t>
      </w:r>
    </w:p>
    <w:p>
      <w:pPr>
        <w:pStyle w:val="BodyText"/>
      </w:pPr>
      <w:r>
        <w:t xml:space="preserve">Hsu, T.-M. H., Qi, H., Brown, M. (2019). Measuring the effects of non-identical data distribution for federated visual classification. arXiv:1909.06335.</w:t>
      </w:r>
    </w:p>
    <w:p>
      <w:pPr>
        <w:pStyle w:val="BodyText"/>
      </w:pPr>
      <w:r>
        <w:t xml:space="preserve">Karimi, H., Nutini, J., Schmidt, M. (2016). Linear convergence of gradient and proximal-gradient methods under the Polyak-Łojasiewicz condition. ECML-PKDD 2016.</w:t>
      </w:r>
    </w:p>
    <w:p>
      <w:pPr>
        <w:pStyle w:val="BodyText"/>
      </w:pPr>
      <w:r>
        <w:t xml:space="preserve">Koloskova, A., Loizou, N., Boreiri, S., Jaggi, M., Stich, S. U. (2020). A unified theory of decentralized SGD with changing topology and local updates. ICML 2020. arXiv:2003.10422.</w:t>
      </w:r>
    </w:p>
    <w:p>
      <w:pPr>
        <w:pStyle w:val="BodyText"/>
      </w:pPr>
      <w:r>
        <w:t xml:space="preserve">Lan, G. (2012). An optimal method for stochastic composite optimization. Mathematical Programming 133(1-2):365–397.</w:t>
      </w:r>
    </w:p>
    <w:p>
      <w:pPr>
        <w:pStyle w:val="BodyText"/>
      </w:pPr>
      <w:r>
        <w:t xml:space="preserve">Malladi, S., Gao, T., Nichani, E., Damian, A., Lee, J. D., Chen, D., Arora, S. (2023). Fine-tuning language models with just forward passes. NeurIPS 2023. arXiv:2305.17333.</w:t>
      </w:r>
    </w:p>
    <w:p>
      <w:pPr>
        <w:pStyle w:val="BodyText"/>
      </w:pPr>
      <w:r>
        <w:t xml:space="preserve">Maritan, A., Ridolfi, A., Notarstefano, G. (2024). FedZeN: a zeroth-order Newton-style method for federated learning. arXiv:2309.17241.</w:t>
      </w:r>
    </w:p>
    <w:p>
      <w:pPr>
        <w:pStyle w:val="BodyText"/>
      </w:pPr>
      <w:r>
        <w:t xml:space="preserve">McMahan, B., Moore, E., Ramage, D., Hampson, S., y Arcas, B. A. (2017). Communication-efficient learning of deep networks from decentralized data. AISTATS 2017.</w:t>
      </w:r>
    </w:p>
    <w:p>
      <w:pPr>
        <w:pStyle w:val="BodyText"/>
      </w:pPr>
      <w:r>
        <w:t xml:space="preserve">Nesterov, Y., Spokoiny, V. (2017). Random gradient-free minimization of convex functions. Foundations of Computational Mathematics 17(2):527–566.</w:t>
      </w:r>
    </w:p>
    <w:p>
      <w:pPr>
        <w:pStyle w:val="BodyText"/>
      </w:pPr>
      <w:r>
        <w:t xml:space="preserve">Polyak, B. T. (1964). Some methods of speeding up the convergence of iteration methods. USSR Computational Mathematics and Mathematical Physics 4(5):1–17.</w:t>
      </w:r>
    </w:p>
    <w:p>
      <w:pPr>
        <w:pStyle w:val="BodyText"/>
      </w:pPr>
      <w:r>
        <w:t xml:space="preserve">Qin, Z., Chen, D., Qian, B., Ding, B., Li, Y., Deng, S. (2024). FedKSeed: federated full-parameter tuning of billion-sized language models with communication cost under 18 kilobytes. ICML 2024. arXiv:2312.06353.</w:t>
      </w:r>
    </w:p>
    <w:p>
      <w:pPr>
        <w:pStyle w:val="BodyText"/>
      </w:pPr>
      <w:r>
        <w:t xml:space="preserve">Shu, Y., Yao, W., Hu, S. X. (2024). Ferret: federated full-parameter tuning at scale for large language models. arXiv:2409.06277.</w:t>
      </w:r>
    </w:p>
    <w:p>
      <w:pPr>
        <w:pStyle w:val="BodyText"/>
      </w:pPr>
      <w:r>
        <w:t xml:space="preserve">Spall, J. C. (1992). Multivariate stochastic approximation using a simultaneous perturbation gradient approximation. IEEE Transactions on Automatic Control 37(3):332–341.</w:t>
      </w:r>
    </w:p>
    <w:p>
      <w:pPr>
        <w:pStyle w:val="BodyText"/>
      </w:pPr>
      <w:r>
        <w:t xml:space="preserve">Stich, S. U. (2019). Local SGD converges fast and communicates little. ICLR 2019.</w:t>
      </w:r>
    </w:p>
    <w:p>
      <w:pPr>
        <w:pStyle w:val="BodyText"/>
      </w:pPr>
      <w:r>
        <w:t xml:space="preserve">Yang, T., Lin, Q., Li, Z. (2016). Unified convergence analysis of stochastic momentum methods for convex and non-convex optimization. arXiv:1604.03257.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D-MeZO-N: Децентрализованный федеративный MeZO с ускорением Нестерова</dc:title>
  <dc:creator>Максим Филимонов · МГТУ им. Н.Э. Баумана (Калужский филиал)</dc:creator>
  <dc:language>ru</dc:language>
  <cp:keywords/>
  <dcterms:created xsi:type="dcterms:W3CDTF">2026-05-16T11:25:23Z</dcterms:created>
  <dcterms:modified xsi:type="dcterms:W3CDTF">2026-05-16T11:25:23Z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Весна 2026</vt:lpwstr>
  </property>
</Properties>
</file>