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27.png" ContentType="image/png"/>
  <Override PartName="/word/media/rId33.png" ContentType="image/png"/>
  <Override PartName="/word/media/rId13.png" ContentType="image/png"/>
  <Override PartName="/word/media/rId37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D-MeZO-N: Decentralized Federated MeZO with Nesterov Acceleration</w:t>
      </w:r>
    </w:p>
    <w:p>
      <w:pPr>
        <w:pStyle w:val="Author"/>
      </w:pPr>
      <w:r>
        <w:t xml:space="preserve">Maxim Sukhatsky — Bauman MSTU (Kaluga branch) — rmnfn1992@outlook.com — github.com/Siesher/dmezo</w:t>
      </w:r>
    </w:p>
    <w:p>
      <w:pPr>
        <w:pStyle w:val="Date"/>
      </w:pPr>
      <w:r>
        <w:t xml:space="preserve">Spring 2026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We introduce</w:t>
      </w:r>
      <w:r>
        <w:t xml:space="preserve"> </w:t>
      </w:r>
      <w:r>
        <w:rPr>
          <w:b/>
          <w:bCs/>
        </w:rPr>
        <w:t xml:space="preserve">D-MeZO-N</w:t>
      </w:r>
      <w:r>
        <w:t xml:space="preserve"> </w:t>
      </w:r>
      <w:r>
        <w:t xml:space="preserve">— Decentralized Federated MeZO with Nesterov-style acceleration — the first fully peer-to-peer federated zeroth-order optimizer for large language model fine-tuning. Building on Malladi et al.’s MeZO (memory-efficient zeroth-order, NeurIPS 2023) we replace the single-machine setup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clients connected by a doubly-stochastic mixing matrix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(Koloskova et al. 2020), where each client communicates only a single scalar (the projected gradient</w:t>
      </w:r>
      <w:r>
        <w:t xml:space="preserve"> </w:t>
      </w:r>
      <m:oMath>
        <m:r>
          <m:t>ρ</m:t>
        </m:r>
      </m:oMath>
      <w:r>
        <w:t xml:space="preserve">) and one integer seed per round per neighbour — eliminating the gigabyte-scale gradient exchange of FedAvg-style methods. To stabilise heavy-ball Nesterov momentum under the high variance of ZO gradient estimators we introduce</w:t>
      </w:r>
      <w:r>
        <w:t xml:space="preserve"> </w:t>
      </w:r>
      <m:oMath>
        <m:r>
          <m:t>ρ</m:t>
        </m:r>
      </m:oMath>
      <w:r>
        <w:t xml:space="preserve">-clipping with a linear</w:t>
      </w:r>
      <w:r>
        <w:t xml:space="preserve"> </w:t>
      </w:r>
      <m:oMath>
        <m:r>
          <m:t>β</m:t>
        </m:r>
      </m:oMath>
      <w:r>
        <w:t xml:space="preserve">-decay schedule, yielding a clean accelerated variant that monotonically descends and beats vanilla D-MeZO by 6.0% on the worst federated cell. On Qwen3.5-4B-Base (a hybrid linear-attention V-L model — first known federated ZO experiment on this architecture class) with the SST-2 task,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federated grid (topology × partition) over 2 seeds yields 0.1271–0.1507 final eval loss across all cells, beating the centralized MeZO baseline (0.1762) by 14.5–27.9% via implicit</w:t>
      </w:r>
      <w:r>
        <w:t xml:space="preserve"> </w:t>
      </w:r>
      <m:oMath>
        <m:r>
          <m:t>z</m:t>
        </m:r>
      </m:oMath>
      <w:r>
        <w:t xml:space="preserve">-direction averaging. We complement the empirical study with two formal convergence theorems —</w:t>
      </w:r>
      <w:r>
        <w:t xml:space="preserve"> </w:t>
      </w:r>
      <w:r>
        <w:rPr>
          <w:b/>
          <w:bCs/>
        </w:rPr>
        <w:t xml:space="preserve">Theorem 1</w:t>
      </w:r>
      <w:r>
        <w:t xml:space="preserve"> </w:t>
      </w:r>
      <w:r>
        <w:t xml:space="preserve">(convex + momentum,</w:t>
      </w:r>
      <w:r>
        <w:t xml:space="preserve"> </w:t>
      </w:r>
      <m:oMath>
        <m:r>
          <m:t>ρ</m:t>
        </m:r>
      </m:oMath>
      <w:r>
        <w:t xml:space="preserve">-clipping) and</w:t>
      </w:r>
      <w:r>
        <w:t xml:space="preserve"> </w:t>
      </w:r>
      <w:r>
        <w:rPr>
          <w:b/>
          <w:bCs/>
        </w:rPr>
        <w:t xml:space="preserve">Theorem 2</w:t>
      </w:r>
      <w:r>
        <w:t xml:space="preserve"> </w:t>
      </w:r>
      <w:r>
        <w:t xml:space="preserve">(non-convex Polyak-Łojasiewicz, no momentum) — whose four predictions each match the empirical behaviour quantitatively.</w:t>
      </w:r>
    </w:p>
    <w:bookmarkEnd w:id="9"/>
    <w:bookmarkStart w:id="10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Memory-efficient zeroth-order (MeZO) optimization of large language models was introduced by Malladi et al. (2023) as a surprising result: fine-tuning a multi-billion-parameter LLM requires only forward passes, with a memory cost equal to inference. The key trick — replacing backpropagation with a two-point gradient estimator over a random direction reconstructable from a seed — drops the optimizer state from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(Adam moments) to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 single scalar). For federated learning this property is transformative: instead of streaming dense gradients between clients, MeZO clients exchange only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pairs.</w:t>
      </w:r>
    </w:p>
    <w:p>
      <w:pPr>
        <w:pStyle w:val="BodyText"/>
      </w:pPr>
      <w:r>
        <w:t xml:space="preserve">This paper closes the gap with four empirical and two theoretical contributions: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C1</w:t>
      </w:r>
      <w:r>
        <w:t xml:space="preserve"> </w:t>
      </w:r>
      <w:r>
        <w:t xml:space="preserve">— First federated MeZO on a hybrid linear-attention LLM (Qwen3.5-4B-Base).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C2</w:t>
      </w:r>
      <w:r>
        <w:t xml:space="preserve"> </w:t>
      </w:r>
      <w:r>
        <w:t xml:space="preserve">— D-MeZO is robust to extreme partition heterogeneity: Dirichlet(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) tax</w:t>
      </w:r>
      <w:r>
        <w:t xml:space="preserve"> </w:t>
      </w:r>
      <m:oMath>
        <m:r>
          <m:rPr>
            <m:sty m:val="p"/>
          </m:rPr>
          <m:t>≤</m:t>
        </m:r>
        <m:r>
          <m:t>18</m:t>
        </m:r>
        <m:r>
          <m:rPr>
            <m:sty m:val="p"/>
          </m:rPr>
          <m:t>%</m:t>
        </m:r>
      </m:oMath>
      <w:r>
        <w:t xml:space="preserve"> </w:t>
      </w:r>
      <w:r>
        <w:t xml:space="preserve">at the mean.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C3</w:t>
      </w:r>
      <w:r>
        <w:t xml:space="preserve"> </w:t>
      </w:r>
      <w:r>
        <w:t xml:space="preserve">— Topology cost</w:t>
      </w:r>
      <w:r>
        <w:t xml:space="preserve"> </w:t>
      </w:r>
      <m:oMath>
        <m:r>
          <m:rPr>
            <m:sty m:val="p"/>
          </m:rPr>
          <m:t>≤</m:t>
        </m:r>
        <m:r>
          <m:t>7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clients; counter-intuitively, ring(4)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complete(4) on the ZO regime.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C4</w:t>
      </w:r>
      <w:r>
        <w:t xml:space="preserve"> </w:t>
      </w:r>
      <w:r>
        <w:t xml:space="preserve">— D-MeZO-N (heavy-ball Nesterov +</w:t>
      </w:r>
      <w:r>
        <w:t xml:space="preserve"> </w:t>
      </w:r>
      <m:oMath>
        <m:r>
          <m:t>ρ</m:t>
        </m:r>
      </m:oMath>
      <w:r>
        <w:t xml:space="preserve">-clipping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+ linear</w:t>
      </w:r>
      <w:r>
        <w:t xml:space="preserve"> </w:t>
      </w:r>
      <m:oMath>
        <m:r>
          <m:t>β</m:t>
        </m:r>
      </m:oMath>
      <w:r>
        <w:t xml:space="preserve">-decay</w:t>
      </w:r>
      <w:r>
        <w:t xml:space="preserve"> </w:t>
      </w:r>
      <m:oMath>
        <m:r>
          <m:t>0.9</m:t>
        </m:r>
        <m:r>
          <m:rPr>
            <m:sty m:val="p"/>
          </m:rPr>
          <m:t>→</m:t>
        </m:r>
        <m:r>
          <m:t>0</m:t>
        </m:r>
      </m:oMath>
      <w:r>
        <w:t xml:space="preserve">) reaches final 0.1291 vs. vanilla 0.1373 on the worst cell.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C5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Theorem 1</w:t>
      </w:r>
      <w:r>
        <w:t xml:space="preserve">: formal convergence bound for D-MeZO-N in the convex case.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C6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Theorem 2</w:t>
      </w:r>
      <w:r>
        <w:t xml:space="preserve">: formal convergence bound under the Polyak-Łojasiewicz (PL) inequality without momentum.</w:t>
      </w:r>
    </w:p>
    <w:bookmarkEnd w:id="10"/>
    <w:bookmarkStart w:id="11" w:name="related-work"/>
    <w:p>
      <w:pPr>
        <w:pStyle w:val="Heading1"/>
      </w:pPr>
      <w:r>
        <w:t xml:space="preserve">2. Related Work</w:t>
      </w:r>
    </w:p>
    <w:p>
      <w:pPr>
        <w:pStyle w:val="FirstParagraph"/>
      </w:pPr>
      <w:r>
        <w:rPr>
          <w:b/>
          <w:bCs/>
        </w:rPr>
        <w:t xml:space="preserve">MeZO.</w:t>
      </w:r>
      <w:r>
        <w:t xml:space="preserve"> </w:t>
      </w:r>
      <w:r>
        <w:t xml:space="preserve">Malladi et al. (2023) introduced MeZO — a SPSA-style (Spall 1992) zeroth-order optimizer with a key practical trick: replace the per-parameter random perturbation with a single seed that deterministically reconstructs the direction. Theorem 3.1 of their paper proves a variance bound that uses the effective Hessian rank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rPr>
            <m:sty m:val="p"/>
          </m:rPr>
          <m:t>t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∥</m:t>
        </m:r>
        <m:r>
          <m:t>H</m:t>
        </m:r>
        <m:sSub>
          <m:e>
            <m:r>
              <m:rPr>
                <m:sty m:val="p"/>
              </m:rPr>
              <m:t>∥</m:t>
            </m:r>
          </m:e>
          <m:sub>
            <m:r>
              <m:t>o</m:t>
            </m:r>
            <m:r>
              <m:t>p</m:t>
            </m:r>
          </m:sub>
        </m:sSub>
      </m:oMath>
      <w:r>
        <w:t xml:space="preserve"> </w:t>
      </w:r>
      <w:r>
        <w:t xml:space="preserve">instead of full dimension</w:t>
      </w:r>
      <w:r>
        <w:t xml:space="preserve"> </w:t>
      </w:r>
      <m:oMath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Decentralised SGD.</w:t>
      </w:r>
      <w:r>
        <w:t xml:space="preserve"> </w:t>
      </w:r>
      <w:r>
        <w:t xml:space="preserve">Koloskova et al. (2020) provide a unified analysis for D-SGD with arbitrary mixing matrices</w:t>
      </w:r>
      <w:r>
        <w:t xml:space="preserve"> </w:t>
      </w:r>
      <m:oMath>
        <m:r>
          <m:t>W</m:t>
        </m:r>
      </m:oMath>
      <w:r>
        <w:t xml:space="preserve">. Their Theorem 2 (convex) and Theorem 8 (PL) bound the convergence rate as a function of the spectral gap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gradient heterogeneity</w:t>
      </w:r>
      <w:r>
        <w:t xml:space="preserve"> </w:t>
      </w:r>
      <m:oMath>
        <m:sSup>
          <m:e>
            <m:r>
              <m:t>ζ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Federated zeroth-order.</w:t>
      </w:r>
      <w:r>
        <w:t xml:space="preserve"> </w:t>
      </w:r>
      <w:r>
        <w:t xml:space="preserve">FedKSeed (Qin et al., 2024 ICML), Ferret (Shu et al., 2024) and FedZeN (Maritan et al. 2024) all build on MeZO for FL, but are limited to (i) full-attention architectures and (ii) FedAvg-style central-server aggregation.</w:t>
      </w:r>
    </w:p>
    <w:p>
      <w:pPr>
        <w:pStyle w:val="BodyText"/>
      </w:pPr>
      <w:r>
        <w:rPr>
          <w:b/>
          <w:bCs/>
        </w:rPr>
        <w:t xml:space="preserve">Heavy-ball under PL.</w:t>
      </w:r>
      <w:r>
        <w:t xml:space="preserve"> </w:t>
      </w:r>
      <w:r>
        <w:t xml:space="preserve">Yang, Zhao, Cheng (2016) give a unified Lyapunov analysis of heavy-ball SGD in convex and non-convex PL regimes. Karimi, Nutini, Schmidt (2016) establish the canonical linear-convergence-to-noise-floor framework for stochastic gradient methods under PL.</w:t>
      </w:r>
    </w:p>
    <w:bookmarkEnd w:id="11"/>
    <w:bookmarkStart w:id="18" w:name="method-d-mezo-n"/>
    <w:p>
      <w:pPr>
        <w:pStyle w:val="Heading1"/>
      </w:pPr>
      <w:r>
        <w:t xml:space="preserve">3. Method: D-MeZO-N</w:t>
      </w:r>
    </w:p>
    <w:bookmarkStart w:id="12" w:name="setup"/>
    <w:p>
      <w:pPr>
        <w:pStyle w:val="Heading2"/>
      </w:pPr>
      <w:r>
        <w:t xml:space="preserve">3.1 Setup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clients each hold a local data shard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a local copy of the model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 The federation is described by a doubly-stochastic mixing matrix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with spectral gap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∥</m:t>
          </m:r>
          <m:r>
            <m:t>W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b"/>
            </m:rPr>
            <m:t>1</m:t>
          </m:r>
          <m:sSup>
            <m:e>
              <m:r>
                <m:rPr>
                  <m:sty m:val="b"/>
                </m:rPr>
                <m:t>1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∥</m:t>
              </m:r>
            </m:e>
            <m:sub>
              <m:r>
                <m:t>o</m:t>
              </m:r>
              <m:r>
                <m:t>p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2"/>
    <w:bookmarkStart w:id="16" w:name="algorithm"/>
    <w:p>
      <w:pPr>
        <w:pStyle w:val="Heading2"/>
      </w:pPr>
      <w:r>
        <w:t xml:space="preserve">3.2 Algorithm</w:t>
      </w:r>
    </w:p>
    <w:p>
      <w:pPr>
        <w:pStyle w:val="FirstParagraph"/>
      </w:pPr>
      <w:r>
        <w:t xml:space="preserve">On round</w:t>
      </w:r>
      <w:r>
        <w:t xml:space="preserve"> </w:t>
      </w:r>
      <m:oMath>
        <m:r>
          <m:t>t</m:t>
        </m:r>
      </m:oMath>
      <w:r>
        <w:t xml:space="preserve">, each client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performs a MeZO step using a fresh seed</w:t>
      </w:r>
      <w:r>
        <w:t xml:space="preserve"> </w:t>
      </w:r>
      <m:oMath>
        <m:sSubSup>
          <m:e>
            <m:r>
              <m:t>s</m:t>
            </m:r>
          </m:e>
          <m:sub>
            <m:r>
              <m:t>i</m:t>
            </m:r>
          </m:sub>
          <m:sup>
            <m:r>
              <m:t>t</m:t>
            </m:r>
          </m:sup>
        </m:sSubSup>
      </m:oMath>
      <w:r>
        <w:t xml:space="preserve">, producing the projected gradient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e>
            <m:sub>
              <m:r>
                <m:t>i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L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t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ϵ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t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ϵ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t>ϵ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full D-MeZO-N round combines</w:t>
      </w:r>
      <w:r>
        <w:t xml:space="preserve"> </w:t>
      </w:r>
      <m:oMath>
        <m:r>
          <m:t>ρ</m:t>
        </m:r>
      </m:oMath>
      <w:r>
        <w:t xml:space="preserve">-clip, a heavy-ball Nesterov velocity update with momentum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</m:oMath>
      <w:r>
        <w:t xml:space="preserve">, a parameter step, and a consensus mixing step: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v</m:t>
                  </m:r>
                </m:e>
                <m:sub>
                  <m:r>
                    <m:t>i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t</m:t>
                  </m:r>
                </m:sub>
              </m:sSub>
              <m:sSubSup>
                <m:e>
                  <m:r>
                    <m:t>v</m:t>
                  </m:r>
                </m:e>
                <m:sub>
                  <m:r>
                    <m:t>i</m:t>
                  </m:r>
                </m:sub>
                <m:sup>
                  <m:r>
                    <m:t>t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ρ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t</m:t>
                  </m:r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±</m:t>
              </m:r>
              <m:r>
                <m:t>C</m:t>
              </m:r>
              <m:r>
                <m:rPr>
                  <m:sty m:val="p"/>
                </m:rPr>
                <m:t>)</m:t>
              </m:r>
              <m:sSub>
                <m:e>
                  <m:r>
                    <m:t>z</m:t>
                  </m:r>
                </m:e>
                <m:sub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t</m:t>
                      </m:r>
                    </m:sup>
                  </m:sSubSup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t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η</m:t>
              </m:r>
              <m:sSubSup>
                <m:e>
                  <m:r>
                    <m:t>v</m:t>
                  </m:r>
                </m:e>
                <m:sub>
                  <m:r>
                    <m:t>i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Sup>
                <m:e>
                  <m:r>
                    <m:t>θ</m:t>
                  </m:r>
                </m:e>
                <m:sub>
                  <m:r>
                    <m:t>j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aptionedFigure"/>
      </w:pPr>
      <w:r>
        <w:drawing>
          <wp:inline>
            <wp:extent cx="5334000" cy="2695677"/>
            <wp:effectExtent b="0" l="0" r="0" t="0"/>
            <wp:docPr descr="Figure 5. D-MeZO-N algorithm for n=4 clients on a ring topology. Each client performs an independent local MeZO probe (seed s_i, scalar \rho_i), clips \rho_i, updates a local velocity buffer with the scheduled \beta_t, then participates in a doubly-stochastic consensus mixing step." title="" id="14" name="Picture"/>
            <a:graphic>
              <a:graphicData uri="http://schemas.openxmlformats.org/drawingml/2006/picture">
                <pic:pic>
                  <pic:nvPicPr>
                    <pic:cNvPr descr="figures/fig5_algorithm_schematic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6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D-MeZO-N algorithm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clients on a ring topology. Each client performs an independent local MeZO probe (seed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, scalar</w:t>
      </w:r>
      <w:r>
        <w:t xml:space="preserve"> </w:t>
      </w:r>
      <m:oMath>
        <m:sSub>
          <m:e>
            <m:r>
              <m:t>ρ</m:t>
            </m:r>
          </m:e>
          <m:sub>
            <m:r>
              <m:t>i</m:t>
            </m:r>
          </m:sub>
        </m:sSub>
      </m:oMath>
      <w:r>
        <w:t xml:space="preserve">), clips</w:t>
      </w:r>
      <w:r>
        <w:t xml:space="preserve"> </w:t>
      </w:r>
      <m:oMath>
        <m:sSub>
          <m:e>
            <m:r>
              <m:t>ρ</m:t>
            </m:r>
          </m:e>
          <m:sub>
            <m:r>
              <m:t>i</m:t>
            </m:r>
          </m:sub>
        </m:sSub>
      </m:oMath>
      <w:r>
        <w:t xml:space="preserve">, updates a local velocity buffer with the scheduled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</m:oMath>
      <w:r>
        <w:t xml:space="preserve">, then participates in a doubly-stochastic consensus mixing step.</w:t>
      </w:r>
    </w:p>
    <w:bookmarkEnd w:id="16"/>
    <w:bookmarkStart w:id="17" w:name="rho-clipping"/>
    <w:p>
      <w:pPr>
        <w:pStyle w:val="Heading2"/>
      </w:pPr>
      <w:r>
        <w:t xml:space="preserve">3.3</w:t>
      </w:r>
      <w:r>
        <w:t xml:space="preserve"> </w:t>
      </w:r>
      <m:oMath>
        <m:r>
          <m:t>ρ</m:t>
        </m:r>
      </m:oMath>
      <w:r>
        <w:t xml:space="preserve">-clipping</w:t>
      </w:r>
    </w:p>
    <w:p>
      <w:pPr>
        <w:pStyle w:val="FirstParagraph"/>
      </w:pPr>
      <w:r>
        <w:t xml:space="preserve">We bound the per-step contribution to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symmetric clipping: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rPr>
              <m:sty m:val="p"/>
            </m:rPr>
            <m:t>±</m:t>
          </m:r>
          <m:r>
            <m:t>C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,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Threshold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was selected empirically.</w:t>
      </w:r>
    </w:p>
    <w:bookmarkEnd w:id="17"/>
    <w:bookmarkEnd w:id="18"/>
    <w:bookmarkStart w:id="23" w:name="theory"/>
    <w:p>
      <w:pPr>
        <w:pStyle w:val="Heading1"/>
      </w:pPr>
      <w:r>
        <w:t xml:space="preserve">4. Theory</w:t>
      </w:r>
    </w:p>
    <w:bookmarkStart w:id="19" w:name="assumptions"/>
    <w:p>
      <w:pPr>
        <w:pStyle w:val="Heading2"/>
      </w:pPr>
      <w:r>
        <w:t xml:space="preserve">4.1 Assumptions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(A1)</w:t>
      </w:r>
      <w:r>
        <w:t xml:space="preserve"> </w:t>
      </w:r>
      <m:oMath>
        <m:r>
          <m:t>L</m:t>
        </m:r>
      </m:oMath>
      <w:r>
        <w:t xml:space="preserve">-smoothness: each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-smooth.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(C2)</w:t>
      </w:r>
      <w:r>
        <w:t xml:space="preserve"> </w:t>
      </w:r>
      <w:r>
        <w:t xml:space="preserve">Bounded gradient diversity: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∥</m:t>
            </m:r>
          </m:e>
        </m:nary>
        <m:r>
          <m:rPr>
            <m:sty m:val="p"/>
          </m:rPr>
          <m:t>∇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∇</m:t>
        </m:r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ζ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(C3)</w:t>
      </w:r>
      <w:r>
        <w:t xml:space="preserve"> </w:t>
      </w:r>
      <w:r>
        <w:t xml:space="preserve">Bounded stochastic noise: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r>
              <m:t>ξ</m:t>
            </m:r>
          </m:sub>
        </m:sSub>
        <m:r>
          <m:rPr>
            <m:sty m:val="p"/>
          </m:rPr>
          <m:t>∥</m:t>
        </m:r>
        <m:r>
          <m:rPr>
            <m:sty m:val="p"/>
          </m:rPr>
          <m:t>∇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ξ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∇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(C5)</w:t>
      </w:r>
      <w:r>
        <w:t xml:space="preserve"> </w:t>
      </w:r>
      <w:r>
        <w:t xml:space="preserve">Effective Hessian rank: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rPr>
            <m:sty m:val="p"/>
          </m:rPr>
          <m:t>t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∥</m:t>
        </m:r>
        <m:r>
          <m:t>H</m:t>
        </m:r>
        <m:sSub>
          <m:e>
            <m:r>
              <m:rPr>
                <m:sty m:val="p"/>
              </m:rPr>
              <m:t>∥</m:t>
            </m:r>
          </m:e>
          <m:sub>
            <m:r>
              <m:t>o</m:t>
            </m:r>
            <m:r>
              <m:t>p</m:t>
            </m:r>
          </m:sub>
        </m:sSub>
        <m:r>
          <m:rPr>
            <m:sty m:val="p"/>
          </m:rPr>
          <m:t>≪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(A2 / PL, used in Theorem 2 only):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∇</m:t>
        </m:r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2</m:t>
        </m:r>
        <m:r>
          <m:t>μ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L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  <m:r>
          <m:t> </m:t>
        </m:r>
        <m:r>
          <m:rPr>
            <m:sty m:val="p"/>
          </m:rPr>
          <m:t>∀</m:t>
        </m:r>
        <m:r>
          <m:t>θ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  <m:r>
          <m:rPr>
            <m:sty m:val="p"/>
          </m:rPr>
          <m:t>.</m:t>
        </m:r>
      </m:oMath>
    </w:p>
    <w:bookmarkEnd w:id="19"/>
    <w:bookmarkStart w:id="20" w:name="lemmas"/>
    <w:p>
      <w:pPr>
        <w:pStyle w:val="Heading2"/>
      </w:pPr>
      <w:r>
        <w:t xml:space="preserve">4.2 Lemmas</w:t>
      </w:r>
    </w:p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(Malladi ZO variance).</w:t>
      </w:r>
      <w:r>
        <w:t xml:space="preserve"> </w:t>
      </w:r>
      <w:r>
        <w:rPr>
          <w:i/>
          <w:iCs/>
        </w:rPr>
        <w:t xml:space="preserve">Under (A1)+(C5):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∥</m:t>
          </m:r>
          <m:acc>
            <m:accPr>
              <m:chr m:val="̂"/>
            </m:accPr>
            <m:e>
              <m:r>
                <m:t>ρ</m:t>
              </m:r>
            </m:e>
          </m:acc>
          <m:r>
            <m:rPr>
              <m:sty m:val="p"/>
            </m:rPr>
            <m:t>⋅</m:t>
          </m:r>
          <m:r>
            <m:t>z</m:t>
          </m:r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r>
            <m:t>2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∥</m:t>
          </m:r>
          <m:r>
            <m:rPr>
              <m:sty m:val="p"/>
            </m:rPr>
            <m:t>∇</m:t>
          </m:r>
          <m:r>
            <m:t>L</m:t>
          </m:r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ϵ</m:t>
              </m:r>
            </m:e>
            <m:sup>
              <m:r>
                <m:t>2</m:t>
              </m:r>
            </m:sup>
          </m:sSup>
          <m:sSup>
            <m:e>
              <m:r>
                <m:t>L</m:t>
              </m:r>
            </m:e>
            <m:sup>
              <m:r>
                <m:t>2</m:t>
              </m:r>
            </m:sup>
          </m:sSup>
          <m:r>
            <m:t>r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Lemma 2</w:t>
      </w:r>
      <w:r>
        <w:t xml:space="preserve"> </w:t>
      </w:r>
      <w:r>
        <w:t xml:space="preserve">(</w:t>
      </w:r>
      <m:oMath>
        <m:r>
          <m:t>ρ</m:t>
        </m:r>
      </m:oMath>
      <w:r>
        <w:t xml:space="preserve">-clipping bias-variance).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ρ</m:t>
            </m:r>
          </m:e>
        </m:acc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ρ</m:t>
            </m:r>
          </m:e>
        </m:acc>
        <m:r>
          <m:rPr>
            <m:sty m:val="p"/>
          </m:rPr>
          <m:t>,</m:t>
        </m:r>
        <m:r>
          <m:rPr>
            <m:sty m:val="p"/>
          </m:rPr>
          <m:t>±</m:t>
        </m:r>
        <m:r>
          <m:t>C</m:t>
        </m:r>
        <m:r>
          <m:rPr>
            <m:sty m:val="p"/>
          </m:rPr>
          <m:t>)</m:t>
        </m:r>
      </m:oMath>
      <w:r>
        <w:rPr>
          <w:i/>
          <w:iCs/>
        </w:rP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∥</m:t>
          </m:r>
          <m:acc>
            <m:accPr>
              <m:chr m:val="̃"/>
            </m:accPr>
            <m:e>
              <m:r>
                <m:t>ρ</m:t>
              </m:r>
            </m:e>
          </m:acc>
          <m:r>
            <m:rPr>
              <m:sty m:val="p"/>
            </m:rPr>
            <m:t>⋅</m:t>
          </m:r>
          <m:r>
            <m:t>z</m:t>
          </m:r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r>
            <m:rPr>
              <m:sty m:val="p"/>
            </m:rPr>
            <m:t>min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∥</m:t>
              </m:r>
              <m:acc>
                <m:accPr>
                  <m:chr m:val="̂"/>
                </m:accPr>
                <m:e>
                  <m:r>
                    <m:t>ρ</m:t>
                  </m:r>
                </m:e>
              </m:acc>
              <m:r>
                <m:rPr>
                  <m:sty m:val="p"/>
                </m:rPr>
                <m:t>⋅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t>d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Lemma 3</w:t>
      </w:r>
      <w:r>
        <w:t xml:space="preserve"> </w:t>
      </w:r>
      <w:r>
        <w:t xml:space="preserve">(consensus error).</w:t>
      </w:r>
      <w:r>
        <w:t xml:space="preserve"> </w:t>
      </w:r>
      <w:r>
        <w:rPr>
          <w:i/>
          <w:iCs/>
        </w:rPr>
        <w:t xml:space="preserve">For D-MeZO-N with mixing matrix</w:t>
      </w:r>
      <w:r>
        <w:rPr>
          <w:i/>
          <w:iCs/>
        </w:rPr>
        <w:t xml:space="preserve"> </w:t>
      </w:r>
      <m:oMath>
        <m:r>
          <m:t>W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 momentum</w:t>
      </w:r>
      <w:r>
        <w:rPr>
          <w:i/>
          <w:iCs/>
        </w:rP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Sup>
            <m:e>
              <m:r>
                <m:t>θ</m:t>
              </m:r>
            </m:e>
            <m:sub>
              <m:r>
                <m:t>i</m:t>
              </m:r>
            </m:sub>
            <m:sup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θ</m:t>
                  </m:r>
                </m:e>
              </m:acc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ρ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sSup>
            <m:e>
              <m:r>
                <m:t>η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t>r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ζ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Lemma 5</w:t>
      </w:r>
      <w:r>
        <w:t xml:space="preserve"> </w:t>
      </w:r>
      <w:r>
        <w:t xml:space="preserve">(PL descent; Karimi-Nutini-Schmidt 2016).</w:t>
      </w:r>
      <w:r>
        <w:t xml:space="preserve"> </w:t>
      </w:r>
      <w:r>
        <w:rPr>
          <w:i/>
          <w:iCs/>
        </w:rPr>
        <w:t xml:space="preserve">Under (A1)+(A2)+(C2)+(C3) for</w:t>
      </w:r>
      <w:r>
        <w:rPr>
          <w:i/>
          <w:iCs/>
        </w:rPr>
        <w:t xml:space="preserve"> </w:t>
      </w:r>
      <m:oMath>
        <m:r>
          <m:t>η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L</m:t>
        </m:r>
        <m:r>
          <m:rPr>
            <m:sty m:val="p"/>
          </m:rPr>
          <m:t>)</m:t>
        </m:r>
      </m:oMath>
      <w:r>
        <w:rPr>
          <w:i/>
          <w:i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η</m:t>
          </m:r>
          <m:r>
            <m:t>μ</m:t>
          </m:r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  <m:r>
                <m:t>L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η</m:t>
              </m:r>
              <m:sSup>
                <m:e>
                  <m:r>
                    <m:t>δ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μ</m:t>
              </m:r>
            </m:den>
          </m:f>
          <m:r>
            <m:rPr>
              <m:sty m:val="p"/>
            </m:rPr>
            <m:t>.</m:t>
          </m:r>
        </m:oMath>
      </m:oMathPara>
    </w:p>
    <w:bookmarkEnd w:id="20"/>
    <w:bookmarkStart w:id="21" w:name="theorem-1-convex-case-with-momentum"/>
    <w:p>
      <w:pPr>
        <w:pStyle w:val="Heading2"/>
      </w:pPr>
      <w:r>
        <w:t xml:space="preserve">4.3 Theorem 1 — convex case with momentum</w:t>
      </w:r>
    </w:p>
    <w:p>
      <w:pPr>
        <w:pStyle w:val="FirstParagraph"/>
      </w:pPr>
      <w:r>
        <w:rPr>
          <w:b/>
          <w:bCs/>
        </w:rPr>
        <w:t xml:space="preserve">Theorem 1</w:t>
      </w:r>
      <w:r>
        <w:t xml:space="preserve"> </w:t>
      </w:r>
      <w:r>
        <w:t xml:space="preserve">(D-MeZO-N convergence, convex case).</w:t>
      </w:r>
      <w:r>
        <w:t xml:space="preserve"> </w:t>
      </w:r>
      <w:r>
        <w:rPr>
          <w:i/>
          <w:iCs/>
        </w:rPr>
        <w:t xml:space="preserve">Assume (A1)–(C5) with each</w:t>
      </w:r>
      <w:r>
        <w:rPr>
          <w:i/>
          <w:iCs/>
        </w:rP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convex. The D-MeZO-N iterate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θ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acc>
            <m:accPr>
              <m:chr m:val="̃"/>
            </m:accPr>
            <m:e>
              <m:r>
                <m:t>O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L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n</m:t>
                      </m:r>
                      <m:r>
                        <m:t>T</m:t>
                      </m:r>
                    </m:den>
                  </m:f>
                </m:e>
              </m:rad>
            </m:e>
          </m:d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O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β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T</m:t>
                  </m:r>
                </m:den>
              </m:f>
            </m:e>
          </m:d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ϵ</m:t>
              </m:r>
            </m:e>
            <m:sup>
              <m:r>
                <m:t>2</m:t>
              </m:r>
            </m:sup>
          </m:sSup>
          <m:sSup>
            <m:e>
              <m:r>
                <m:t>L</m:t>
              </m:r>
            </m:e>
            <m:sup>
              <m:r>
                <m:t>2</m:t>
              </m:r>
            </m:sup>
          </m:sSup>
          <m:r>
            <m:t>r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2" w:name="theorem-2-non-convex-pl-case-no-momentum"/>
    <w:p>
      <w:pPr>
        <w:pStyle w:val="Heading2"/>
      </w:pPr>
      <w:r>
        <w:t xml:space="preserve">4.4 Theorem 2 — non-convex PL case (no momentum)</w:t>
      </w:r>
    </w:p>
    <w:p>
      <w:pPr>
        <w:pStyle w:val="FirstParagraph"/>
      </w:pPr>
      <w:r>
        <w:rPr>
          <w:b/>
          <w:bCs/>
        </w:rPr>
        <w:t xml:space="preserve">Theorem 2</w:t>
      </w:r>
      <w:r>
        <w:t xml:space="preserve"> </w:t>
      </w:r>
      <w:r>
        <w:t xml:space="preserve">(D-MeZO convergence, non-convex PL,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rPr>
          <w:i/>
          <w:iCs/>
        </w:rPr>
        <w:t xml:space="preserve">Under (A1)+(A2/PL)+(C2)+(C3)+(C5):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θ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η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T</m:t>
              </m:r>
            </m:sup>
          </m:sSup>
          <m:sSub>
            <m:e>
              <m:r>
                <m:rPr>
                  <m:sty m:val="p"/>
                </m:rPr>
                <m:t>Δ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O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η</m:t>
                  </m:r>
                  <m:r>
                    <m:t>L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μ</m:t>
                  </m:r>
                  <m:r>
                    <m:t>n</m:t>
                  </m:r>
                </m:den>
              </m:f>
            </m:e>
          </m:d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O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η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L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+</m:t>
          </m:r>
          <m:r>
            <m:t>O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ϵ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L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μ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bookmarkEnd w:id="22"/>
    <w:bookmarkEnd w:id="23"/>
    <w:bookmarkStart w:id="44" w:name="experiments"/>
    <w:p>
      <w:pPr>
        <w:pStyle w:val="Heading1"/>
      </w:pPr>
      <w:r>
        <w:t xml:space="preserve">5. Experiments</w:t>
      </w:r>
    </w:p>
    <w:p>
      <w:pPr>
        <w:pStyle w:val="CaptionedFigure"/>
      </w:pPr>
      <w:r>
        <w:drawing>
          <wp:inline>
            <wp:extent cx="5334000" cy="3812070"/>
            <wp:effectExtent b="0" l="0" r="0" t="0"/>
            <wp:docPr descr="Figure 1. Per-cell trajectories of the Day 5 federated grid. All federated configurations consistently descend below the centralized baseline." title="" id="25" name="Picture"/>
            <a:graphic>
              <a:graphicData uri="http://schemas.openxmlformats.org/drawingml/2006/picture">
                <pic:pic>
                  <pic:nvPicPr>
                    <pic:cNvPr descr="figures/fig1_day5_gri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2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Per-cell trajectories of the Day 5 federated grid. All federated configurations consistently descend below the centralized baseline.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Final eval (mean ± range/2)</w:t>
            </w:r>
          </w:p>
        </w:tc>
        <w:tc>
          <w:tcPr/>
          <w:p>
            <w:pPr>
              <w:pStyle w:val="Compact"/>
            </w:pPr>
            <w:r>
              <w:t xml:space="preserve">Accuracy (mean %)</w:t>
            </w:r>
          </w:p>
        </w:tc>
        <w:tc>
          <w:tcPr/>
          <w:p>
            <w:pPr>
              <w:pStyle w:val="Compact"/>
            </w:pPr>
            <w:r>
              <w:t xml:space="preserve">vs. centralized 0.1762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 + IID</w:t>
            </w:r>
          </w:p>
        </w:tc>
        <w:tc>
          <w:tcPr/>
          <w:p>
            <w:pPr>
              <w:pStyle w:val="Compact"/>
            </w:pPr>
            <w:r>
              <w:t xml:space="preserve">0.1348 ± 0.0051</w:t>
            </w:r>
          </w:p>
        </w:tc>
        <w:tc>
          <w:tcPr/>
          <w:p>
            <w:pPr>
              <w:pStyle w:val="Compact"/>
            </w:pPr>
            <w:r>
              <w:t xml:space="preserve">96.56%</w:t>
            </w:r>
          </w:p>
        </w:tc>
        <w:tc>
          <w:tcPr/>
          <w:p>
            <w:pPr>
              <w:pStyle w:val="Compact"/>
            </w:pPr>
            <w:r>
              <w:t xml:space="preserve">−23.5%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 + Dir(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0.1507 ± 0.0089</w:t>
            </w:r>
          </w:p>
        </w:tc>
        <w:tc>
          <w:tcPr/>
          <w:p>
            <w:pPr>
              <w:pStyle w:val="Compact"/>
            </w:pPr>
            <w:r>
              <w:t xml:space="preserve">95.00%</w:t>
            </w:r>
          </w:p>
        </w:tc>
        <w:tc>
          <w:tcPr/>
          <w:p>
            <w:pPr>
              <w:pStyle w:val="Compact"/>
            </w:pPr>
            <w:r>
              <w:t xml:space="preserve">−14.5%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ring + IID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0.1271 ± 0.0014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97.81%</w:t>
            </w:r>
            <w:r>
              <w:t xml:space="preserve"> </w:t>
            </w:r>
            <w:r>
              <w:t xml:space="preserve">★ best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−27.9%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ring + Dir(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0.1402 ± 0.0029</w:t>
            </w:r>
          </w:p>
        </w:tc>
        <w:tc>
          <w:tcPr/>
          <w:p>
            <w:pPr>
              <w:pStyle w:val="Compact"/>
            </w:pPr>
            <w:r>
              <w:t xml:space="preserve">95.63%</w:t>
            </w:r>
          </w:p>
        </w:tc>
        <w:tc>
          <w:tcPr/>
          <w:p>
            <w:pPr>
              <w:pStyle w:val="Compact"/>
            </w:pPr>
            <w:r>
              <w:t xml:space="preserve">−20.4%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centralized (reference)</w:t>
            </w:r>
          </w:p>
        </w:tc>
        <w:tc>
          <w:tcPr/>
          <w:p>
            <w:pPr>
              <w:pStyle w:val="Compact"/>
            </w:pPr>
            <w:r>
              <w:t xml:space="preserve">0.1762 (n=1)</w:t>
            </w:r>
          </w:p>
        </w:tc>
        <w:tc>
          <w:tcPr/>
          <w:p>
            <w:pPr>
              <w:pStyle w:val="Compact"/>
            </w:pPr>
            <w:r>
              <w:t xml:space="preserve">95.63%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R1d</w:t>
            </w:r>
            <w:r>
              <w:t xml:space="preserve"> </w:t>
            </w:r>
            <w:r>
              <w:t xml:space="preserve">(D-MeZO-N) on worst cell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0.1291</w:t>
            </w:r>
            <w:r>
              <w:t xml:space="preserve"> </w:t>
            </w:r>
            <w:r>
              <w:t xml:space="preserve">(single seed)</w:t>
            </w:r>
          </w:p>
        </w:tc>
        <w:tc>
          <w:tcPr/>
          <w:p>
            <w:pPr>
              <w:pStyle w:val="Compact"/>
            </w:pPr>
            <w:r>
              <w:t xml:space="preserve">95.63%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−26.7%</w:t>
            </w:r>
          </w:p>
        </w:tc>
      </w:tr>
    </w:tbl>
    <w:p>
      <w:pPr>
        <w:pStyle w:val="CaptionedFigure"/>
      </w:pPr>
      <w:r>
        <w:drawing>
          <wp:inline>
            <wp:extent cx="5334000" cy="2253505"/>
            <wp:effectExtent b="0" l="0" r="0" t="0"/>
            <wp:docPr descr="Figure 3. (a) Final eval loss of each federated configuration vs. the centralised MeZO baseline. (b) Final accuracy comparison." title="" id="28" name="Picture"/>
            <a:graphic>
              <a:graphicData uri="http://schemas.openxmlformats.org/drawingml/2006/picture">
                <pic:pic>
                  <pic:nvPicPr>
                    <pic:cNvPr descr="figures/fig3_federated_vs_centralized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35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(a) Final eval loss of each federated configuration vs. the centralised MeZO baseline. (b) Final accuracy comparison.</w:t>
      </w:r>
    </w:p>
    <w:p>
      <w:pPr>
        <w:pStyle w:val="CaptionedFigure"/>
      </w:pPr>
      <w:r>
        <w:drawing>
          <wp:inline>
            <wp:extent cx="5334000" cy="3225349"/>
            <wp:effectExtent b="0" l="0" r="0" t="0"/>
            <wp:docPr descr="Figure 2. Phase diagram of Nesterov-MeZO variants on the worst federated cell." title="" id="31" name="Picture"/>
            <a:graphic>
              <a:graphicData uri="http://schemas.openxmlformats.org/drawingml/2006/picture">
                <pic:pic>
                  <pic:nvPicPr>
                    <pic:cNvPr descr="figures/fig2_nesterov_phase_diagram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5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Phase diagram of Nesterov-MeZO variants on the worst federated cell.</w:t>
      </w:r>
    </w:p>
    <w:p>
      <w:pPr>
        <w:pStyle w:val="CaptionedFigure"/>
      </w:pPr>
      <w:r>
        <w:drawing>
          <wp:inline>
            <wp:extent cx="5334000" cy="2930170"/>
            <wp:effectExtent b="0" l="0" r="0" t="0"/>
            <wp:docPr descr="Figure 4. D-MeZO-N (R1d) detailed trajectory vs. control." title="" id="34" name="Picture"/>
            <a:graphic>
              <a:graphicData uri="http://schemas.openxmlformats.org/drawingml/2006/picture">
                <pic:pic>
                  <pic:nvPicPr>
                    <pic:cNvPr descr="figures/fig4_r1d_detailed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D-MeZO-N (R1d) detailed trajectory vs. control.</w:t>
      </w:r>
    </w:p>
    <w:p>
      <w:pPr>
        <w:pStyle w:val="BodyText"/>
      </w:pPr>
      <w:r>
        <w:t xml:space="preserve">The empirical ratio</w:t>
      </w:r>
      <w:r>
        <w:t xml:space="preserve"> </w:t>
      </w:r>
      <m:oMath>
        <m:r>
          <m:t>0.1271</m:t>
        </m:r>
        <m:r>
          <m:rPr>
            <m:sty m:val="p"/>
          </m:rPr>
          <m:t>/</m:t>
        </m:r>
        <m:r>
          <m:t>0.1762</m:t>
        </m:r>
        <m:r>
          <m:rPr>
            <m:sty m:val="p"/>
          </m:rPr>
          <m:t>=</m:t>
        </m:r>
        <m:r>
          <m:t>0.722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t</m:t>
        </m:r>
      </m:oMath>
      <w:r>
        <w:t xml:space="preserve"> </w:t>
      </w:r>
      <w:r>
        <w:t xml:space="preserve">matches Theorem 1’s stochastic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t>T</m:t>
            </m:r>
          </m:e>
        </m:rad>
      </m:oMath>
      <w:r>
        <w:t xml:space="preserve">. Mechanism: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clients each perform an independent MeZO probe with their own seed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direction</w:t>
      </w:r>
      <w:r>
        <w:t xml:space="preserve"> </w:t>
      </w:r>
      <m:oMath>
        <m:sSub>
          <m:e>
            <m:r>
              <m:t>z</m:t>
            </m:r>
          </m:e>
          <m:sub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</m:sub>
        </m:sSub>
      </m:oMath>
      <w:r>
        <w:t xml:space="preserve">, the consensus-averaging step amounts to an unbiased average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unit-direction probes.</w:t>
      </w:r>
    </w:p>
    <w:bookmarkStart w:id="36" w:name="Xadd2112002a2b25fd54a47bbeec32ce222383bd"/>
    <w:p>
      <w:pPr>
        <w:pStyle w:val="Heading2"/>
      </w:pPr>
      <w:r>
        <w:t xml:space="preserve">5.5 Cross-task validation: HellaSwag (4-way commonsense reasoning)</w:t>
      </w:r>
    </w:p>
    <w:p>
      <w:pPr>
        <w:pStyle w:val="FirstParagraph"/>
      </w:pPr>
      <w:r>
        <w:t xml:space="preserve">We further test D-MeZO-N on</w:t>
      </w:r>
      <w:r>
        <w:t xml:space="preserve"> </w:t>
      </w:r>
      <w:r>
        <w:rPr>
          <w:b/>
          <w:bCs/>
        </w:rPr>
        <w:t xml:space="preserve">HellaSwag</w:t>
      </w:r>
      <w:r>
        <w:t xml:space="preserve"> </w:t>
      </w:r>
      <w:r>
        <w:t xml:space="preserve">(Zellers et al. 2019), 4-way commonsense reasoning — substantially harder than SST-2/BoolQ because endings are multi-token and require world knowledge inference, not lexical signals. Same setup: Qwen3-4B (full-attention transformer, bf16, Apache 2.0),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,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1000 steps/rounds, 2000 train examples, 200 eval examples, seed=42.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Init loss → Final loss</w:t>
            </w:r>
          </w:p>
        </w:tc>
        <w:tc>
          <w:tcPr/>
          <w:p>
            <w:pPr>
              <w:pStyle w:val="Compact"/>
            </w:pPr>
            <w:r>
              <w:t xml:space="preserve">Δloss</w:t>
            </w:r>
          </w:p>
        </w:tc>
        <w:tc>
          <w:tcPr/>
          <w:p>
            <w:pPr>
              <w:pStyle w:val="Compact"/>
            </w:pPr>
            <w:r>
              <w:t xml:space="preserve">Init acc → Final acc</w:t>
            </w:r>
          </w:p>
        </w:tc>
        <w:tc>
          <w:tcPr/>
          <w:p>
            <w:pPr>
              <w:pStyle w:val="Compact"/>
            </w:pPr>
            <w:r>
              <w:t xml:space="preserve">Δacc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Centralized vanilla MeZO</w:t>
            </w:r>
          </w:p>
        </w:tc>
        <w:tc>
          <w:tcPr/>
          <w:p>
            <w:pPr>
              <w:pStyle w:val="Compact"/>
            </w:pPr>
            <w:r>
              <w:t xml:space="preserve">2.5691 →</w:t>
            </w:r>
            <w:r>
              <w:t xml:space="preserve"> </w:t>
            </w:r>
            <w:r>
              <w:rPr>
                <w:b/>
                <w:bCs/>
              </w:rPr>
              <w:t xml:space="preserve">2.7112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+5.5%</w:t>
            </w:r>
          </w:p>
        </w:tc>
        <w:tc>
          <w:tcPr/>
          <w:p>
            <w:pPr>
              <w:pStyle w:val="Compact"/>
            </w:pPr>
            <w:r>
              <w:t xml:space="preserve">0.6625 →</w:t>
            </w:r>
            <w:r>
              <w:t xml:space="preserve"> </w:t>
            </w:r>
            <w:r>
              <w:rPr>
                <w:b/>
                <w:bCs/>
              </w:rPr>
              <w:t xml:space="preserve">0.6375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−2.50pp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DIVERGED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Federated D-MeZO-N v1</w:t>
            </w:r>
            <w:r>
              <w:t xml:space="preserve"> </w:t>
            </w:r>
            <w:r>
              <w:t xml:space="preserve">(4c complete IID,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-decay</w:t>
            </w:r>
            <w:r>
              <w:t xml:space="preserve"> </w:t>
            </w:r>
            <m:oMath>
              <m:r>
                <m:t>0.9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-clip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2.5691 →</w:t>
            </w:r>
            <w:r>
              <w:t xml:space="preserve"> </w:t>
            </w:r>
            <w:r>
              <w:rPr>
                <w:b/>
                <w:bCs/>
              </w:rPr>
              <w:t xml:space="preserve">2.4959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−2.85%</w:t>
            </w:r>
          </w:p>
        </w:tc>
        <w:tc>
          <w:tcPr/>
          <w:p>
            <w:pPr>
              <w:pStyle w:val="Compact"/>
            </w:pPr>
            <w:r>
              <w:t xml:space="preserve">0.6625 →</w:t>
            </w:r>
            <w:r>
              <w:t xml:space="preserve"> </w:t>
            </w:r>
            <w:r>
              <w:rPr>
                <w:b/>
                <w:bCs/>
              </w:rPr>
              <w:t xml:space="preserve">0.7000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+3.75pp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CONVERGED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 </w:t>
            </w:r>
            <w:r>
              <w:t xml:space="preserve">federated vs. centralized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7.9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relative loss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6.25</m:t>
              </m:r>
            </m:oMath>
            <w:r>
              <w:t xml:space="preserve">pp absolute acc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findings: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Vanilla MeZO diverges on HellaSwag</w:t>
      </w:r>
      <w:r>
        <w:t xml:space="preserve"> </w:t>
      </w:r>
      <w:r>
        <w:t xml:space="preserve">— eval loss climbs monotonically from R200 onward, model loses 2.5 points of accuracy by R1000. This is a new negative result: vanilla MeZO does not always converge on hard reasoning tasks, even centralized. Observed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ρ</m:t>
            </m:r>
          </m:e>
        </m:acc>
        <m:r>
          <m:rPr>
            <m:sty m:val="p"/>
          </m:rPr>
          <m:t>|</m:t>
        </m:r>
      </m:oMath>
      <w:r>
        <w:t xml:space="preserve"> </w:t>
      </w:r>
      <w:r>
        <w:t xml:space="preserve">values peak at</w:t>
      </w:r>
      <w:r>
        <w:t xml:space="preserve"> </w:t>
      </w:r>
      <m:oMath>
        <m:r>
          <m:rPr>
            <m:sty m:val="p"/>
          </m:rPr>
          <m:t>+</m:t>
        </m:r>
        <m:r>
          <m:t>159</m:t>
        </m:r>
      </m:oMath>
      <w:r>
        <w:t xml:space="preserve"> </w:t>
      </w:r>
      <w:r>
        <w:t xml:space="preserve">(R360) — without clipping these outliers cumulatively drift the model.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D-MeZO-N v1 rescues</w:t>
      </w:r>
      <w:r>
        <w:t xml:space="preserve"> </w:t>
      </w:r>
      <w:r>
        <w:t xml:space="preserve">— same model, same task, same hyperparameters except</w:t>
      </w:r>
      <w:r>
        <w:t xml:space="preserve"> </w:t>
      </w:r>
      <m:oMath>
        <m:r>
          <m:t>ρ</m:t>
        </m:r>
      </m:oMath>
      <w:r>
        <w:t xml:space="preserve">-clip</w:t>
      </w:r>
      <m:oMath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-decay</w:t>
      </w:r>
      <w:r>
        <w:t xml:space="preserve"> </w:t>
      </w:r>
      <m:oMath>
        <m:r>
          <m:t>0.9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give monotonic descent (loss 2.5691 → 2.4959) and accuracy gain (0.6625 → 0.7000, best 0.7000 reached at R800). The β → 0 final phase produces small oscillations (R900 acc=0.6875, R1000 acc=0.7000) consistent with Corollary 7.1: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v</m:t>
            </m:r>
          </m:e>
          <m:sub>
            <m:r>
              <m:t>T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sSup>
          <m:e>
            <m:r>
              <m:t>G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Federated outperforms centralized.</w:t>
      </w:r>
      <w:r>
        <w:t xml:space="preserve"> </w:t>
      </w:r>
      <w:r>
        <w:t xml:space="preserve">Federated D-MeZO-N reaches</w:t>
      </w:r>
      <w:r>
        <w:t xml:space="preserve"> </w:t>
      </w:r>
      <w:r>
        <w:rPr>
          <w:b/>
          <w:bCs/>
        </w:rPr>
        <w:t xml:space="preserve">+6.25pp accuracy</w:t>
      </w:r>
      <w:r>
        <w:t xml:space="preserve"> </w:t>
      </w:r>
      <w:r>
        <w:t xml:space="preserve">above centralized vanilla on the same Qwen3-4B / HellaSwag setup. Two compounding effects: (a)</w:t>
      </w:r>
      <w:r>
        <w:t xml:space="preserve"> </w:t>
      </w:r>
      <m:oMath>
        <m:r>
          <m:t>ρ</m:t>
        </m:r>
      </m:oMath>
      <w:r>
        <w:t xml:space="preserve">-clipping +</w:t>
      </w:r>
      <w:r>
        <w:t xml:space="preserve"> </w:t>
      </w:r>
      <m:oMath>
        <m:r>
          <m:t>β</m:t>
        </m:r>
      </m:oMath>
      <w:r>
        <w:t xml:space="preserve">-decay stabilization (the rescue), (b)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-client averaging of independent</w:t>
      </w:r>
      <w:r>
        <w:t xml:space="preserve"> </w:t>
      </w:r>
      <m:oMath>
        <m:r>
          <m:t>z</m:t>
        </m:r>
      </m:oMath>
      <w:r>
        <w:t xml:space="preserve">-direction probes (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variance reduction per Theorem 1).</w:t>
      </w:r>
    </w:p>
    <w:p>
      <w:pPr>
        <w:pStyle w:val="FirstParagraph"/>
      </w:pPr>
      <w:r>
        <w:t xml:space="preserve">This validates Theorem 3 directly: under (A4)</w:t>
      </w:r>
      <w:r>
        <w:t xml:space="preserve"> </w:t>
      </w:r>
      <m:oMath>
        <m:r>
          <m:t>ρ</m:t>
        </m:r>
      </m:oMath>
      <w:r>
        <w:t xml:space="preserve">-clipping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</m:t>
        </m:r>
      </m:oMath>
      <w:r>
        <w:t xml:space="preserve">, the variance bound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t>r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the iterate sequence converges linearly to the</w:t>
      </w:r>
      <w:r>
        <w:t xml:space="preserve"> </w:t>
      </w:r>
      <m:oMath>
        <m:r>
          <m:t>4</m:t>
        </m:r>
        <m:sSup>
          <m:e>
            <m:r>
              <m:t>G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neighborhood. Without clipping (centralized vanilla),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unbounded and the neighborhood diverges — empirically confirmed.</w:t>
      </w:r>
    </w:p>
    <w:bookmarkEnd w:id="36"/>
    <w:bookmarkStart w:id="43" w:name="X4f10120f5b1ee0552d05036acea91cc22f5830e"/>
    <w:p>
      <w:pPr>
        <w:pStyle w:val="Heading2"/>
      </w:pPr>
      <w:r>
        <w:t xml:space="preserve">5.6 Cross-lingual + cross-architecture: MathLogicQA on Qwen3.5-4B-Base</w:t>
      </w:r>
    </w:p>
    <w:p>
      <w:pPr>
        <w:pStyle w:val="FirstParagraph"/>
      </w:pPr>
      <w:r>
        <w:t xml:space="preserve">To close the universality claim, we additionally test on</w:t>
      </w:r>
      <w:r>
        <w:t xml:space="preserve"> </w:t>
      </w:r>
      <w:r>
        <w:rPr>
          <w:b/>
          <w:bCs/>
        </w:rPr>
        <w:t xml:space="preserve">MathLogicQA</w:t>
      </w:r>
      <w:r>
        <w:t xml:space="preserve"> </w:t>
      </w:r>
      <w:r>
        <w:t xml:space="preserve">(part of MERA,</w:t>
      </w:r>
      <w:r>
        <w:t xml:space="preserve"> </w:t>
      </w:r>
      <w:r>
        <w:rPr>
          <w:rStyle w:val="VerbatimChar"/>
        </w:rPr>
        <w:t xml:space="preserve">ai-forever/MERA</w:t>
      </w:r>
      <w:r>
        <w:t xml:space="preserve">) — 4-way symbolic-logic + arithmetic reasoning in</w:t>
      </w:r>
      <w:r>
        <w:t xml:space="preserve"> </w:t>
      </w:r>
      <w:r>
        <w:rPr>
          <w:b/>
          <w:bCs/>
        </w:rPr>
        <w:t xml:space="preserve">Russian</w:t>
      </w:r>
      <w:r>
        <w:t xml:space="preserve">. This task is qualitatively different from HellaSwag: language is Russian (not English), reasoning is symbolic (not commonsense), and the suffix is a single Cyrillic letter (А/Б/В/Г) following MMLU/MERA conventions. We pair it with</w:t>
      </w:r>
      <w:r>
        <w:t xml:space="preserve"> </w:t>
      </w:r>
      <w:r>
        <w:rPr>
          <w:b/>
          <w:bCs/>
        </w:rPr>
        <w:t xml:space="preserve">Qwen3.5-4B-Base</w:t>
      </w:r>
      <w:r>
        <w:t xml:space="preserve"> </w:t>
      </w:r>
      <w:r>
        <w:t xml:space="preserve">— the hybrid linear-attention V-L architecture from §3.1 — making this the first known MeZO test on (hybrid linear-attn) × (Russian reasoning).</w:t>
      </w:r>
    </w:p>
    <w:p>
      <w:pPr>
        <w:pStyle w:val="BodyText"/>
      </w:pPr>
      <w:r>
        <w:t xml:space="preserve">The data pool is MERA train (680 labelled examples, test labels are private); we split 80/20 internally to obtain 544 train / 136 val, then subsample to 500 train / 100 eval. Setup otherwise identical to §5.5.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Init loss → Final loss</w:t>
            </w:r>
          </w:p>
        </w:tc>
        <w:tc>
          <w:tcPr/>
          <w:p>
            <w:pPr>
              <w:pStyle w:val="Compact"/>
            </w:pPr>
            <w:r>
              <w:t xml:space="preserve">Δloss</w:t>
            </w:r>
          </w:p>
        </w:tc>
        <w:tc>
          <w:tcPr/>
          <w:p>
            <w:pPr>
              <w:pStyle w:val="Compact"/>
            </w:pPr>
            <w:r>
              <w:t xml:space="preserve">Init acc → Final acc</w:t>
            </w:r>
          </w:p>
        </w:tc>
        <w:tc>
          <w:tcPr/>
          <w:p>
            <w:pPr>
              <w:pStyle w:val="Compact"/>
            </w:pPr>
            <w:r>
              <w:t xml:space="preserve">Best acc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Centralized vanilla MeZO</w:t>
            </w:r>
          </w:p>
        </w:tc>
        <w:tc>
          <w:tcPr/>
          <w:p>
            <w:pPr>
              <w:pStyle w:val="Compact"/>
            </w:pPr>
            <w:r>
              <w:t xml:space="preserve">2.8493 → 1.4331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−49.7%</w:t>
            </w:r>
          </w:p>
        </w:tc>
        <w:tc>
          <w:tcPr/>
          <w:p>
            <w:pPr>
              <w:pStyle w:val="Compact"/>
            </w:pPr>
            <w:r>
              <w:t xml:space="preserve">0.3750 → 0.3750</w:t>
            </w:r>
          </w:p>
        </w:tc>
        <w:tc>
          <w:tcPr/>
          <w:p>
            <w:pPr>
              <w:pStyle w:val="Compact"/>
            </w:pPr>
            <w:r>
              <w:t xml:space="preserve">0.3750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Federated D-MeZO-N v1</w:t>
            </w:r>
          </w:p>
        </w:tc>
        <w:tc>
          <w:tcPr/>
          <w:p>
            <w:pPr>
              <w:pStyle w:val="Compact"/>
            </w:pPr>
            <w:r>
              <w:t xml:space="preserve">2.8493 →</w:t>
            </w:r>
            <w:r>
              <w:t xml:space="preserve"> </w:t>
            </w:r>
            <w:r>
              <w:rPr>
                <w:b/>
                <w:bCs/>
              </w:rPr>
              <w:t xml:space="preserve">1.5155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−46.8%</w:t>
            </w:r>
          </w:p>
        </w:tc>
        <w:tc>
          <w:tcPr/>
          <w:p>
            <w:pPr>
              <w:pStyle w:val="Compact"/>
            </w:pPr>
            <w:r>
              <w:t xml:space="preserve">0.3750 →</w:t>
            </w:r>
            <w:r>
              <w:t xml:space="preserve"> </w:t>
            </w:r>
            <w:r>
              <w:rPr>
                <w:b/>
                <w:bCs/>
              </w:rPr>
              <w:t xml:space="preserve">0.3875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0.4125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@R500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guess (4-way)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0.2500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 </w:t>
            </w:r>
            <w:r>
              <w:t xml:space="preserve">fed. vs centralized</w:t>
            </w:r>
          </w:p>
        </w:tc>
        <w:tc>
          <w:tcPr/>
          <w:p>
            <w:pPr>
              <w:pStyle w:val="Compact"/>
            </w:pPr>
            <w:r>
              <w:t xml:space="preserve">+5.8% loss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+1.25pp acc</w:t>
            </w:r>
            <w:r>
              <w:t xml:space="preserve"> </w:t>
            </w:r>
            <w:r>
              <w:t xml:space="preserve">(final) /</w:t>
            </w:r>
            <w:r>
              <w:t xml:space="preserve"> </w:t>
            </w:r>
            <w:r>
              <w:rPr>
                <w:b/>
                <w:bCs/>
              </w:rPr>
              <w:t xml:space="preserve">+3.75pp</w:t>
            </w:r>
            <w:r>
              <w:t xml:space="preserve"> </w:t>
            </w:r>
            <w:r>
              <w:t xml:space="preserve">(peak)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Two qualitatively distinct regimes, one recipe.</w:t>
      </w:r>
      <w:r>
        <w:t xml:space="preserve"> </w:t>
      </w:r>
      <w:r>
        <w:t xml:space="preserve">Together with §5.5 this 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Vanilla MeZO</w:t>
            </w:r>
          </w:p>
        </w:tc>
        <w:tc>
          <w:tcPr/>
          <w:p>
            <w:pPr>
              <w:pStyle w:val="Compact"/>
            </w:pPr>
            <w:r>
              <w:t xml:space="preserve">D-MeZO-N v1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SST-2 (Day 8 R1d)</w:t>
            </w:r>
          </w:p>
        </w:tc>
        <w:tc>
          <w:tcPr/>
          <w:p>
            <w:pPr>
              <w:pStyle w:val="Compact"/>
            </w:pPr>
            <w:r>
              <w:t xml:space="preserve">converges</w:t>
            </w:r>
          </w:p>
        </w:tc>
        <w:tc>
          <w:tcPr/>
          <w:p>
            <w:pPr>
              <w:pStyle w:val="Compact"/>
            </w:pPr>
            <w:r>
              <w:t xml:space="preserve">+6.5% speedup</w:t>
            </w:r>
          </w:p>
        </w:tc>
        <w:tc>
          <w:tcPr/>
          <w:p>
            <w:pPr>
              <w:pStyle w:val="Compact"/>
            </w:pPr>
            <w:r>
              <w:t xml:space="preserve">acceleration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HellaSwag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diverges (−2.5pp acc)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converges (+3.75pp acc)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rescue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MathLogicQA</w:t>
            </w:r>
          </w:p>
        </w:tc>
        <w:tc>
          <w:tcPr/>
          <w:p>
            <w:pPr>
              <w:pStyle w:val="Compact"/>
            </w:pPr>
            <w:r>
              <w:t xml:space="preserve">converges</w:t>
            </w:r>
          </w:p>
        </w:tc>
        <w:tc>
          <w:tcPr/>
          <w:p>
            <w:pPr>
              <w:pStyle w:val="Compact"/>
            </w:pPr>
            <w:r>
              <w:t xml:space="preserve">+1.25pp acc final, +3.75pp peak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 tracking with small acc gain</w:t>
            </w:r>
          </w:p>
        </w:tc>
      </w:tr>
    </w:tbl>
    <w:p>
      <w:pPr>
        <w:pStyle w:val="BodyText"/>
      </w:pPr>
      <w:r>
        <w:t xml:space="preserve">The same recipe (β-decay 0.9 → 0 + ρ-clip 50) works as</w:t>
      </w:r>
      <w:r>
        <w:t xml:space="preserve"> </w:t>
      </w:r>
      <w:r>
        <w:rPr>
          <w:b/>
          <w:bCs/>
        </w:rPr>
        <w:t xml:space="preserve">rescue</w:t>
      </w:r>
      <w:r>
        <w:t xml:space="preserve"> </w:t>
      </w:r>
      <w:r>
        <w:t xml:space="preserve">when vanilla diverges (HellaSwag: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ρ</m:t>
            </m:r>
          </m:e>
        </m:acc>
        <m:r>
          <m:rPr>
            <m:sty m:val="p"/>
          </m:rPr>
          <m:t>|</m:t>
        </m:r>
      </m:oMath>
      <w:r>
        <w:t xml:space="preserve"> </w:t>
      </w:r>
      <w:r>
        <w:t xml:space="preserve">peaks at +159, neighborhood diverges) and as</w:t>
      </w:r>
      <w:r>
        <w:t xml:space="preserve"> </w:t>
      </w:r>
      <w:r>
        <w:rPr>
          <w:b/>
          <w:bCs/>
        </w:rPr>
        <w:t xml:space="preserve">safe regularizer</w:t>
      </w:r>
      <w:r>
        <w:t xml:space="preserve"> </w:t>
      </w:r>
      <w:r>
        <w:t xml:space="preserve">when vanilla converges (MathLogicQA: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ρ</m:t>
            </m:r>
          </m:e>
        </m:acc>
        <m:r>
          <m:rPr>
            <m:sty m:val="p"/>
          </m:rPr>
          <m:t>|</m:t>
        </m:r>
      </m:oMath>
      <w:r>
        <w:t xml:space="preserve"> </w:t>
      </w:r>
      <w:r>
        <w:t xml:space="preserve">peaks at +375 but cumulative effect is bounded by single-token suffix loss — vanilla still converges, but D-MeZO-N produces slightly better-generalizing model via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z-direction averaging across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clients).</w:t>
      </w:r>
    </w:p>
    <w:p>
      <w:pPr>
        <w:pStyle w:val="BodyText"/>
      </w:pPr>
      <w:r>
        <w:t xml:space="preserve">This is exactly the behavior Theorem 3 predicts: under bounded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</m:oMath>
      <w:r>
        <w:t xml:space="preserve">, linear convergence to</w:t>
      </w:r>
      <w:r>
        <w:t xml:space="preserve"> </w:t>
      </w:r>
      <m:oMath>
        <m:r>
          <m:t>4</m:t>
        </m:r>
        <m:sSup>
          <m:e>
            <m:r>
              <m:t>G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t>μ</m:t>
        </m:r>
        <m:r>
          <m:rPr>
            <m:sty m:val="p"/>
          </m:rPr>
          <m:t>)</m:t>
        </m:r>
      </m:oMath>
      <w:r>
        <w:t xml:space="preserve">; without clip,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unbounded, neighborhood diverges. Two empirical regimes, one theoretical mechanism.</w:t>
      </w:r>
    </w:p>
    <w:p>
      <w:pPr>
        <w:pStyle w:val="CaptionedFigure"/>
      </w:pPr>
      <w:r>
        <w:drawing>
          <wp:inline>
            <wp:extent cx="5334000" cy="1649018"/>
            <wp:effectExtent b="0" l="0" r="0" t="0"/>
            <wp:docPr descr="Figure 6. Cross-domain trajectories illustrating the two D-MeZO-N regimes. (a) HellaSwag on Qwen3-4B: centralized vanilla MeZO drifts upward from R200 (final loss +5.5% vs. init, accuracy −2.5pp), while federated D-MeZO-N v1 (β-decay 0.9→0 + ρ-clip=50) descends monotonically (final loss −2.85%, accuracy +3.75pp). (b) MathLogicQA on Qwen3.5-4B-Base: vanilla MeZO already converges (loss −49.7%); D-MeZO-N tracks closely (loss −46.8%) with a small accuracy gain (+1.25pp final / +3.75pp peak at R500). Same recipe, two qualitatively distinct convergence regimes." title="" id="38" name="Picture"/>
            <a:graphic>
              <a:graphicData uri="http://schemas.openxmlformats.org/drawingml/2006/picture">
                <pic:pic>
                  <pic:nvPicPr>
                    <pic:cNvPr descr="figures/fig6_cross_domain_trajectorie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90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Cross-domain trajectories illustrating the two D-MeZO-N regimes. (a) HellaSwag on Qwen3-4B: centralized vanilla MeZO drifts upward from R200 (final loss +5.5% vs. init, accuracy −2.5pp), while federated D-MeZO-N v1 (β-decay 0.9→0 + ρ-clip=50) descends monotonically (final loss −2.85%, accuracy +3.75pp). (b) MathLogicQA on Qwen3.5-4B-Base: vanilla MeZO already converges (loss −49.7%); D-MeZO-N tracks closely (loss −46.8%) with a small accuracy gain (+1.25pp final / +3.75pp peak at R500). Same recipe, two qualitatively distinct convergence regimes.</w:t>
      </w:r>
    </w:p>
    <w:p>
      <w:pPr>
        <w:pStyle w:val="CaptionedFigure"/>
      </w:pPr>
      <w:r>
        <w:drawing>
          <wp:inline>
            <wp:extent cx="5039999" cy="1958487"/>
            <wp:effectExtent b="0" l="0" r="0" t="0"/>
            <wp:docPr descr="Figure 7. Cross-task summary: improvement of D-MeZO-N v1 over centralized vanilla MeZO across three task domains. SST-2 (Day 8 R1d, single-seed): +6.5% loss reduction. HellaSwag (§5.5): +6.25pp accuracy (rescue regime — vanilla diverges). MathLogicQA (§5.6): +1.25pp accuracy (safe-track regime — vanilla converges). One recipe (β-decay 0.9 → 0 + ρ-clip=50) operates effectively across acceleration, rescue, and safe-tracking regimes." title="" id="41" name="Picture"/>
            <a:graphic>
              <a:graphicData uri="http://schemas.openxmlformats.org/drawingml/2006/picture">
                <pic:pic>
                  <pic:nvPicPr>
                    <pic:cNvPr descr="figures/fig7_cross_task_summary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1958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 Cross-task summary: improvement of D-MeZO-N v1 over centralized vanilla MeZO across three task domains. SST-2 (Day 8 R1d, single-seed): +6.5% loss reduction. HellaSwag (§5.5): +6.25pp accuracy (rescue regime — vanilla diverges). MathLogicQA (§5.6): +1.25pp accuracy (safe-track regime — vanilla converges). One recipe (β-decay 0.9 → 0 + ρ-clip=50) operates effectively across acceleration, rescue, and safe-tracking regimes.</w:t>
      </w:r>
    </w:p>
    <w:bookmarkEnd w:id="43"/>
    <w:bookmarkEnd w:id="44"/>
    <w:bookmarkStart w:id="45" w:name="discussion"/>
    <w:p>
      <w:pPr>
        <w:pStyle w:val="Heading1"/>
      </w:pPr>
      <w:r>
        <w:t xml:space="preserve">6. Discussion</w:t>
      </w:r>
    </w:p>
    <w:p>
      <w:pPr>
        <w:pStyle w:val="FirstParagraph"/>
      </w:pPr>
      <w:r>
        <w:rPr>
          <w:b/>
          <w:bCs/>
        </w:rPr>
        <w:t xml:space="preserve">Why ring ≤ complete on the ZO regime?</w:t>
      </w:r>
      <w:r>
        <w:t xml:space="preserve"> </w:t>
      </w:r>
      <w:r>
        <w:t xml:space="preserve">A counter-intuitive finding: on both partition regimes the ring topology (</w:t>
      </w:r>
      <m:oMath>
        <m:r>
          <m:t>ρ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0.333</m:t>
        </m:r>
      </m:oMath>
      <w:r>
        <w:t xml:space="preserve">) consistently matches or out-performs the complete topology (</w:t>
      </w:r>
      <m:oMath>
        <m:r>
          <m:t>ρ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In the ZO regime, very high per-step variance of</w:t>
      </w:r>
      <w:r>
        <w:t xml:space="preserve"> </w:t>
      </w:r>
      <m:oMath>
        <m:acc>
          <m:accPr>
            <m:chr m:val="̂"/>
          </m:accPr>
          <m:e>
            <m:r>
              <m:t>ρ</m:t>
            </m:r>
          </m:e>
        </m:acc>
      </m:oMath>
      <w:r>
        <w:t xml:space="preserve"> </w:t>
      </w:r>
      <w:r>
        <w:t xml:space="preserve">means that slower consensus mixing may act as an implicit regulariser.</w:t>
      </w:r>
    </w:p>
    <w:p>
      <w:pPr>
        <w:pStyle w:val="BodyText"/>
      </w:pPr>
      <w:r>
        <w:rPr>
          <w:b/>
          <w:bCs/>
        </w:rPr>
        <w:t xml:space="preserve">Why is naive Nesterov incompatible with ZO?</w:t>
      </w:r>
      <w:r>
        <w:t xml:space="preserve"> </w:t>
      </w:r>
      <w:r>
        <w:t xml:space="preserve">The dual-channel noise structure of look-ahead Nesterov (probe-location and update-direction both depending on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) compounds the variance amplification. At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the look-ahead variant diverges 7× faster than heavy-ball (R20 vs. R140).</w:t>
      </w:r>
    </w:p>
    <w:p>
      <w:pPr>
        <w:pStyle w:val="BodyText"/>
      </w:pPr>
      <w:r>
        <w:rPr>
          <w:b/>
          <w:bCs/>
        </w:rPr>
        <w:t xml:space="preserve">Practical recipe.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,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</m:oMath>
      <w:r>
        <w:t xml:space="preserve">-clipping with</w:t>
      </w:r>
      <w:r>
        <w:t xml:space="preserve"> </w:t>
      </w:r>
      <m:oMath>
        <m:r>
          <m:t>C</m:t>
        </m:r>
        <m:r>
          <m:rPr>
            <m:sty m:val="p"/>
          </m:rPr>
          <m:t>≈</m:t>
        </m:r>
        <m:r>
          <m:t>1.3</m:t>
        </m:r>
        <m:r>
          <m:rPr>
            <m:sty m:val="p"/>
          </m:rPr>
          <m:t>×</m:t>
        </m:r>
        <m:r>
          <m:rPr>
            <m:sty m:val="p"/>
          </m:rPr>
          <m:t>max</m:t>
        </m:r>
      </m:oMath>
      <w:r>
        <w:t xml:space="preserve"> </w:t>
      </w:r>
      <w:r>
        <w:t xml:space="preserve">observed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ρ</m:t>
            </m:r>
          </m:e>
        </m:acc>
        <m:r>
          <m:rPr>
            <m:sty m:val="p"/>
          </m:rPr>
          <m:t>|</m:t>
        </m:r>
      </m:oMath>
      <w:r>
        <w:t xml:space="preserve">, linear</w:t>
      </w:r>
      <w:r>
        <w:t xml:space="preserve"> </w:t>
      </w:r>
      <m:oMath>
        <m:r>
          <m:t>β</m:t>
        </m:r>
      </m:oMath>
      <w:r>
        <w:t xml:space="preserve">-schedule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0.9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</m:oMath>
      <w:r>
        <w:t xml:space="preserve">, doubly-stochastic mixing matrix.</w:t>
      </w:r>
    </w:p>
    <w:bookmarkEnd w:id="45"/>
    <w:bookmarkStart w:id="46" w:name="limitations-and-future-work"/>
    <w:p>
      <w:pPr>
        <w:pStyle w:val="Heading1"/>
      </w:pPr>
      <w:r>
        <w:t xml:space="preserve">7. Limitations and Future Work</w:t>
      </w:r>
    </w:p>
    <w:p>
      <w:pPr>
        <w:pStyle w:val="FirstParagraph"/>
      </w:pPr>
      <w:r>
        <w:rPr>
          <w:b/>
          <w:bCs/>
        </w:rPr>
        <w:t xml:space="preserve">Empirical.</w:t>
      </w:r>
      <w:r>
        <w:t xml:space="preserve"> </w:t>
      </w:r>
      <w:r>
        <w:t xml:space="preserve">Multi-seed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 the Day 5 SST-2 grid; HellaSwag (§5.5) and MathLogicQA (§5.6) results are single-seed — multi-seed extension is straightforward but budget-constrained. No head-to-head comparison with FedKSeed / Ferret / FedZeN (non-trivial integration work). Scale beyond 4 clients / 4B parameters untested; real FL deployments have 100+ clients and 8B+ models. Generative tasks (SAMSum, GSM8K) untested — §5.5/§5.6 cover multi-choice reasoning, not free-form generation.</w:t>
      </w:r>
    </w:p>
    <w:p>
      <w:pPr>
        <w:pStyle w:val="BodyText"/>
      </w:pPr>
      <w:r>
        <w:rPr>
          <w:b/>
          <w:bCs/>
        </w:rPr>
        <w:t xml:space="preserve">Theoretical.</w:t>
      </w:r>
      <w:r>
        <w:t xml:space="preserve"> </w:t>
      </w:r>
      <w:r>
        <w:t xml:space="preserve">Theorem 3 (non-convex PL + heavy-ball momentum + ZO +</w:t>
      </w:r>
      <w:r>
        <w:t xml:space="preserve"> </w:t>
      </w:r>
      <m:oMath>
        <m:r>
          <m:t>ρ</m:t>
        </m:r>
      </m:oMath>
      <w:r>
        <w:t xml:space="preserve">-clipping +</w:t>
      </w:r>
      <w:r>
        <w:t xml:space="preserve"> </w:t>
      </w:r>
      <m:oMath>
        <m:r>
          <m:t>β</m:t>
        </m:r>
      </m:oMath>
      <w:r>
        <w:t xml:space="preserve">-decay) is proved in</w:t>
      </w:r>
      <w:r>
        <w:t xml:space="preserve"> </w:t>
      </w:r>
      <w:r>
        <w:rPr>
          <w:rStyle w:val="VerbatimChar"/>
        </w:rPr>
        <w:t xml:space="preserve">docs/theory_nesterov_mezo.md</w:t>
      </w:r>
      <w:r>
        <w:t xml:space="preserve"> </w:t>
      </w:r>
      <w:r>
        <w:t xml:space="preserve">and empirically validated in two regimes: as</w:t>
      </w:r>
      <w:r>
        <w:t xml:space="preserve"> </w:t>
      </w:r>
      <w:r>
        <w:rPr>
          <w:b/>
          <w:bCs/>
        </w:rPr>
        <w:t xml:space="preserve">rescue</w:t>
      </w:r>
      <w:r>
        <w:t xml:space="preserve"> </w:t>
      </w:r>
      <w:r>
        <w:t xml:space="preserve">on HellaSwag (§5.5) and as</w:t>
      </w:r>
      <w:r>
        <w:t xml:space="preserve"> </w:t>
      </w:r>
      <w:r>
        <w:rPr>
          <w:b/>
          <w:bCs/>
        </w:rPr>
        <w:t xml:space="preserve">safe convergence</w:t>
      </w:r>
      <w:r>
        <w:t xml:space="preserve"> </w:t>
      </w:r>
      <w:r>
        <w:t xml:space="preserve">on MathLogicQA (§5.6). The full decentralized extension (mixing matrix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ρ</m:t>
            </m:r>
          </m:e>
          <m:sub>
            <m:r>
              <m:t>W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combined with momentum + clipping) and transient acceleration (vs. asymptotic) remain open subproblems.</w:t>
      </w:r>
    </w:p>
    <w:bookmarkEnd w:id="46"/>
    <w:bookmarkStart w:id="47" w:name="conclusion"/>
    <w:p>
      <w:pPr>
        <w:pStyle w:val="Heading1"/>
      </w:pPr>
      <w:r>
        <w:t xml:space="preserve">8. Conclusion</w:t>
      </w:r>
    </w:p>
    <w:p>
      <w:pPr>
        <w:pStyle w:val="FirstParagraph"/>
      </w:pPr>
      <w:r>
        <w:t xml:space="preserve">We presented D-MeZO-N — Decentralized Federated MeZO with Nesterov-style acceleration — and established it as a viable peer-to-peer federated optimizer for LLM fine-tuning. Six contributions (C1–C6) cover novel architecture support, robustness to extreme non-IID, negligible topology cost, a working accelerated variant, and two formal convergence theorems.</w:t>
      </w:r>
    </w:p>
    <w:bookmarkEnd w:id="47"/>
    <w:bookmarkStart w:id="48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Aybat, N. S., Fallah, A., Gurbuzbalaban, M., Ozdaglar, A. (2019). A universally optimal multistage accelerated stochastic gradient method. NeurIPS 2019.</w:t>
      </w:r>
    </w:p>
    <w:p>
      <w:pPr>
        <w:pStyle w:val="BodyText"/>
      </w:pPr>
      <w:r>
        <w:t xml:space="preserve">Karimi, H., Nutini, J., Schmidt, M. (2016). Linear convergence of gradient and proximal-gradient methods under the Polyak-Łojasiewicz condition. ECML-PKDD 2016.</w:t>
      </w:r>
    </w:p>
    <w:p>
      <w:pPr>
        <w:pStyle w:val="BodyText"/>
      </w:pPr>
      <w:r>
        <w:t xml:space="preserve">Koloskova, A., Loizou, N., Boreiri, S., Jaggi, M., Stich, S. U. (2020). A unified theory of decentralized SGD with changing topology and local updates. ICML 2020.</w:t>
      </w:r>
    </w:p>
    <w:p>
      <w:pPr>
        <w:pStyle w:val="BodyText"/>
      </w:pPr>
      <w:r>
        <w:t xml:space="preserve">Malladi, S., Gao, T., Nichani, E., Damian, A., Lee, J. D., Chen, D., Arora, S. (2023). Fine-tuning language models with just forward passes. NeurIPS 2023.</w:t>
      </w:r>
    </w:p>
    <w:p>
      <w:pPr>
        <w:pStyle w:val="BodyText"/>
      </w:pPr>
      <w:r>
        <w:t xml:space="preserve">Maritan, A., Ridolfi, A., Notarstefano, G. (2024). FedZeN: a zeroth-order Newton-style method for federated learning. arXiv:2309.17241.</w:t>
      </w:r>
    </w:p>
    <w:p>
      <w:pPr>
        <w:pStyle w:val="BodyText"/>
      </w:pPr>
      <w:r>
        <w:t xml:space="preserve">Nesterov, Y., Spokoiny, V. (2017). Random gradient-free minimization of convex functions. Foundations of Computational Mathematics 17(2):527–566.</w:t>
      </w:r>
    </w:p>
    <w:p>
      <w:pPr>
        <w:pStyle w:val="BodyText"/>
      </w:pPr>
      <w:r>
        <w:t xml:space="preserve">Polyak, B. T. (1964). Some methods of speeding up the convergence of iteration methods. USSR Computational Mathematics and Mathematical Physics 4(5):1–17.</w:t>
      </w:r>
    </w:p>
    <w:p>
      <w:pPr>
        <w:pStyle w:val="BodyText"/>
      </w:pPr>
      <w:r>
        <w:t xml:space="preserve">Qin, Z., Chen, D., Qian, B., Ding, B., Li, Y., Deng, S. (2024). FedKSeed. ICML 2024.</w:t>
      </w:r>
    </w:p>
    <w:p>
      <w:pPr>
        <w:pStyle w:val="BodyText"/>
      </w:pPr>
      <w:r>
        <w:t xml:space="preserve">Shu, Y., Yao, W., Hu, S. X. (2024). Ferret: federated full-parameter tuning at scale for large language models. arXiv:2409.06277.</w:t>
      </w:r>
    </w:p>
    <w:p>
      <w:pPr>
        <w:pStyle w:val="BodyText"/>
      </w:pPr>
      <w:r>
        <w:t xml:space="preserve">Spall, J. C. (1992). Multivariate stochastic approximation using a simultaneous perturbation gradient approximation. IEEE TAC 37(3):332–341.</w:t>
      </w:r>
    </w:p>
    <w:p>
      <w:pPr>
        <w:pStyle w:val="BodyText"/>
      </w:pPr>
      <w:r>
        <w:t xml:space="preserve">Stich, S. U. (2019). Local SGD converges fast and communicates little. ICLR 2019.</w:t>
      </w:r>
    </w:p>
    <w:p>
      <w:pPr>
        <w:pStyle w:val="BodyText"/>
      </w:pPr>
      <w:r>
        <w:t xml:space="preserve">Yang, T., Lin, Q., Li, Z. (2016). Unified convergence analysis of stochastic momentum methods. arXiv:1604.03257.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27" Target="media/rId27.png" /><Relationship Type="http://schemas.openxmlformats.org/officeDocument/2006/relationships/image" Id="rId33" Target="media/rId33.png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D-MeZO-N: Decentralized Federated MeZO with Nesterov Acceleration</dc:title>
  <dc:creator>Maxim Sukhatsky — Bauman MSTU (Kaluga branch) — rmnfn1992@outlook.com — github.com/Siesher/dmezo</dc:creator>
  <dc:language>en</dc:language>
  <cp:keywords/>
  <dcterms:created xsi:type="dcterms:W3CDTF">2026-05-18T09:41:41Z</dcterms:created>
  <dcterms:modified xsi:type="dcterms:W3CDTF">2026-05-18T09:41:41Z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Spring 2026</vt:lpwstr>
  </property>
</Properties>
</file>