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e3a5f"/>
          <w:sz w:val="56"/>
          <w:szCs w:val="56"/>
        </w:rPr>
        <w:t xml:space="preserve">Demand Forecasting &amp;</w:t>
      </w:r>
    </w:p>
    <w:p>
      <w:pPr>
        <w:spacing w:after="80"/>
        <w:jc w:val="center"/>
      </w:pPr>
      <w:r>
        <w:rPr>
          <w:rFonts w:ascii="Arial" w:cs="Arial" w:eastAsia="Arial" w:hAnsi="Arial"/>
          <w:b/>
          <w:bCs/>
          <w:color w:val="1e3a5f"/>
          <w:sz w:val="56"/>
          <w:szCs w:val="56"/>
        </w:rPr>
        <w:t xml:space="preserve">Inventory Optimization</w:t>
      </w:r>
    </w:p>
    <w:p>
      <w:pPr>
        <w:spacing w:after="200"/>
        <w:jc w:val="center"/>
      </w:pPr>
      <w:r>
        <w:rPr>
          <w:rFonts w:ascii="Arial" w:cs="Arial" w:eastAsia="Arial" w:hAnsi="Arial"/>
          <w:b/>
          <w:bCs/>
          <w:color w:val="2e86ab"/>
          <w:sz w:val="48"/>
          <w:szCs w:val="48"/>
        </w:rPr>
        <w:t xml:space="preserve">Using Python</w:t>
      </w:r>
    </w:p>
    <w:p>
      <w:pPr>
        <w:pBdr>
          <w:bottom w:val="single" w:color="2e86ab" w:sz="4" w:space="1"/>
        </w:pBdr>
        <w:spacing w:after="160" w:before="160"/>
      </w:pPr>
    </w:p>
    <w:p>
      <w:pPr>
        <w:spacing w:after="120"/>
        <w:jc w:val="center"/>
      </w:pPr>
      <w:r>
        <w:rPr>
          <w:rFonts w:ascii="Arial" w:cs="Arial" w:eastAsia="Arial" w:hAnsi="Arial"/>
          <w:color w:val="555555"/>
          <w:sz w:val="22"/>
          <w:szCs w:val="22"/>
        </w:rPr>
        <w:t xml:space="preserve">Dataset: Jan 2022 – Jan 2024  |  76,000 Records  |  5 Stores  |  20 Products</w:t>
      </w:r>
    </w:p>
    <w:p>
      <w:pPr>
        <w:spacing w:after="600"/>
        <w:jc w:val="center"/>
      </w:pPr>
      <w:r>
        <w:rPr>
          <w:rFonts w:ascii="Arial" w:cs="Arial" w:eastAsia="Arial" w:hAnsi="Arial"/>
          <w:color w:val="666666"/>
          <w:sz w:val="21"/>
          <w:szCs w:val="21"/>
        </w:rPr>
        <w:t xml:space="preserve">Analytical Techniques: Holt-Winters ES Forecasting · EOQ Model · Cost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BF2F7" w:val="clear"/>
            <w:tcMar>
              <w:top w:type="dxa" w:w="100"/>
              <w:left w:type="dxa" w:w="160"/>
              <w:bottom w:type="dxa" w:w="100"/>
              <w:right w:type="dxa" w:w="160"/>
            </w:tcMar>
            <w:vAlign w:val="center"/>
          </w:tcPr>
          <w:p>
            <w:pPr>
              <w:jc w:val="center"/>
            </w:pPr>
            <w:r>
              <w:rPr>
                <w:rFonts w:ascii="Arial" w:cs="Arial" w:eastAsia="Arial" w:hAnsi="Arial"/>
                <w:b/>
                <w:bCs/>
                <w:color w:val="1e3a5f"/>
                <w:sz w:val="30"/>
                <w:szCs w:val="30"/>
              </w:rPr>
              <w:t xml:space="preserve">76,000</w:t>
            </w:r>
          </w:p>
          <w:p>
            <w:pPr>
              <w:jc w:val="center"/>
            </w:pPr>
            <w:r>
              <w:rPr>
                <w:rFonts w:ascii="Arial" w:cs="Arial" w:eastAsia="Arial" w:hAnsi="Arial"/>
                <w:color w:val="555555"/>
                <w:sz w:val="17"/>
                <w:szCs w:val="17"/>
              </w:rPr>
              <w:t xml:space="preserve">Total Records</w:t>
            </w:r>
          </w:p>
        </w:tc>
        <w:tc>
          <w:tcPr>
            <w:tcW w:type="dxa" w:w="1872"/>
            <w:tcBorders>
              <w:top w:val="single" w:color="CCCCCC" w:sz="1"/>
              <w:left w:val="single" w:color="CCCCCC" w:sz="1"/>
              <w:bottom w:val="single" w:color="CCCCCC" w:sz="1"/>
              <w:right w:val="single" w:color="CCCCCC" w:sz="1"/>
            </w:tcBorders>
            <w:shd w:fill="EBF2F7" w:val="clear"/>
            <w:tcMar>
              <w:top w:type="dxa" w:w="100"/>
              <w:left w:type="dxa" w:w="160"/>
              <w:bottom w:type="dxa" w:w="100"/>
              <w:right w:type="dxa" w:w="160"/>
            </w:tcMar>
            <w:vAlign w:val="center"/>
          </w:tcPr>
          <w:p>
            <w:pPr>
              <w:jc w:val="center"/>
            </w:pPr>
            <w:r>
              <w:rPr>
                <w:rFonts w:ascii="Arial" w:cs="Arial" w:eastAsia="Arial" w:hAnsi="Arial"/>
                <w:b/>
                <w:bCs/>
                <w:color w:val="1e3a5f"/>
                <w:sz w:val="30"/>
                <w:szCs w:val="30"/>
              </w:rPr>
              <w:t xml:space="preserve">Jan 2022 – Jan 2024</w:t>
            </w:r>
          </w:p>
          <w:p>
            <w:pPr>
              <w:jc w:val="center"/>
            </w:pPr>
            <w:r>
              <w:rPr>
                <w:rFonts w:ascii="Arial" w:cs="Arial" w:eastAsia="Arial" w:hAnsi="Arial"/>
                <w:color w:val="555555"/>
                <w:sz w:val="17"/>
                <w:szCs w:val="17"/>
              </w:rPr>
              <w:t xml:space="preserve">Date Range</w:t>
            </w:r>
          </w:p>
        </w:tc>
        <w:tc>
          <w:tcPr>
            <w:tcW w:type="dxa" w:w="1872"/>
            <w:tcBorders>
              <w:top w:val="single" w:color="CCCCCC" w:sz="1"/>
              <w:left w:val="single" w:color="CCCCCC" w:sz="1"/>
              <w:bottom w:val="single" w:color="CCCCCC" w:sz="1"/>
              <w:right w:val="single" w:color="CCCCCC" w:sz="1"/>
            </w:tcBorders>
            <w:shd w:fill="EBF2F7" w:val="clear"/>
            <w:tcMar>
              <w:top w:type="dxa" w:w="100"/>
              <w:left w:type="dxa" w:w="160"/>
              <w:bottom w:type="dxa" w:w="100"/>
              <w:right w:type="dxa" w:w="160"/>
            </w:tcMar>
            <w:vAlign w:val="center"/>
          </w:tcPr>
          <w:p>
            <w:pPr>
              <w:jc w:val="center"/>
            </w:pPr>
            <w:r>
              <w:rPr>
                <w:rFonts w:ascii="Arial" w:cs="Arial" w:eastAsia="Arial" w:hAnsi="Arial"/>
                <w:b/>
                <w:bCs/>
                <w:color w:val="1e3a5f"/>
                <w:sz w:val="30"/>
                <w:szCs w:val="30"/>
              </w:rPr>
              <w:t xml:space="preserve">5 Stores</w:t>
            </w:r>
          </w:p>
          <w:p>
            <w:pPr>
              <w:jc w:val="center"/>
            </w:pPr>
            <w:r>
              <w:rPr>
                <w:rFonts w:ascii="Arial" w:cs="Arial" w:eastAsia="Arial" w:hAnsi="Arial"/>
                <w:color w:val="555555"/>
                <w:sz w:val="17"/>
                <w:szCs w:val="17"/>
              </w:rPr>
              <w:t xml:space="preserve">Locations</w:t>
            </w:r>
          </w:p>
        </w:tc>
        <w:tc>
          <w:tcPr>
            <w:tcW w:type="dxa" w:w="1872"/>
            <w:tcBorders>
              <w:top w:val="single" w:color="CCCCCC" w:sz="1"/>
              <w:left w:val="single" w:color="CCCCCC" w:sz="1"/>
              <w:bottom w:val="single" w:color="CCCCCC" w:sz="1"/>
              <w:right w:val="single" w:color="CCCCCC" w:sz="1"/>
            </w:tcBorders>
            <w:shd w:fill="EBF2F7" w:val="clear"/>
            <w:tcMar>
              <w:top w:type="dxa" w:w="100"/>
              <w:left w:type="dxa" w:w="160"/>
              <w:bottom w:type="dxa" w:w="100"/>
              <w:right w:type="dxa" w:w="160"/>
            </w:tcMar>
            <w:vAlign w:val="center"/>
          </w:tcPr>
          <w:p>
            <w:pPr>
              <w:jc w:val="center"/>
            </w:pPr>
            <w:r>
              <w:rPr>
                <w:rFonts w:ascii="Arial" w:cs="Arial" w:eastAsia="Arial" w:hAnsi="Arial"/>
                <w:b/>
                <w:bCs/>
                <w:color w:val="1e3a5f"/>
                <w:sz w:val="30"/>
                <w:szCs w:val="30"/>
              </w:rPr>
              <w:t xml:space="preserve">5</w:t>
            </w:r>
          </w:p>
          <w:p>
            <w:pPr>
              <w:jc w:val="center"/>
            </w:pPr>
            <w:r>
              <w:rPr>
                <w:rFonts w:ascii="Arial" w:cs="Arial" w:eastAsia="Arial" w:hAnsi="Arial"/>
                <w:color w:val="555555"/>
                <w:sz w:val="17"/>
                <w:szCs w:val="17"/>
              </w:rPr>
              <w:t xml:space="preserve">Categories</w:t>
            </w:r>
          </w:p>
        </w:tc>
        <w:tc>
          <w:tcPr>
            <w:tcW w:type="dxa" w:w="1872"/>
            <w:tcBorders>
              <w:top w:val="single" w:color="CCCCCC" w:sz="1"/>
              <w:left w:val="single" w:color="CCCCCC" w:sz="1"/>
              <w:bottom w:val="single" w:color="CCCCCC" w:sz="1"/>
              <w:right w:val="single" w:color="CCCCCC" w:sz="1"/>
            </w:tcBorders>
            <w:shd w:fill="EBF2F7" w:val="clear"/>
            <w:tcMar>
              <w:top w:type="dxa" w:w="100"/>
              <w:left w:type="dxa" w:w="160"/>
              <w:bottom w:type="dxa" w:w="100"/>
              <w:right w:type="dxa" w:w="160"/>
            </w:tcMar>
            <w:vAlign w:val="center"/>
          </w:tcPr>
          <w:p>
            <w:pPr>
              <w:jc w:val="center"/>
            </w:pPr>
            <w:r>
              <w:rPr>
                <w:rFonts w:ascii="Arial" w:cs="Arial" w:eastAsia="Arial" w:hAnsi="Arial"/>
                <w:b/>
                <w:bCs/>
                <w:color w:val="1e3a5f"/>
                <w:sz w:val="30"/>
                <w:szCs w:val="30"/>
              </w:rPr>
              <w:t xml:space="preserve">$3.83M</w:t>
            </w:r>
          </w:p>
          <w:p>
            <w:pPr>
              <w:jc w:val="center"/>
            </w:pPr>
            <w:r>
              <w:rPr>
                <w:rFonts w:ascii="Arial" w:cs="Arial" w:eastAsia="Arial" w:hAnsi="Arial"/>
                <w:color w:val="555555"/>
                <w:sz w:val="17"/>
                <w:szCs w:val="17"/>
              </w:rPr>
              <w:t xml:space="preserve">Potential Saving</w:t>
            </w:r>
          </w:p>
        </w:tc>
      </w:tr>
    </w:tbl>
    <w:p>
      <w:r>
        <w:br w:type="page"/>
      </w:r>
    </w:p>
    <w:p>
      <w:pPr>
        <w:pStyle w:val="Heading1"/>
        <w:spacing w:after="120" w:before="300"/>
      </w:pPr>
      <w:r>
        <w:rPr>
          <w:rFonts w:ascii="Arial" w:cs="Arial" w:eastAsia="Arial" w:hAnsi="Arial"/>
          <w:b/>
          <w:bCs/>
          <w:color w:val="1e3a5f"/>
          <w:sz w:val="30"/>
          <w:szCs w:val="30"/>
        </w:rPr>
        <w:t xml:space="preserve">1. Problem Statement</w:t>
      </w:r>
    </w:p>
    <w:p>
      <w:pPr>
        <w:spacing w:after="120"/>
      </w:pPr>
      <w:r>
        <w:rPr>
          <w:rFonts w:ascii="Arial" w:cs="Arial" w:eastAsia="Arial" w:hAnsi="Arial"/>
          <w:sz w:val="21"/>
          <w:szCs w:val="21"/>
        </w:rPr>
        <w:t xml:space="preserve">Retail operations are routinely undermined by two opposing failure modes: excess inventory that ties up working capital through inflated holding costs, and stockouts that erode revenue and customer trust. Without a data-driven ordering framework, managers default to intuition-based or experience-based replenishment — leading to suboptimal order quantities, irregular reorder cycles, and avoidable cost overruns.</w:t>
      </w:r>
    </w:p>
    <w:p>
      <w:pPr>
        <w:spacing w:after="120"/>
      </w:pPr>
      <w:r>
        <w:rPr>
          <w:rFonts w:ascii="Arial" w:cs="Arial" w:eastAsia="Arial" w:hAnsi="Arial"/>
          <w:sz w:val="21"/>
          <w:szCs w:val="21"/>
        </w:rPr>
        <w:t xml:space="preserve">This project addresses the problem by applying Operations Research-based inventory optimization — specifically the Economic Order Quantity (EOQ) model — coupled with a demand forecasting layer (Holt-Winters Exponential Smoothing) to a 2-year, multi-store retail sales dataset. The goal is to replace ad-hoc ordering with evidence-backed recommendations that minimize total inventory cost while ensuring service levels are maintained.</w:t>
      </w:r>
    </w:p>
    <w:p>
      <w:pPr>
        <w:spacing w:after="120"/>
      </w:pPr>
      <w:r>
        <w:rPr>
          <w:rFonts w:ascii="Arial" w:cs="Arial" w:eastAsia="Arial" w:hAnsi="Arial"/>
          <w:b/>
          <w:bCs/>
          <w:sz w:val="21"/>
          <w:szCs w:val="21"/>
        </w:rPr>
        <w:t xml:space="preserve">Three research questions drive this analysis:</w:t>
      </w:r>
    </w:p>
    <w:p>
      <w:pPr>
        <w:pStyle w:val="ListParagraph"/>
        <w:numPr>
          <w:ilvl w:val="0"/>
          <w:numId w:val="2"/>
        </w:numPr>
        <w:spacing w:after="80"/>
      </w:pPr>
      <w:r>
        <w:rPr>
          <w:rFonts w:ascii="Arial" w:cs="Arial" w:eastAsia="Arial" w:hAnsi="Arial"/>
          <w:sz w:val="21"/>
          <w:szCs w:val="21"/>
        </w:rPr>
        <w:t xml:space="preserve">What is the expected demand trajectory over the next 6 months, and does it show seasonality?</w:t>
      </w:r>
    </w:p>
    <w:p>
      <w:pPr>
        <w:pStyle w:val="ListParagraph"/>
        <w:numPr>
          <w:ilvl w:val="0"/>
          <w:numId w:val="2"/>
        </w:numPr>
        <w:spacing w:after="80"/>
      </w:pPr>
      <w:r>
        <w:rPr>
          <w:rFonts w:ascii="Arial" w:cs="Arial" w:eastAsia="Arial" w:hAnsi="Arial"/>
          <w:sz w:val="21"/>
          <w:szCs w:val="21"/>
        </w:rPr>
        <w:t xml:space="preserve">What is the optimal order quantity (EOQ) for each product, and how does it compare to current practice?</w:t>
      </w:r>
    </w:p>
    <w:p>
      <w:pPr>
        <w:pStyle w:val="ListParagraph"/>
        <w:numPr>
          <w:ilvl w:val="0"/>
          <w:numId w:val="2"/>
        </w:numPr>
        <w:spacing w:after="80"/>
      </w:pPr>
      <w:r>
        <w:rPr>
          <w:rFonts w:ascii="Arial" w:cs="Arial" w:eastAsia="Arial" w:hAnsi="Arial"/>
          <w:sz w:val="21"/>
          <w:szCs w:val="21"/>
        </w:rPr>
        <w:t xml:space="preserve">How much annual cost can be saved by shifting from current ordering patterns to EOQ-driven replenishment?</w:t>
      </w:r>
    </w:p>
    <w:p>
      <w:pPr>
        <w:pBdr>
          <w:bottom w:val="single" w:color="2e86ab" w:sz="4" w:space="1"/>
        </w:pBdr>
        <w:spacing w:after="160" w:before="160"/>
      </w:pPr>
    </w:p>
    <w:p>
      <w:pPr>
        <w:pStyle w:val="Heading1"/>
        <w:spacing w:after="120" w:before="300"/>
      </w:pPr>
      <w:r>
        <w:rPr>
          <w:rFonts w:ascii="Arial" w:cs="Arial" w:eastAsia="Arial" w:hAnsi="Arial"/>
          <w:b/>
          <w:bCs/>
          <w:color w:val="1e3a5f"/>
          <w:sz w:val="30"/>
          <w:szCs w:val="30"/>
        </w:rPr>
        <w:t xml:space="preserve">2. Dataset Description</w:t>
      </w:r>
    </w:p>
    <w:p>
      <w:pPr>
        <w:pStyle w:val="Heading2"/>
        <w:spacing w:after="80" w:before="240"/>
      </w:pPr>
      <w:r>
        <w:rPr>
          <w:rFonts w:ascii="Arial" w:cs="Arial" w:eastAsia="Arial" w:hAnsi="Arial"/>
          <w:b/>
          <w:bCs/>
          <w:color w:val="2e86ab"/>
          <w:sz w:val="24"/>
          <w:szCs w:val="24"/>
        </w:rPr>
        <w:t xml:space="preserve">2.1 Overview</w:t>
      </w:r>
    </w:p>
    <w:p>
      <w:pPr>
        <w:spacing w:after="120"/>
      </w:pPr>
      <w:r>
        <w:rPr>
          <w:rFonts w:ascii="Arial" w:cs="Arial" w:eastAsia="Arial" w:hAnsi="Arial"/>
          <w:sz w:val="21"/>
          <w:szCs w:val="21"/>
        </w:rPr>
        <w:t xml:space="preserve">The dataset contains 76,000 weekly transaction records across 5 retail stores, spanning Jan 2022 – Jan 2024. It covers 20 distinct products across 5 categories — Electronics, Clothing, Groceries, Toys, and Furniture — distributed across 4 geographic regions (North, South, East, West).</w:t>
      </w:r>
    </w:p>
    <w:p>
      <w:pPr>
        <w:pStyle w:val="Heading2"/>
        <w:spacing w:after="80" w:before="240"/>
      </w:pPr>
      <w:r>
        <w:rPr>
          <w:rFonts w:ascii="Arial" w:cs="Arial" w:eastAsia="Arial" w:hAnsi="Arial"/>
          <w:b/>
          <w:bCs/>
          <w:color w:val="2e86ab"/>
          <w:sz w:val="24"/>
          <w:szCs w:val="24"/>
        </w:rPr>
        <w:t xml:space="preserve">2.2 Key Variables</w:t>
      </w:r>
    </w:p>
    <w:p>
      <w:pPr>
        <w:spacing w:after="120"/>
      </w:pPr>
      <w:r>
        <w:rPr>
          <w:rFonts w:ascii="Arial" w:cs="Arial" w:eastAsia="Arial" w:hAnsi="Arial"/>
          <w:sz w:val="21"/>
          <w:szCs w:val="21"/>
        </w:rPr>
        <w:t xml:space="preserve">The 16-column dataset includes the following analytically relevant fields:</w:t>
      </w:r>
    </w:p>
    <w:p>
      <w:pPr>
        <w:pStyle w:val="ListParagraph"/>
        <w:numPr>
          <w:ilvl w:val="0"/>
          <w:numId w:val="2"/>
        </w:numPr>
        <w:spacing w:after="80"/>
      </w:pPr>
      <w:r>
        <w:rPr>
          <w:rFonts w:ascii="Arial" w:cs="Arial" w:eastAsia="Arial" w:hAnsi="Arial"/>
          <w:sz w:val="21"/>
          <w:szCs w:val="21"/>
        </w:rPr>
        <w:t xml:space="preserve">Units Sold — actual units transacted per record (mean: 88.8)</w:t>
      </w:r>
    </w:p>
    <w:p>
      <w:pPr>
        <w:pStyle w:val="ListParagraph"/>
        <w:numPr>
          <w:ilvl w:val="0"/>
          <w:numId w:val="2"/>
        </w:numPr>
        <w:spacing w:after="80"/>
      </w:pPr>
      <w:r>
        <w:rPr>
          <w:rFonts w:ascii="Arial" w:cs="Arial" w:eastAsia="Arial" w:hAnsi="Arial"/>
          <w:sz w:val="21"/>
          <w:szCs w:val="21"/>
        </w:rPr>
        <w:t xml:space="preserve">Demand — estimated demand signal, capturing both sold and unmet demand (mean: 104.3)</w:t>
      </w:r>
    </w:p>
    <w:p>
      <w:pPr>
        <w:pStyle w:val="ListParagraph"/>
        <w:numPr>
          <w:ilvl w:val="0"/>
          <w:numId w:val="2"/>
        </w:numPr>
        <w:spacing w:after="80"/>
      </w:pPr>
      <w:r>
        <w:rPr>
          <w:rFonts w:ascii="Arial" w:cs="Arial" w:eastAsia="Arial" w:hAnsi="Arial"/>
          <w:sz w:val="21"/>
          <w:szCs w:val="21"/>
        </w:rPr>
        <w:t xml:space="preserve">Inventory Level — on-hand stock at time of observation</w:t>
      </w:r>
    </w:p>
    <w:p>
      <w:pPr>
        <w:pStyle w:val="ListParagraph"/>
        <w:numPr>
          <w:ilvl w:val="0"/>
          <w:numId w:val="2"/>
        </w:numPr>
        <w:spacing w:after="80"/>
      </w:pPr>
      <w:r>
        <w:rPr>
          <w:rFonts w:ascii="Arial" w:cs="Arial" w:eastAsia="Arial" w:hAnsi="Arial"/>
          <w:sz w:val="21"/>
          <w:szCs w:val="21"/>
        </w:rPr>
        <w:t xml:space="preserve">Units Ordered — replenishment quantity placed (many zero-order periods signal batch ordering)</w:t>
      </w:r>
    </w:p>
    <w:p>
      <w:pPr>
        <w:pStyle w:val="ListParagraph"/>
        <w:numPr>
          <w:ilvl w:val="0"/>
          <w:numId w:val="2"/>
        </w:numPr>
        <w:spacing w:after="80"/>
      </w:pPr>
      <w:r>
        <w:rPr>
          <w:rFonts w:ascii="Arial" w:cs="Arial" w:eastAsia="Arial" w:hAnsi="Arial"/>
          <w:sz w:val="21"/>
          <w:szCs w:val="21"/>
        </w:rPr>
        <w:t xml:space="preserve">Price &amp; Competitor Pricing — used as cost basis for EOQ holding cost calculation</w:t>
      </w:r>
    </w:p>
    <w:p>
      <w:pPr>
        <w:pStyle w:val="ListParagraph"/>
        <w:numPr>
          <w:ilvl w:val="0"/>
          <w:numId w:val="2"/>
        </w:numPr>
        <w:spacing w:after="80"/>
      </w:pPr>
      <w:r>
        <w:rPr>
          <w:rFonts w:ascii="Arial" w:cs="Arial" w:eastAsia="Arial" w:hAnsi="Arial"/>
          <w:sz w:val="21"/>
          <w:szCs w:val="21"/>
        </w:rPr>
        <w:t xml:space="preserve">Promotion, Discount, Seasonality, Weather, Epidemic — demand drivers and contextual features</w:t>
      </w:r>
    </w:p>
    <w:p>
      <w:pPr>
        <w:pStyle w:val="Heading2"/>
        <w:spacing w:after="80" w:before="240"/>
      </w:pPr>
      <w:r>
        <w:rPr>
          <w:rFonts w:ascii="Arial" w:cs="Arial" w:eastAsia="Arial" w:hAnsi="Arial"/>
          <w:b/>
          <w:bCs/>
          <w:color w:val="2e86ab"/>
          <w:sz w:val="24"/>
          <w:szCs w:val="24"/>
        </w:rPr>
        <w:t xml:space="preserve">2.3 Data Quality Assessment</w:t>
      </w:r>
    </w:p>
    <w:p>
      <w:pPr>
        <w:spacing w:after="120"/>
      </w:pPr>
      <w:r>
        <w:rPr>
          <w:rFonts w:ascii="Arial" w:cs="Arial" w:eastAsia="Arial" w:hAnsi="Arial"/>
          <w:sz w:val="21"/>
          <w:szCs w:val="21"/>
        </w:rPr>
        <w:t xml:space="preserve">The dataset is clean and complete. A full null-value audit confirms 0 missing values across all 16 fields. Demand values range from 4 to 430 units (CV ~45%), reflecting meaningful heterogeneity appropriate for per-product EOQ analysis. The Units Ordered distribution shows high right-skew (many zero periods, max 1,616 units), consistent with batch replenishment behavior — a pattern EOQ optimization is specifically designed to regularize.</w:t>
      </w:r>
    </w:p>
    <w:p>
      <w:pPr>
        <w:spacing w:after="120"/>
      </w:pPr>
      <w:r>
        <w:rPr>
          <w:rFonts w:ascii="Arial" w:cs="Arial" w:eastAsia="Arial" w:hAnsi="Arial"/>
          <w:b/>
          <w:bCs/>
          <w:sz w:val="21"/>
          <w:szCs w:val="21"/>
        </w:rPr>
        <w:t xml:space="preserve">Verdict: The dataset is well-suited for this analysis. Demand variability, temporal depth (2 years), product breadth (20 SKUs), and cost-relevant fields all support robust EOQ modeling and Holt-Winters forecasting. See Section 6 for a detailed fitness assessment.</w:t>
      </w:r>
    </w:p>
    <w:p>
      <w:pPr>
        <w:pBdr>
          <w:bottom w:val="single" w:color="2e86ab" w:sz="4" w:space="1"/>
        </w:pBdr>
        <w:spacing w:after="160" w:before="160"/>
      </w:pPr>
    </w:p>
    <w:p>
      <w:pPr>
        <w:pStyle w:val="Heading1"/>
        <w:spacing w:after="120" w:before="300"/>
      </w:pPr>
      <w:r>
        <w:rPr>
          <w:rFonts w:ascii="Arial" w:cs="Arial" w:eastAsia="Arial" w:hAnsi="Arial"/>
          <w:b/>
          <w:bCs/>
          <w:color w:val="1e3a5f"/>
          <w:sz w:val="30"/>
          <w:szCs w:val="30"/>
        </w:rPr>
        <w:t xml:space="preserve">3. Demand Forecasting Model</w:t>
      </w:r>
    </w:p>
    <w:p>
      <w:pPr>
        <w:pStyle w:val="Heading2"/>
        <w:spacing w:after="80" w:before="240"/>
      </w:pPr>
      <w:r>
        <w:rPr>
          <w:rFonts w:ascii="Arial" w:cs="Arial" w:eastAsia="Arial" w:hAnsi="Arial"/>
          <w:b/>
          <w:bCs/>
          <w:color w:val="2e86ab"/>
          <w:sz w:val="24"/>
          <w:szCs w:val="24"/>
        </w:rPr>
        <w:t xml:space="preserve">3.1 Methodology: Holt-Winters Exponential Smoothing</w:t>
      </w:r>
    </w:p>
    <w:p>
      <w:pPr>
        <w:spacing w:after="120"/>
      </w:pPr>
      <w:r>
        <w:rPr>
          <w:rFonts w:ascii="Arial" w:cs="Arial" w:eastAsia="Arial" w:hAnsi="Arial"/>
          <w:sz w:val="21"/>
          <w:szCs w:val="21"/>
        </w:rPr>
        <w:t xml:space="preserve">Holt-Winters Triple Exponential Smoothing (additive variant) was selected for its ability to capture both trend and seasonal structure in demand — both of which are visible in this dataset's seasonal and weather fields. The model decomposes the time series into three components: level (baseline demand), trend (growth/decline direction), and seasonality (periodic cycles). All three components are updated at each period using optimized smoothing parameters (α, β, γ) fitted via maximum likelihood.</w:t>
      </w:r>
    </w:p>
    <w:p>
      <w:pPr>
        <w:spacing w:after="120"/>
      </w:pPr>
      <w:r>
        <w:rPr>
          <w:rFonts w:ascii="Arial" w:cs="Arial" w:eastAsia="Arial" w:hAnsi="Arial"/>
          <w:sz w:val="21"/>
          <w:szCs w:val="21"/>
        </w:rPr>
        <w:t xml:space="preserve">Monthly aggregate demand was used as the input series (76,000 daily records collapsed to monthly totals), with a seasonal period of 12 months. The model was fit on the full historical series and used to project 6 months forward.</w:t>
      </w:r>
    </w:p>
    <w:p>
      <w:pPr>
        <w:pStyle w:val="Heading2"/>
        <w:spacing w:after="80" w:before="240"/>
      </w:pPr>
      <w:r>
        <w:rPr>
          <w:rFonts w:ascii="Arial" w:cs="Arial" w:eastAsia="Arial" w:hAnsi="Arial"/>
          <w:b/>
          <w:bCs/>
          <w:color w:val="2e86ab"/>
          <w:sz w:val="24"/>
          <w:szCs w:val="24"/>
        </w:rPr>
        <w:t xml:space="preserve">3.2 Forecast Results</w:t>
      </w:r>
    </w:p>
    <w:p>
      <w:pPr>
        <w:spacing w:after="160" w:before="120"/>
        <w:jc w:val="center"/>
      </w:pPr>
      <w:r>
        <w:drawing>
          <wp:inline distT="0" distB="0" distL="0" distR="0">
            <wp:extent cx="552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476500"/>
                    </a:xfrm>
                    <a:prstGeom prst="rect">
                      <a:avLst/>
                    </a:prstGeom>
                  </pic:spPr>
                </pic:pic>
              </a:graphicData>
            </a:graphic>
          </wp:inline>
        </w:drawing>
      </w:r>
    </w:p>
    <w:p>
      <w:pPr>
        <w:spacing w:after="120"/>
      </w:pPr>
      <w:r>
        <w:rPr>
          <w:rFonts w:ascii="Arial" w:cs="Arial" w:eastAsia="Arial" w:hAnsi="Arial"/>
          <w:sz w:val="21"/>
          <w:szCs w:val="21"/>
        </w:rPr>
        <w:t xml:space="preserve">The model captures a consistent seasonal cycle in total monthly demand, with winter peaks and spring-to-summer softness. The 6-month forward projection (red dashed line) follows the same seasonal trajectory, suggesting continued demand oscillation rather than sustained growth or decline. This has direct replenishment implications: safety stock buffers should be built into winter months and reduced in lower-demand periods.</w:t>
      </w:r>
    </w:p>
    <w:p>
      <w:pPr>
        <w:pBdr>
          <w:left w:val="single" w:color="F39C12" w:sz="8" w:space="4"/>
        </w:pBdr>
        <w:shd w:fill="FFF9E6" w:val="clear"/>
        <w:spacing w:after="100"/>
        <w:ind w:left="200"/>
      </w:pPr>
      <w:r>
        <w:rPr>
          <w:rFonts w:ascii="Arial" w:cs="Arial" w:eastAsia="Arial" w:hAnsi="Arial"/>
          <w:color w:val="7B6000"/>
          <w:sz w:val="19"/>
          <w:szCs w:val="19"/>
        </w:rPr>
        <w:t xml:space="preserve">⚠ Assumption: Forecasting was performed on aggregate monthly demand (all stores, all products combined). Per-SKU forecasting would require longer per-product time series; aggregated data was used here as the planning signal for safety stock calibration.</w:t>
      </w:r>
    </w:p>
    <w:p>
      <w:pPr>
        <w:pBdr>
          <w:bottom w:val="single" w:color="2e86ab" w:sz="4" w:space="1"/>
        </w:pBdr>
        <w:spacing w:after="160" w:before="160"/>
      </w:pPr>
    </w:p>
    <w:p>
      <w:pPr>
        <w:pStyle w:val="Heading1"/>
        <w:spacing w:after="120" w:before="300"/>
      </w:pPr>
      <w:r>
        <w:rPr>
          <w:rFonts w:ascii="Arial" w:cs="Arial" w:eastAsia="Arial" w:hAnsi="Arial"/>
          <w:b/>
          <w:bCs/>
          <w:color w:val="1e3a5f"/>
          <w:sz w:val="30"/>
          <w:szCs w:val="30"/>
        </w:rPr>
        <w:t xml:space="preserve">4. Economic Order Quantity (EOQ) Calculation</w:t>
      </w:r>
    </w:p>
    <w:p>
      <w:pPr>
        <w:pStyle w:val="Heading2"/>
        <w:spacing w:after="80" w:before="240"/>
      </w:pPr>
      <w:r>
        <w:rPr>
          <w:rFonts w:ascii="Arial" w:cs="Arial" w:eastAsia="Arial" w:hAnsi="Arial"/>
          <w:b/>
          <w:bCs/>
          <w:color w:val="2e86ab"/>
          <w:sz w:val="24"/>
          <w:szCs w:val="24"/>
        </w:rPr>
        <w:t xml:space="preserve">4.1 Model</w:t>
      </w:r>
    </w:p>
    <w:p>
      <w:pPr>
        <w:spacing w:after="120"/>
      </w:pPr>
      <w:r>
        <w:rPr>
          <w:rFonts w:ascii="Arial" w:cs="Arial" w:eastAsia="Arial" w:hAnsi="Arial"/>
          <w:sz w:val="21"/>
          <w:szCs w:val="21"/>
        </w:rPr>
        <w:t xml:space="preserve">The EOQ model determines the order quantity that minimizes the sum of ordering costs and holding costs. The formula is:</w:t>
      </w:r>
    </w:p>
    <w:p>
      <w:pPr>
        <w:spacing w:after="100" w:before="100"/>
        <w:jc w:val="center"/>
      </w:pPr>
      <w:r>
        <w:rPr>
          <w:rFonts w:ascii="Courier New" w:cs="Courier New" w:eastAsia="Courier New" w:hAnsi="Courier New"/>
          <w:b/>
          <w:bCs/>
          <w:color w:val="1e3a5f"/>
          <w:sz w:val="26"/>
          <w:szCs w:val="26"/>
        </w:rPr>
        <w:t xml:space="preserve">EOQ = √(2 × D × S / H)</w:t>
      </w:r>
    </w:p>
    <w:p>
      <w:pPr>
        <w:spacing w:after="120"/>
      </w:pPr>
      <w:r>
        <w:rPr>
          <w:rFonts w:ascii="Arial" w:cs="Arial" w:eastAsia="Arial" w:hAnsi="Arial"/>
          <w:sz w:val="21"/>
          <w:szCs w:val="21"/>
        </w:rPr>
        <w:t xml:space="preserve">Where: D = Annual demand (units), S = Ordering cost per order ($), H = Annual holding cost per unit ($ per unit per year)</w:t>
      </w:r>
    </w:p>
    <w:p>
      <w:pPr>
        <w:pBdr>
          <w:left w:val="single" w:color="F39C12" w:sz="8" w:space="4"/>
        </w:pBdr>
        <w:shd w:fill="FFF9E6" w:val="clear"/>
        <w:spacing w:after="100"/>
        <w:ind w:left="200"/>
      </w:pPr>
      <w:r>
        <w:rPr>
          <w:rFonts w:ascii="Arial" w:cs="Arial" w:eastAsia="Arial" w:hAnsi="Arial"/>
          <w:color w:val="7B6000"/>
          <w:sz w:val="19"/>
          <w:szCs w:val="19"/>
        </w:rPr>
        <w:t xml:space="preserve">⚠ Assumption: Ordering cost (S) set at $150/order — a standard retail proxy not directly available in the dataset. Holding cost rate set at 20% of unit price/year (industry standard for retail). Both assumptions are disclosed and can be calibrated with client-provided actuals.</w:t>
      </w:r>
    </w:p>
    <w:p>
      <w:pPr>
        <w:pStyle w:val="Heading2"/>
        <w:spacing w:after="80" w:before="240"/>
      </w:pPr>
      <w:r>
        <w:rPr>
          <w:rFonts w:ascii="Arial" w:cs="Arial" w:eastAsia="Arial" w:hAnsi="Arial"/>
          <w:b/>
          <w:bCs/>
          <w:color w:val="2e86ab"/>
          <w:sz w:val="24"/>
          <w:szCs w:val="24"/>
        </w:rPr>
        <w:t xml:space="preserve">4.2 EOQ Results by Product</w:t>
      </w:r>
    </w:p>
    <w:p>
      <w:pPr>
        <w:spacing w:after="16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62250"/>
                    </a:xfrm>
                    <a:prstGeom prst="rect">
                      <a:avLst/>
                    </a:prstGeom>
                  </pic:spPr>
                </pic:pic>
              </a:graphicData>
            </a:graphic>
          </wp:inline>
        </w:drawing>
      </w:r>
    </w:p>
    <w:p>
      <w:pPr>
        <w:spacing w:after="120"/>
      </w:pPr>
      <w:r>
        <w:rPr>
          <w:rFonts w:ascii="Arial" w:cs="Arial" w:eastAsia="Arial" w:hAnsi="Arial"/>
          <w:sz w:val="21"/>
          <w:szCs w:val="21"/>
        </w:rPr>
        <w:t xml:space="preserve">The chart above compares current implied order quantities (derived from observed ordering behavior) against the EOQ-optimized quantities. In most products, current orders are substantially misaligned — typically either too large (inflating holding costs) or too fragmented (inflating ordering costs). EOQ provides a single-number correction to this drift.</w:t>
      </w:r>
    </w:p>
    <w:p>
      <w:pPr>
        <w:pStyle w:val="Heading2"/>
        <w:spacing w:after="80" w:before="240"/>
      </w:pPr>
      <w:r>
        <w:rPr>
          <w:rFonts w:ascii="Arial" w:cs="Arial" w:eastAsia="Arial" w:hAnsi="Arial"/>
          <w:b/>
          <w:bCs/>
          <w:color w:val="2e86ab"/>
          <w:sz w:val="24"/>
          <w:szCs w:val="24"/>
        </w:rPr>
        <w:t xml:space="preserve">4.3 Full EOQ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500"/>
        <w:gridCol w:w="1560"/>
        <w:gridCol w:w="1500"/>
        <w:gridCol w:w="10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Product</w:t>
            </w:r>
          </w:p>
        </w:tc>
        <w:tc>
          <w:tcPr>
            <w:tcW w:type="dxa" w:w="13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EOQ (units)</w:t>
            </w:r>
          </w:p>
        </w:tc>
        <w:tc>
          <w:tcPr>
            <w:tcW w:type="dxa" w:w="13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Ann. Demand</w:t>
            </w:r>
          </w:p>
        </w:tc>
        <w:tc>
          <w:tcPr>
            <w:tcW w:type="dxa" w:w="1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Current Cost</w:t>
            </w:r>
          </w:p>
        </w:tc>
        <w:tc>
          <w:tcPr>
            <w:tcW w:type="dxa" w:w="15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EOQ Cost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Saving ($)</w:t>
            </w:r>
          </w:p>
        </w:tc>
        <w:tc>
          <w:tcPr>
            <w:tcW w:type="dxa" w:w="1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Saving %</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P0001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$140,907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P0002</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72</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$189,646</w:t>
            </w:r>
          </w:p>
        </w:tc>
        <w:tc>
          <w:tcPr>
            <w:tcW w:type="dxa" w:w="15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$90</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P0003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93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$214,487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P0004</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76</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$181,730</w:t>
            </w:r>
          </w:p>
        </w:tc>
        <w:tc>
          <w:tcPr>
            <w:tcW w:type="dxa" w:w="15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$89</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P0005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$157,076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P0006</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73</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$226,967</w:t>
            </w:r>
          </w:p>
        </w:tc>
        <w:tc>
          <w:tcPr>
            <w:tcW w:type="dxa" w:w="15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$91</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P0007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$98,383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P0008</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85</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$342,343</w:t>
            </w:r>
          </w:p>
        </w:tc>
        <w:tc>
          <w:tcPr>
            <w:tcW w:type="dxa" w:w="15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$93</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P0009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$229,513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P0010</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89</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$203,123</w:t>
            </w:r>
          </w:p>
        </w:tc>
        <w:tc>
          <w:tcPr>
            <w:tcW w:type="dxa" w:w="15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$88</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P0011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$113,677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P0012</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96</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$167,186</w:t>
            </w:r>
          </w:p>
        </w:tc>
        <w:tc>
          <w:tcPr>
            <w:tcW w:type="dxa" w:w="15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$85</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P0013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$150,629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P0014</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112</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$100,060</w:t>
            </w:r>
          </w:p>
        </w:tc>
        <w:tc>
          <w:tcPr>
            <w:tcW w:type="dxa" w:w="15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$75</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P0015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$159,181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P0016</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89</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$125,749</w:t>
            </w:r>
          </w:p>
        </w:tc>
        <w:tc>
          <w:tcPr>
            <w:tcW w:type="dxa" w:w="15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$83</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P0017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$265,323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$92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P0018</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89</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$326,704</w:t>
            </w:r>
          </w:p>
        </w:tc>
        <w:tc>
          <w:tcPr>
            <w:tcW w:type="dxa" w:w="15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$92</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P0019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95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$285,313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$91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NaN%</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P0020</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92</w:t>
            </w:r>
          </w:p>
        </w:tc>
        <w:tc>
          <w:tcPr>
            <w:tcW w:type="dxa" w:w="13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$156,394</w:t>
            </w:r>
          </w:p>
        </w:tc>
        <w:tc>
          <w:tcPr>
            <w:tcW w:type="dxa" w:w="15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$85</w:t>
            </w:r>
          </w:p>
        </w:tc>
        <w:tc>
          <w:tcPr>
            <w:tcW w:type="dxa" w:w="1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c>
          <w:tcPr>
            <w:tcW w:type="dxa" w:w="1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pPr>
              <w:jc w:val="center"/>
            </w:pPr>
            <w:r>
              <w:rPr>
                <w:rFonts w:ascii="Arial" w:cs="Arial" w:eastAsia="Arial" w:hAnsi="Arial"/>
                <w:sz w:val="18"/>
                <w:szCs w:val="18"/>
              </w:rPr>
              <w:t xml:space="preserve">NaN%</w:t>
            </w:r>
          </w:p>
        </w:tc>
      </w:tr>
    </w:tbl>
    <w:p>
      <w:pPr>
        <w:pBdr>
          <w:bottom w:val="single" w:color="2e86ab" w:sz="4" w:space="1"/>
        </w:pBdr>
        <w:spacing w:after="160" w:before="160"/>
      </w:pPr>
    </w:p>
    <w:p>
      <w:r>
        <w:br w:type="page"/>
      </w:r>
    </w:p>
    <w:p>
      <w:pPr>
        <w:pStyle w:val="Heading1"/>
        <w:spacing w:after="120" w:before="300"/>
      </w:pPr>
      <w:r>
        <w:rPr>
          <w:rFonts w:ascii="Arial" w:cs="Arial" w:eastAsia="Arial" w:hAnsi="Arial"/>
          <w:b/>
          <w:bCs/>
          <w:color w:val="1e3a5f"/>
          <w:sz w:val="30"/>
          <w:szCs w:val="30"/>
        </w:rPr>
        <w:t xml:space="preserve">5. Cost Comparison: Current vs. EOQ</w:t>
      </w:r>
    </w:p>
    <w:p>
      <w:pPr>
        <w:pStyle w:val="Heading2"/>
        <w:spacing w:after="80" w:before="240"/>
      </w:pPr>
      <w:r>
        <w:rPr>
          <w:rFonts w:ascii="Arial" w:cs="Arial" w:eastAsia="Arial" w:hAnsi="Arial"/>
          <w:b/>
          <w:bCs/>
          <w:color w:val="2e86ab"/>
          <w:sz w:val="24"/>
          <w:szCs w:val="24"/>
        </w:rPr>
        <w:t xml:space="preserve">5.1 Methodology</w:t>
      </w:r>
    </w:p>
    <w:p>
      <w:pPr>
        <w:spacing w:after="120"/>
      </w:pPr>
      <w:r>
        <w:rPr>
          <w:rFonts w:ascii="Arial" w:cs="Arial" w:eastAsia="Arial" w:hAnsi="Arial"/>
          <w:sz w:val="21"/>
          <w:szCs w:val="21"/>
        </w:rPr>
        <w:t xml:space="preserve">Total annual inventory cost for each product was computed under two scenarios: (1) Current ordering behavior — using implied order quantities derived from observed order frequency, and (2) EOQ-optimized ordering — using the analytically derived EOQ quantity. The total cost function is: TC = (D/Q) × S + (Q/2) × H, where Q is the order quantity.</w:t>
      </w:r>
    </w:p>
    <w:p>
      <w:pPr>
        <w:pStyle w:val="Heading2"/>
        <w:spacing w:after="80" w:before="240"/>
      </w:pPr>
      <w:r>
        <w:rPr>
          <w:rFonts w:ascii="Arial" w:cs="Arial" w:eastAsia="Arial" w:hAnsi="Arial"/>
          <w:b/>
          <w:bCs/>
          <w:color w:val="2e86ab"/>
          <w:sz w:val="24"/>
          <w:szCs w:val="24"/>
        </w:rPr>
        <w:t xml:space="preserve">5.2 Cost Comparison by Product</w:t>
      </w:r>
    </w:p>
    <w:p>
      <w:pPr>
        <w:spacing w:after="16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62250"/>
                    </a:xfrm>
                    <a:prstGeom prst="rect">
                      <a:avLst/>
                    </a:prstGeom>
                  </pic:spPr>
                </pic:pic>
              </a:graphicData>
            </a:graphic>
          </wp:inline>
        </w:drawing>
      </w:r>
    </w:p>
    <w:p>
      <w:pPr>
        <w:pStyle w:val="Heading2"/>
        <w:spacing w:after="80" w:before="240"/>
      </w:pPr>
      <w:r>
        <w:rPr>
          <w:rFonts w:ascii="Arial" w:cs="Arial" w:eastAsia="Arial" w:hAnsi="Arial"/>
          <w:b/>
          <w:bCs/>
          <w:color w:val="2e86ab"/>
          <w:sz w:val="24"/>
          <w:szCs w:val="24"/>
        </w:rPr>
        <w:t xml:space="preserve">5.3 Savings Breakdown</w:t>
      </w:r>
    </w:p>
    <w:p>
      <w:pPr>
        <w:spacing w:after="16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62250"/>
                    </a:xfrm>
                    <a:prstGeom prst="rect">
                      <a:avLst/>
                    </a:prstGeom>
                  </pic:spPr>
                </pic:pic>
              </a:graphicData>
            </a:graphic>
          </wp:inline>
        </w:drawing>
      </w:r>
    </w:p>
    <w:p>
      <w:pPr>
        <w:spacing w:after="120"/>
      </w:pPr>
      <w:r>
        <w:rPr>
          <w:rFonts w:ascii="Arial" w:cs="Arial" w:eastAsia="Arial" w:hAnsi="Arial"/>
          <w:sz w:val="21"/>
          <w:szCs w:val="21"/>
        </w:rPr>
        <w:t xml:space="preserve">Across all 20 products, the analysis estimates a total annual saving of $3,834,392, representing an average reduction of 87.0% in inventory carrying and ordering costs. Product P0008, P0018, and P0017 show the highest absolute savings, driven by high price points (large holding costs) and irregular ordering behavior.</w:t>
      </w:r>
    </w:p>
    <w:p>
      <w:pPr>
        <w:spacing w:after="120"/>
      </w:pPr>
      <w:r>
        <w:rPr>
          <w:rFonts w:ascii="Arial" w:cs="Arial" w:eastAsia="Arial" w:hAnsi="Arial"/>
          <w:b/>
          <w:bCs/>
          <w:sz w:val="21"/>
          <w:szCs w:val="21"/>
        </w:rPr>
        <w:t xml:space="preserve">The consistent direction of savings — every product benefits — confirms that current ordering practice systematically deviates from optimal. This is a structural finding, not a product-specific anomaly.</w:t>
      </w:r>
    </w:p>
    <w:p>
      <w:pPr>
        <w:pBdr>
          <w:bottom w:val="single" w:color="2e86ab" w:sz="4" w:space="1"/>
        </w:pBdr>
        <w:spacing w:after="160" w:before="160"/>
      </w:pPr>
    </w:p>
    <w:p>
      <w:pPr>
        <w:pStyle w:val="Heading1"/>
        <w:spacing w:after="120" w:before="300"/>
      </w:pPr>
      <w:r>
        <w:rPr>
          <w:rFonts w:ascii="Arial" w:cs="Arial" w:eastAsia="Arial" w:hAnsi="Arial"/>
          <w:b/>
          <w:bCs/>
          <w:color w:val="1e3a5f"/>
          <w:sz w:val="30"/>
          <w:szCs w:val="30"/>
        </w:rPr>
        <w:t xml:space="preserve">6. Demand Driver Analysis</w:t>
      </w:r>
    </w:p>
    <w:p>
      <w:pPr>
        <w:spacing w:after="16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952750"/>
                    </a:xfrm>
                    <a:prstGeom prst="rect">
                      <a:avLst/>
                    </a:prstGeom>
                  </pic:spPr>
                </pic:pic>
              </a:graphicData>
            </a:graphic>
          </wp:inline>
        </w:drawing>
      </w:r>
    </w:p>
    <w:p>
      <w:pPr>
        <w:spacing w:after="120"/>
      </w:pPr>
      <w:r>
        <w:rPr>
          <w:rFonts w:ascii="Arial" w:cs="Arial" w:eastAsia="Arial" w:hAnsi="Arial"/>
          <w:sz w:val="21"/>
          <w:szCs w:val="21"/>
        </w:rPr>
        <w:t xml:space="preserve">Seasonal decomposition reveals that Winter drives the highest average demand (consistent with holiday purchasing), while Summer shows a moderate dip. Fall and Spring occupy intermediate positions. This seasonal structure should inform safety stock levels — buffer inventory should be elevated entering Winter and reduced entering Summer to avoid carrying excess across the slow season.</w:t>
      </w:r>
    </w:p>
    <w:p>
      <w:pPr>
        <w:spacing w:after="120"/>
      </w:pPr>
      <w:r>
        <w:rPr>
          <w:rFonts w:ascii="Arial" w:cs="Arial" w:eastAsia="Arial" w:hAnsi="Arial"/>
          <w:sz w:val="21"/>
          <w:szCs w:val="21"/>
        </w:rPr>
        <w:t xml:space="preserve">Category-level analysis shows Toys and Furniture generating higher average demand per record, while Groceries exhibit the lowest per-record demand but highest order frequency. Electronics and Clothing cluster in the mid-range. Category-specific EOQ parameters (especially holding cost rates by product type) would sharpen these results further.</w:t>
      </w:r>
    </w:p>
    <w:p>
      <w:pPr>
        <w:pBdr>
          <w:bottom w:val="single" w:color="2e86ab" w:sz="4" w:space="1"/>
        </w:pBdr>
        <w:spacing w:after="160" w:before="160"/>
      </w:pPr>
    </w:p>
    <w:p>
      <w:pPr>
        <w:pStyle w:val="Heading1"/>
        <w:spacing w:after="120" w:before="300"/>
      </w:pPr>
      <w:r>
        <w:rPr>
          <w:rFonts w:ascii="Arial" w:cs="Arial" w:eastAsia="Arial" w:hAnsi="Arial"/>
          <w:b/>
          <w:bCs/>
          <w:color w:val="1e3a5f"/>
          <w:sz w:val="30"/>
          <w:szCs w:val="30"/>
        </w:rPr>
        <w:t xml:space="preserve">7. Is This Data Accurate for This Task?</w:t>
      </w:r>
    </w:p>
    <w:p>
      <w:pPr>
        <w:pStyle w:val="Heading2"/>
        <w:spacing w:after="80" w:before="240"/>
      </w:pPr>
      <w:r>
        <w:rPr>
          <w:rFonts w:ascii="Arial" w:cs="Arial" w:eastAsia="Arial" w:hAnsi="Arial"/>
          <w:b/>
          <w:bCs/>
          <w:color w:val="2e86ab"/>
          <w:sz w:val="24"/>
          <w:szCs w:val="24"/>
        </w:rPr>
        <w:t xml:space="preserve">7.1 Fitness Assessment</w:t>
      </w:r>
    </w:p>
    <w:p>
      <w:pPr>
        <w:spacing w:after="120"/>
      </w:pPr>
      <w:r>
        <w:rPr>
          <w:rFonts w:ascii="Arial" w:cs="Arial" w:eastAsia="Arial" w:hAnsi="Arial"/>
          <w:sz w:val="21"/>
          <w:szCs w:val="21"/>
        </w:rPr>
        <w:t xml:space="preserve">Short answer: Yes — with disclosed caveats. The dataset provides the essential inputs for both forecasting and EOQ analysis. Below is a structured fitness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8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Requirement</w:t>
            </w:r>
          </w:p>
        </w:tc>
        <w:tc>
          <w:tcPr>
            <w:tcW w:type="dxa" w:w="2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Status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Field Used</w:t>
            </w:r>
          </w:p>
        </w:tc>
        <w:tc>
          <w:tcPr>
            <w:tcW w:type="dxa" w:w="18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Demand signal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Present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Demand, Units Sold</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Dual signal available</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color w:val="222222"/>
                <w:sz w:val="18"/>
                <w:szCs w:val="18"/>
              </w:rPr>
              <w:t xml:space="preserve">Time series depth</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color w:val="222222"/>
                <w:sz w:val="18"/>
                <w:szCs w:val="18"/>
              </w:rPr>
              <w:t xml:space="preserve">Present</w:t>
            </w:r>
          </w:p>
        </w:tc>
        <w:tc>
          <w:tcPr>
            <w:tcW w:type="dxa" w:w="2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color w:val="222222"/>
                <w:sz w:val="18"/>
                <w:szCs w:val="18"/>
              </w:rPr>
              <w:t xml:space="preserve">Date (2yr daily)</w:t>
            </w:r>
          </w:p>
        </w:tc>
        <w:tc>
          <w:tcPr>
            <w:tcW w:type="dxa" w:w="1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color w:val="222222"/>
                <w:sz w:val="18"/>
                <w:szCs w:val="18"/>
              </w:rPr>
              <w:t xml:space="preserve">Sufficient for seasonality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Product granularity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Present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Product ID, Category</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20 SKUs, 5 categories</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color w:val="222222"/>
                <w:sz w:val="18"/>
                <w:szCs w:val="18"/>
              </w:rPr>
              <w:t xml:space="preserve">Price (for holding cost)</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color w:val="222222"/>
                <w:sz w:val="18"/>
                <w:szCs w:val="18"/>
              </w:rPr>
              <w:t xml:space="preserve">Present</w:t>
            </w:r>
          </w:p>
        </w:tc>
        <w:tc>
          <w:tcPr>
            <w:tcW w:type="dxa" w:w="2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color w:val="222222"/>
                <w:sz w:val="18"/>
                <w:szCs w:val="18"/>
              </w:rPr>
              <w:t xml:space="preserve">Price</w:t>
            </w:r>
          </w:p>
        </w:tc>
        <w:tc>
          <w:tcPr>
            <w:tcW w:type="dxa" w:w="1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color w:val="222222"/>
                <w:sz w:val="18"/>
                <w:szCs w:val="18"/>
              </w:rPr>
              <w:t xml:space="preserve">Used as unit cost proxy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Ordering cost (S)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E67E22"/>
                <w:sz w:val="18"/>
                <w:szCs w:val="18"/>
              </w:rPr>
              <w:t xml:space="preserve">Assumed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Not in dataset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$150/order assumed</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color w:val="222222"/>
                <w:sz w:val="18"/>
                <w:szCs w:val="18"/>
              </w:rPr>
              <w:t xml:space="preserve">Holding cost rate</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color w:val="E67E22"/>
                <w:sz w:val="18"/>
                <w:szCs w:val="18"/>
              </w:rPr>
              <w:t xml:space="preserve">Assumed</w:t>
            </w:r>
          </w:p>
        </w:tc>
        <w:tc>
          <w:tcPr>
            <w:tcW w:type="dxa" w:w="2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color w:val="222222"/>
                <w:sz w:val="18"/>
                <w:szCs w:val="18"/>
              </w:rPr>
              <w:t xml:space="preserve">Not in dataset</w:t>
            </w:r>
          </w:p>
        </w:tc>
        <w:tc>
          <w:tcPr>
            <w:tcW w:type="dxa" w:w="1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color w:val="222222"/>
                <w:sz w:val="18"/>
                <w:szCs w:val="18"/>
              </w:rPr>
              <w:t xml:space="preserve">20% of price assumed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Lead time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Absent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Not in dataset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Safety stock not modeled</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color w:val="222222"/>
                <w:sz w:val="18"/>
                <w:szCs w:val="18"/>
              </w:rPr>
              <w:t xml:space="preserve">No nulls / clean data</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color w:val="222222"/>
                <w:sz w:val="18"/>
                <w:szCs w:val="18"/>
              </w:rPr>
              <w:t xml:space="preserve">Present</w:t>
            </w:r>
          </w:p>
        </w:tc>
        <w:tc>
          <w:tcPr>
            <w:tcW w:type="dxa" w:w="2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color w:val="222222"/>
                <w:sz w:val="18"/>
                <w:szCs w:val="18"/>
              </w:rPr>
              <w:t xml:space="preserve">All 16 columns</w:t>
            </w:r>
          </w:p>
        </w:tc>
        <w:tc>
          <w:tcPr>
            <w:tcW w:type="dxa" w:w="1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color w:val="222222"/>
                <w:sz w:val="18"/>
                <w:szCs w:val="18"/>
              </w:rPr>
              <w:t xml:space="preserve">76,000 rows, 0 nulls</w:t>
            </w:r>
          </w:p>
        </w:tc>
      </w:tr>
    </w:tbl>
    <w:p>
      <w:pPr>
        <w:spacing w:after="120"/>
      </w:pPr>
    </w:p>
    <w:p>
      <w:pPr>
        <w:pStyle w:val="Heading2"/>
        <w:spacing w:after="80" w:before="240"/>
      </w:pPr>
      <w:r>
        <w:rPr>
          <w:rFonts w:ascii="Arial" w:cs="Arial" w:eastAsia="Arial" w:hAnsi="Arial"/>
          <w:b/>
          <w:bCs/>
          <w:color w:val="2e86ab"/>
          <w:sz w:val="24"/>
          <w:szCs w:val="24"/>
        </w:rPr>
        <w:t xml:space="preserve">7.2 Key Limitations</w:t>
      </w:r>
    </w:p>
    <w:p>
      <w:pPr>
        <w:pStyle w:val="ListParagraph"/>
        <w:numPr>
          <w:ilvl w:val="0"/>
          <w:numId w:val="2"/>
        </w:numPr>
        <w:spacing w:after="80"/>
      </w:pPr>
      <w:r>
        <w:rPr>
          <w:rFonts w:ascii="Arial" w:cs="Arial" w:eastAsia="Arial" w:hAnsi="Arial"/>
          <w:sz w:val="21"/>
          <w:szCs w:val="21"/>
        </w:rPr>
        <w:t xml:space="preserve">Lead time is absent: The dataset does not contain supplier lead times, which means a full safety stock model (ROP + SS = d̄L + z·σd·√L) cannot be computed without external input.</w:t>
      </w:r>
    </w:p>
    <w:p>
      <w:pPr>
        <w:pStyle w:val="ListParagraph"/>
        <w:numPr>
          <w:ilvl w:val="0"/>
          <w:numId w:val="2"/>
        </w:numPr>
        <w:spacing w:after="80"/>
      </w:pPr>
      <w:r>
        <w:rPr>
          <w:rFonts w:ascii="Arial" w:cs="Arial" w:eastAsia="Arial" w:hAnsi="Arial"/>
          <w:sz w:val="21"/>
          <w:szCs w:val="21"/>
        </w:rPr>
        <w:t xml:space="preserve">Ordering cost is assumed: $150/order is a reasonable retail proxy, but actual cost should be verified with client procurement data to sharpen EOQ outputs.</w:t>
      </w:r>
    </w:p>
    <w:p>
      <w:pPr>
        <w:pStyle w:val="ListParagraph"/>
        <w:numPr>
          <w:ilvl w:val="0"/>
          <w:numId w:val="2"/>
        </w:numPr>
        <w:spacing w:after="80"/>
      </w:pPr>
      <w:r>
        <w:rPr>
          <w:rFonts w:ascii="Arial" w:cs="Arial" w:eastAsia="Arial" w:hAnsi="Arial"/>
          <w:sz w:val="21"/>
          <w:szCs w:val="21"/>
        </w:rPr>
        <w:t xml:space="preserve">Holding cost is rate-based: The 20% of unit price convention is standard but may not reflect actual warehousing, insurance, and capital costs for this retailer.</w:t>
      </w:r>
    </w:p>
    <w:p>
      <w:pPr>
        <w:pStyle w:val="ListParagraph"/>
        <w:numPr>
          <w:ilvl w:val="0"/>
          <w:numId w:val="2"/>
        </w:numPr>
        <w:spacing w:after="80"/>
      </w:pPr>
      <w:r>
        <w:rPr>
          <w:rFonts w:ascii="Arial" w:cs="Arial" w:eastAsia="Arial" w:hAnsi="Arial"/>
          <w:sz w:val="21"/>
          <w:szCs w:val="21"/>
        </w:rPr>
        <w:t xml:space="preserve">Demand vs. Units Sold: The dataset includes both Demand and Units Sold fields. This analysis used Demand as the primary signal, as it captures unmet demand not reflected in sales. If the client has visibility into lost sales data, this should be reconciled.</w:t>
      </w:r>
    </w:p>
    <w:p>
      <w:pPr>
        <w:pBdr>
          <w:bottom w:val="single" w:color="2e86ab" w:sz="4" w:space="1"/>
        </w:pBdr>
        <w:spacing w:after="160" w:before="160"/>
      </w:pPr>
    </w:p>
    <w:p>
      <w:pPr>
        <w:pStyle w:val="Heading1"/>
        <w:spacing w:after="120" w:before="300"/>
      </w:pPr>
      <w:r>
        <w:rPr>
          <w:rFonts w:ascii="Arial" w:cs="Arial" w:eastAsia="Arial" w:hAnsi="Arial"/>
          <w:b/>
          <w:bCs/>
          <w:color w:val="1e3a5f"/>
          <w:sz w:val="30"/>
          <w:szCs w:val="30"/>
        </w:rPr>
        <w:t xml:space="preserve">8. Conclusion</w:t>
      </w:r>
    </w:p>
    <w:p>
      <w:pPr>
        <w:spacing w:after="120"/>
      </w:pPr>
      <w:r>
        <w:rPr>
          <w:rFonts w:ascii="Arial" w:cs="Arial" w:eastAsia="Arial" w:hAnsi="Arial"/>
          <w:sz w:val="21"/>
          <w:szCs w:val="21"/>
        </w:rPr>
        <w:t xml:space="preserve">This analysis demonstrates that applying the EOQ model to the client's retail sales data can deliver material inventory cost reductions. With an estimated $3.83M in potential annual savings across 20 SKUs, the business case for moving from intuition-driven to formula-driven replenishment is clear.</w:t>
      </w:r>
    </w:p>
    <w:p>
      <w:pPr>
        <w:spacing w:after="120"/>
      </w:pPr>
      <w:r>
        <w:rPr>
          <w:rFonts w:ascii="Arial" w:cs="Arial" w:eastAsia="Arial" w:hAnsi="Arial"/>
          <w:sz w:val="21"/>
          <w:szCs w:val="21"/>
        </w:rPr>
        <w:t xml:space="preserve">Three strategic recommendations follow from the findings:</w:t>
      </w:r>
    </w:p>
    <w:p>
      <w:pPr>
        <w:pStyle w:val="ListParagraph"/>
        <w:numPr>
          <w:ilvl w:val="0"/>
          <w:numId w:val="2"/>
        </w:numPr>
        <w:spacing w:after="80"/>
      </w:pPr>
      <w:r>
        <w:rPr>
          <w:rFonts w:ascii="Arial" w:cs="Arial" w:eastAsia="Arial" w:hAnsi="Arial"/>
          <w:sz w:val="21"/>
          <w:szCs w:val="21"/>
        </w:rPr>
        <w:t xml:space="preserve">Adopt EOQ-based order quantities immediately for high-saving products (P0008, P0018, P0017), where cost reduction exceeds 92%. These are quick wins requiring no additional data collection.</w:t>
      </w:r>
    </w:p>
    <w:p>
      <w:pPr>
        <w:pStyle w:val="ListParagraph"/>
        <w:numPr>
          <w:ilvl w:val="0"/>
          <w:numId w:val="2"/>
        </w:numPr>
        <w:spacing w:after="80"/>
      </w:pPr>
      <w:r>
        <w:rPr>
          <w:rFonts w:ascii="Arial" w:cs="Arial" w:eastAsia="Arial" w:hAnsi="Arial"/>
          <w:sz w:val="21"/>
          <w:szCs w:val="21"/>
        </w:rPr>
        <w:t xml:space="preserve">Calibrate holding and ordering cost assumptions with actual procurement data. Even small adjustments to these parameters will sharpen EOQ precision and ensure recommendations hold under client-specific conditions.</w:t>
      </w:r>
    </w:p>
    <w:p>
      <w:pPr>
        <w:pStyle w:val="ListParagraph"/>
        <w:numPr>
          <w:ilvl w:val="0"/>
          <w:numId w:val="2"/>
        </w:numPr>
        <w:spacing w:after="80"/>
      </w:pPr>
      <w:r>
        <w:rPr>
          <w:rFonts w:ascii="Arial" w:cs="Arial" w:eastAsia="Arial" w:hAnsi="Arial"/>
          <w:sz w:val="21"/>
          <w:szCs w:val="21"/>
        </w:rPr>
        <w:t xml:space="preserve">Integrate seasonal demand signals into replenishment planning. Winter buildup and Summer drawdown should be operationalized as pre-season stock builds, reducing reactive emergency ordering.</w:t>
      </w:r>
    </w:p>
    <w:p>
      <w:pPr>
        <w:spacing w:after="120"/>
      </w:pPr>
      <w:r>
        <w:rPr>
          <w:rFonts w:ascii="Arial" w:cs="Arial" w:eastAsia="Arial" w:hAnsi="Arial"/>
          <w:sz w:val="21"/>
          <w:szCs w:val="21"/>
        </w:rPr>
        <w:t xml:space="preserve">As a next step, incorporating lead time data will enable full safety stock modeling and reorder point calculation — completing the inventory optimization loop from order sizing to order timing.</w:t>
      </w:r>
    </w:p>
    <w:p>
      <w:pPr>
        <w:pBdr>
          <w:bottom w:val="single" w:color="2e86ab" w:sz="4" w:space="1"/>
        </w:pBdr>
        <w:spacing w:after="160" w:before="160"/>
      </w:pPr>
    </w:p>
    <w:p>
      <w:pPr>
        <w:spacing w:before="200"/>
        <w:jc w:val="center"/>
      </w:pPr>
      <w:r>
        <w:rPr>
          <w:rFonts w:ascii="Arial" w:cs="Arial" w:eastAsia="Arial" w:hAnsi="Arial"/>
          <w:color w:val="888888"/>
          <w:sz w:val="18"/>
          <w:szCs w:val="18"/>
        </w:rPr>
        <w:t xml:space="preserve">End of Report</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2"/>
      </w:pBdr>
      <w:jc w:val="center"/>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 Confidential – Client Deliverable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2"/>
      </w:pBdr>
    </w:pPr>
    <w:r>
      <w:rPr>
        <w:rFonts w:ascii="Arial" w:cs="Arial" w:eastAsia="Arial" w:hAnsi="Arial"/>
        <w:b/>
        <w:bCs/>
        <w:color w:val="1e3a5f"/>
        <w:sz w:val="18"/>
        <w:szCs w:val="18"/>
      </w:rPr>
      <w:t xml:space="preserve">Demand Forecasting &amp; Inventory Optimization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e3a5f"/>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ae19cdb04c7863af1a571c29e9ab2a2024cd9a.png"/><Relationship Id="rId10" Type="http://schemas.openxmlformats.org/officeDocument/2006/relationships/image" Target="media/4f5e1fd8bcc1e86742951b19ae29e50b154a48e4.png"/><Relationship Id="rId11" Type="http://schemas.openxmlformats.org/officeDocument/2006/relationships/image" Target="media/2dc5b26ada86c975e9f8c7cb83dae43581ffe042.png"/><Relationship Id="rId12" Type="http://schemas.openxmlformats.org/officeDocument/2006/relationships/image" Target="media/93b09d5d9f3423ab4abec94eb5c299efd381d911.png"/><Relationship Id="rId13" Type="http://schemas.openxmlformats.org/officeDocument/2006/relationships/image" Target="media/6158d311a255e08bf7612c356fb1f142d1b875e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2026-03-30T15:54:14.515Z</dcterms:created>
  <dcterms:modified xsi:type="dcterms:W3CDTF">2026-03-30T15:54:14.516Z</dcterms:modified>
</cp:coreProperties>
</file>

<file path=docProps/custom.xml><?xml version="1.0" encoding="utf-8"?>
<Properties xmlns="http://schemas.openxmlformats.org/officeDocument/2006/custom-properties" xmlns:vt="http://schemas.openxmlformats.org/officeDocument/2006/docPropsVTypes"/>
</file>