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480"/>
              <w:left w:type="dxa" w:w="480"/>
              <w:bottom w:type="dxa" w:w="480"/>
              <w:right w:type="dxa" w:w="4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WALMART STORE PERFORMANCE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8C8E8"/>
                <w:sz w:val="32"/>
                <w:szCs w:val="32"/>
              </w:rPr>
              <w:t xml:space="preserve">Data Analysis Report</w:t>
            </w:r>
          </w:p>
          <w:p>
            <w:pPr>
              <w:spacing w:before="0" w:after="160"/>
            </w:pPr>
          </w:p>
          <w:p>
            <w:pPr>
              <w:jc w:val="center"/>
            </w:pPr>
            <w:r>
              <w:rPr>
                <w:rFonts w:ascii="Arial" w:cs="Arial" w:eastAsia="Arial" w:hAnsi="Arial"/>
                <w:color w:val="A8C8E8"/>
                <w:sz w:val="20"/>
                <w:szCs w:val="20"/>
              </w:rPr>
              <w:t xml:space="preserve">45 Stores  |  Feb 2010 – Oct 2012  |  6,435 Weekly Records</w:t>
            </w:r>
          </w:p>
        </w:tc>
      </w:tr>
    </w:tbl>
    <w:p>
      <w:pPr>
        <w:spacing w:before="0" w:after="2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20"/>
        <w:gridCol w:w="2420"/>
        <w:gridCol w:w="2420"/>
        <w:gridCol w:w="2820"/>
      </w:tblGrid>
      <w:tr>
        <w:tc>
          <w:tcPr>
            <w:tcW w:type="dxa" w:w="242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6E8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36"/>
                <w:szCs w:val="36"/>
              </w:rPr>
              <w:t xml:space="preserve">45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Stores analysed</w:t>
            </w:r>
          </w:p>
        </w:tc>
        <w:tc>
          <w:tcPr>
            <w:tcW w:type="dxa" w:w="242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D5F0E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36"/>
                <w:szCs w:val="36"/>
              </w:rPr>
              <w:t xml:space="preserve">$1.05M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Avg weekly sales / store</w:t>
            </w:r>
          </w:p>
        </w:tc>
        <w:tc>
          <w:tcPr>
            <w:tcW w:type="dxa" w:w="242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ADBD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36"/>
                <w:szCs w:val="36"/>
              </w:rPr>
              <w:t xml:space="preserve">–28%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January revenue drop</w:t>
            </w:r>
          </w:p>
        </w:tc>
        <w:tc>
          <w:tcPr>
            <w:tcW w:type="dxa" w:w="282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DEBD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36"/>
                <w:szCs w:val="36"/>
              </w:rPr>
              <w:t xml:space="preserve">+263%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Top vs bottom tier gap</w:t>
            </w:r>
          </w:p>
        </w:tc>
      </w:tr>
    </w:tbl>
    <w:p>
      <w:pPr>
        <w:spacing w:before="0" w:after="2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2D6A9F" w:sz="16"/>
              <w:bottom w:val="none" w:color="FFFFFF" w:sz="0"/>
              <w:right w:val="none" w:color="FFFFFF" w:sz="0"/>
            </w:tcBorders>
            <w:shd w:fill="D6E8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Executive Summary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Three critical issues dominate this dataset: a 263% performance gap between top and bottom-tier stores with no convergence trend, a severe January revenue cliff of –28% that repeats every year with zero strategic mitigation, and 14 stores with dangerously high weekly volatility (CV &gt;15%). Holiday upside is being left on the table by 5 stores showing neutral or negative lift. Unemployment is the strongest external driver — stores in high-unemployment areas average 29% lower weekly sales and require a fundamentally different commercial strategy.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pBdr>
          <w:bottom w:val="single" w:color="2D6A9F" w:sz="8" w:space="1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Finding 1 of 7 — The Store Performance Gap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● Critical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Top stores earn 263% more than the bottom tier</w:t>
            </w:r>
          </w:p>
        </w:tc>
      </w:tr>
    </w:tbl>
    <w:p>
      <w:pPr>
        <w:spacing w:before="0" w:after="80"/>
      </w:pPr>
    </w:p>
    <w:p>
      <w:pPr>
        <w:spacing w:before="80" w:after="80"/>
        <w:ind w:left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Tier 1 stores average $1,689K/week. Tier 3 average $466K/week. This is not normal variation — it is a structural split that is widening, not closing. Ten stores showed active year-on-year decline into 2012.</w:t>
      </w:r>
    </w:p>
    <w:p>
      <w:pPr>
        <w:spacing w:before="0" w:after="120"/>
      </w:pPr>
    </w:p>
    <w:p>
      <w:pPr>
        <w:spacing w:before="160" w:after="80"/>
      </w:pPr>
      <w:r>
        <w:rPr>
          <w:rFonts w:ascii="Arial" w:cs="Arial" w:eastAsia="Arial" w:hAnsi="Arial"/>
          <w:i/>
          <w:iCs/>
          <w:color w:val="5D6D7E"/>
          <w:sz w:val="18"/>
          <w:szCs w:val="18"/>
        </w:rPr>
        <w:t xml:space="preserve">Average weekly sales by store performance tier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Store tier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weekly sales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Tier 1 — Top 15 stores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tbl>
            <w:tblPr>
              <w:tblW w:type="dxa" w:w="672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5067"/>
              <w:gridCol w:w="1653"/>
            </w:tblGrid>
            <w:tr>
              <w:tc>
                <w:tcPr>
                  <w:tcW w:type="dxa" w:w="5067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D6A4A" w:val="clear"/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$1,689K</w:t>
                  </w:r>
                </w:p>
              </w:tc>
              <w:tc>
                <w:tcPr>
                  <w:tcW w:type="dxa" w:w="1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</w:tcPr>
                <w:p/>
              </w:tc>
            </w:tr>
          </w:tbl>
          <w:p/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Tier 2 — Mid 15 stores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tbl>
            <w:tblPr>
              <w:tblW w:type="dxa" w:w="672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2958"/>
              <w:gridCol w:w="3762"/>
            </w:tblGrid>
            <w:tr>
              <w:tc>
                <w:tcPr>
                  <w:tcW w:type="dxa" w:w="295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67E22" w:val="clear"/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$986K</w:t>
                  </w:r>
                </w:p>
              </w:tc>
              <w:tc>
                <w:tcPr>
                  <w:tcW w:type="dxa" w:w="376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3F4" w:val="clear"/>
                </w:tcPr>
                <w:p/>
              </w:tc>
            </w:tr>
          </w:tbl>
          <w:p/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Tier 3 — Bottom 15 stores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tbl>
            <w:tblPr>
              <w:tblW w:type="dxa" w:w="672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398"/>
              <w:gridCol w:w="5322"/>
            </w:tblGrid>
            <w:tr>
              <w:tc>
                <w:tcPr>
                  <w:tcW w:type="dxa" w:w="139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0392B" w:val="clear"/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$466K</w:t>
                  </w:r>
                </w:p>
              </w:tc>
              <w:tc>
                <w:tcPr>
                  <w:tcW w:type="dxa" w:w="532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</w:tcPr>
                <w:p/>
              </w:tc>
            </w:tr>
          </w:tbl>
          <w:p/>
        </w:tc>
      </w:tr>
    </w:tbl>
    <w:p>
      <w:pPr>
        <w:spacing w:before="0" w:after="160"/>
      </w:pPr>
    </w:p>
    <w:p>
      <w:pPr>
        <w:spacing w:before="160" w:after="80"/>
      </w:pPr>
      <w:r>
        <w:rPr>
          <w:rFonts w:ascii="Arial" w:cs="Arial" w:eastAsia="Arial" w:hAnsi="Arial"/>
          <w:i/>
          <w:iCs/>
          <w:color w:val="5D6D7E"/>
          <w:sz w:val="18"/>
          <w:szCs w:val="18"/>
        </w:rPr>
        <w:t xml:space="preserve">Year-on-year decline 2011 → 2012 — worst 10 stores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Store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YoY change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Store 36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tbl>
            <w:tblPr>
              <w:tblW w:type="dxa" w:w="672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5164"/>
              <w:gridCol w:w="1556"/>
            </w:tblGrid>
            <w:tr>
              <w:tc>
                <w:tcPr>
                  <w:tcW w:type="dxa" w:w="516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0392B" w:val="clear"/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-15.3%</w:t>
                  </w:r>
                </w:p>
              </w:tc>
              <w:tc>
                <w:tcPr>
                  <w:tcW w:type="dxa" w:w="155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</w:tcPr>
                <w:p/>
              </w:tc>
            </w:tr>
          </w:tbl>
          <w:p/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Store 14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tbl>
            <w:tblPr>
              <w:tblW w:type="dxa" w:w="672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3949"/>
              <w:gridCol w:w="2771"/>
            </w:tblGrid>
            <w:tr>
              <w:tc>
                <w:tcPr>
                  <w:tcW w:type="dxa" w:w="394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0392B" w:val="clear"/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-11.7%</w:t>
                  </w:r>
                </w:p>
              </w:tc>
              <w:tc>
                <w:tcPr>
                  <w:tcW w:type="dxa" w:w="2771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3F4" w:val="clear"/>
                </w:tcPr>
                <w:p/>
              </w:tc>
            </w:tr>
          </w:tbl>
          <w:p/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Store 21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tbl>
            <w:tblPr>
              <w:tblW w:type="dxa" w:w="672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3071"/>
              <w:gridCol w:w="3649"/>
            </w:tblGrid>
            <w:tr>
              <w:tc>
                <w:tcPr>
                  <w:tcW w:type="dxa" w:w="3071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0392B" w:val="clear"/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-9.1%</w:t>
                  </w:r>
                </w:p>
              </w:tc>
              <w:tc>
                <w:tcPr>
                  <w:tcW w:type="dxa" w:w="364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</w:tcPr>
                <w:p/>
              </w:tc>
            </w:tr>
          </w:tbl>
          <w:p/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Store 15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tbl>
            <w:tblPr>
              <w:tblW w:type="dxa" w:w="672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2363"/>
              <w:gridCol w:w="4357"/>
            </w:tblGrid>
            <w:tr>
              <w:tc>
                <w:tcPr>
                  <w:tcW w:type="dxa" w:w="236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67E22" w:val="clear"/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-7.0%</w:t>
                  </w:r>
                </w:p>
              </w:tc>
              <w:tc>
                <w:tcPr>
                  <w:tcW w:type="dxa" w:w="4357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3F4" w:val="clear"/>
                </w:tcPr>
                <w:p/>
              </w:tc>
            </w:tr>
          </w:tbl>
          <w:p/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Store 27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tbl>
            <w:tblPr>
              <w:tblW w:type="dxa" w:w="672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823"/>
              <w:gridCol w:w="4897"/>
            </w:tblGrid>
            <w:tr>
              <w:tc>
                <w:tcPr>
                  <w:tcW w:type="dxa" w:w="182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67E22" w:val="clear"/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-5.4%</w:t>
                  </w:r>
                </w:p>
              </w:tc>
              <w:tc>
                <w:tcPr>
                  <w:tcW w:type="dxa" w:w="4897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</w:tcPr>
                <w:p/>
              </w:tc>
            </w:tr>
          </w:tbl>
          <w:p/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Store 10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tbl>
            <w:tblPr>
              <w:tblW w:type="dxa" w:w="672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485"/>
              <w:gridCol w:w="5235"/>
            </w:tblGrid>
            <w:tr>
              <w:tc>
                <w:tcPr>
                  <w:tcW w:type="dxa" w:w="148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67E22" w:val="clear"/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-4.4%</w:t>
                  </w:r>
                </w:p>
              </w:tc>
              <w:tc>
                <w:tcPr>
                  <w:tcW w:type="dxa" w:w="523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3F4" w:val="clear"/>
                </w:tcPr>
                <w:p/>
              </w:tc>
            </w:tr>
          </w:tbl>
          <w:p/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Store 19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tbl>
            <w:tblPr>
              <w:tblW w:type="dxa" w:w="672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451"/>
              <w:gridCol w:w="5269"/>
            </w:tblGrid>
            <w:tr>
              <w:tc>
                <w:tcPr>
                  <w:tcW w:type="dxa" w:w="1451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67E22" w:val="clear"/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-4.3%</w:t>
                  </w:r>
                </w:p>
              </w:tc>
              <w:tc>
                <w:tcPr>
                  <w:tcW w:type="dxa" w:w="526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</w:tcPr>
                <w:p/>
              </w:tc>
            </w:tr>
          </w:tbl>
          <w:p/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Store 45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tbl>
            <w:tblPr>
              <w:tblW w:type="dxa" w:w="672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283"/>
              <w:gridCol w:w="5437"/>
            </w:tblGrid>
            <w:tr>
              <w:tc>
                <w:tcPr>
                  <w:tcW w:type="dxa" w:w="128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67E22" w:val="clear"/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-3.8%</w:t>
                  </w:r>
                </w:p>
              </w:tc>
              <w:tc>
                <w:tcPr>
                  <w:tcW w:type="dxa" w:w="5437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3F4" w:val="clear"/>
                </w:tcPr>
                <w:p/>
              </w:tc>
            </w:tr>
          </w:tbl>
          <w:p/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Store 29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tbl>
            <w:tblPr>
              <w:tblW w:type="dxa" w:w="672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283"/>
              <w:gridCol w:w="5437"/>
            </w:tblGrid>
            <w:tr>
              <w:tc>
                <w:tcPr>
                  <w:tcW w:type="dxa" w:w="128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67E22" w:val="clear"/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-3.8%</w:t>
                  </w:r>
                </w:p>
              </w:tc>
              <w:tc>
                <w:tcPr>
                  <w:tcW w:type="dxa" w:w="5437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</w:tcPr>
                <w:p/>
              </w:tc>
            </w:tr>
          </w:tbl>
          <w:p/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Store 22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tbl>
            <w:tblPr>
              <w:tblW w:type="dxa" w:w="672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1249"/>
              <w:gridCol w:w="5471"/>
            </w:tblGrid>
            <w:tr>
              <w:tc>
                <w:tcPr>
                  <w:tcW w:type="dxa" w:w="124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67E22" w:val="clear"/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-3.7%</w:t>
                  </w:r>
                </w:p>
              </w:tc>
              <w:tc>
                <w:tcPr>
                  <w:tcW w:type="dxa" w:w="5471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3F4" w:val="clear"/>
                </w:tcPr>
                <w:p/>
              </w:tc>
            </w:tr>
          </w:tbl>
          <w:p/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ADBD8" w:sz="2"/>
              <w:left w:val="single" w:color="FADBD8" w:sz="2"/>
              <w:bottom w:val="single" w:color="FADBD8" w:sz="2"/>
              <w:right w:val="single" w:color="FADBD8" w:sz="2"/>
            </w:tcBorders>
            <w:shd w:fill="FADBD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→  Immediate operational audit required for Stores 36, 14, 21, 15, and 27. Fast-track playbook transfer from top performers (Stores 20, 4, 13, 2).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pBdr>
          <w:bottom w:val="single" w:color="2D6A9F" w:sz="8" w:space="1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Finding 2 of 7 — The January Revenue Cliff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● Critical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Sales crash 28% every January — and nothing is done about it</w:t>
            </w:r>
          </w:p>
        </w:tc>
      </w:tr>
    </w:tbl>
    <w:p>
      <w:pPr>
        <w:spacing w:before="0" w:after="80"/>
      </w:pPr>
    </w:p>
    <w:p>
      <w:pPr>
        <w:spacing w:before="80" w:after="80"/>
        <w:ind w:left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December peaks at $1,282K average weekly. January drops to $924K — a collapse of $358K per store per week. This pattern repeats identically across all three years in the dataset, indicating zero strategic response.</w:t>
      </w:r>
    </w:p>
    <w:p>
      <w:pPr>
        <w:spacing w:before="0" w:after="120"/>
      </w:pPr>
    </w:p>
    <w:p>
      <w:pPr>
        <w:spacing w:before="160" w:after="80"/>
      </w:pPr>
      <w:r>
        <w:rPr>
          <w:rFonts w:ascii="Arial" w:cs="Arial" w:eastAsia="Arial" w:hAnsi="Arial"/>
          <w:i/>
          <w:iCs/>
          <w:color w:val="5D6D7E"/>
          <w:sz w:val="18"/>
          <w:szCs w:val="18"/>
        </w:rPr>
        <w:t xml:space="preserve">Average weekly sales by month — all 45 stores ($K)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weekly sales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January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tbl>
            <w:tblPr>
              <w:tblW w:type="dxa" w:w="672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3564"/>
              <w:gridCol w:w="3156"/>
            </w:tblGrid>
            <w:tr>
              <w:tc>
                <w:tcPr>
                  <w:tcW w:type="dxa" w:w="356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0392B" w:val="clear"/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$924K ⚠</w:t>
                  </w:r>
                </w:p>
              </w:tc>
              <w:tc>
                <w:tcPr>
                  <w:tcW w:type="dxa" w:w="315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</w:tcPr>
                <w:p/>
              </w:tc>
            </w:tr>
          </w:tbl>
          <w:p/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February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tbl>
            <w:tblPr>
              <w:tblW w:type="dxa" w:w="672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4062"/>
              <w:gridCol w:w="2658"/>
            </w:tblGrid>
            <w:tr>
              <w:tc>
                <w:tcPr>
                  <w:tcW w:type="dxa" w:w="406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5B9BD5" w:val="clear"/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$1,053K</w:t>
                  </w:r>
                </w:p>
              </w:tc>
              <w:tc>
                <w:tcPr>
                  <w:tcW w:type="dxa" w:w="265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3F4" w:val="clear"/>
                </w:tcPr>
                <w:p/>
              </w:tc>
            </w:tr>
          </w:tbl>
          <w:p/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March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tbl>
            <w:tblPr>
              <w:tblW w:type="dxa" w:w="672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3907"/>
              <w:gridCol w:w="2813"/>
            </w:tblGrid>
            <w:tr>
              <w:tc>
                <w:tcPr>
                  <w:tcW w:type="dxa" w:w="3907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5B9BD5" w:val="clear"/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$1,013K</w:t>
                  </w:r>
                </w:p>
              </w:tc>
              <w:tc>
                <w:tcPr>
                  <w:tcW w:type="dxa" w:w="281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</w:tcPr>
                <w:p/>
              </w:tc>
            </w:tr>
          </w:tbl>
          <w:p/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April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tbl>
            <w:tblPr>
              <w:tblW w:type="dxa" w:w="672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3961"/>
              <w:gridCol w:w="2759"/>
            </w:tblGrid>
            <w:tr>
              <w:tc>
                <w:tcPr>
                  <w:tcW w:type="dxa" w:w="3961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5B9BD5" w:val="clear"/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$1,027K</w:t>
                  </w:r>
                </w:p>
              </w:tc>
              <w:tc>
                <w:tcPr>
                  <w:tcW w:type="dxa" w:w="275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3F4" w:val="clear"/>
                </w:tcPr>
                <w:p/>
              </w:tc>
            </w:tr>
          </w:tbl>
          <w:p/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May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tbl>
            <w:tblPr>
              <w:tblW w:type="dxa" w:w="672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3981"/>
              <w:gridCol w:w="2739"/>
            </w:tblGrid>
            <w:tr>
              <w:tc>
                <w:tcPr>
                  <w:tcW w:type="dxa" w:w="3981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5B9BD5" w:val="clear"/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$1,032K</w:t>
                  </w:r>
                </w:p>
              </w:tc>
              <w:tc>
                <w:tcPr>
                  <w:tcW w:type="dxa" w:w="273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</w:tcPr>
                <w:p/>
              </w:tc>
            </w:tr>
          </w:tbl>
          <w:p/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June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tbl>
            <w:tblPr>
              <w:tblW w:type="dxa" w:w="672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4104"/>
              <w:gridCol w:w="2616"/>
            </w:tblGrid>
            <w:tr>
              <w:tc>
                <w:tcPr>
                  <w:tcW w:type="dxa" w:w="410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5B9BD5" w:val="clear"/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$1,064K</w:t>
                  </w:r>
                </w:p>
              </w:tc>
              <w:tc>
                <w:tcPr>
                  <w:tcW w:type="dxa" w:w="261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3F4" w:val="clear"/>
                </w:tcPr>
                <w:p/>
              </w:tc>
            </w:tr>
          </w:tbl>
          <w:p/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July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tbl>
            <w:tblPr>
              <w:tblW w:type="dxa" w:w="672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3981"/>
              <w:gridCol w:w="2739"/>
            </w:tblGrid>
            <w:tr>
              <w:tc>
                <w:tcPr>
                  <w:tcW w:type="dxa" w:w="3981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5B9BD5" w:val="clear"/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$1,032K</w:t>
                  </w:r>
                </w:p>
              </w:tc>
              <w:tc>
                <w:tcPr>
                  <w:tcW w:type="dxa" w:w="273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</w:tcPr>
                <w:p/>
              </w:tc>
            </w:tr>
          </w:tbl>
          <w:p/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August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tbl>
            <w:tblPr>
              <w:tblW w:type="dxa" w:w="672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4042"/>
              <w:gridCol w:w="2678"/>
            </w:tblGrid>
            <w:tr>
              <w:tc>
                <w:tcPr>
                  <w:tcW w:type="dxa" w:w="404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5B9BD5" w:val="clear"/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$1,048K</w:t>
                  </w:r>
                </w:p>
              </w:tc>
              <w:tc>
                <w:tcPr>
                  <w:tcW w:type="dxa" w:w="267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3F4" w:val="clear"/>
                </w:tcPr>
                <w:p/>
              </w:tc>
            </w:tr>
          </w:tbl>
          <w:p/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September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tbl>
            <w:tblPr>
              <w:tblW w:type="dxa" w:w="672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3815"/>
              <w:gridCol w:w="2905"/>
            </w:tblGrid>
            <w:tr>
              <w:tc>
                <w:tcPr>
                  <w:tcW w:type="dxa" w:w="381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67E22" w:val="clear"/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$989K ⚠</w:t>
                  </w:r>
                </w:p>
              </w:tc>
              <w:tc>
                <w:tcPr>
                  <w:tcW w:type="dxa" w:w="290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</w:tcPr>
                <w:p/>
              </w:tc>
            </w:tr>
          </w:tbl>
          <w:p/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October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tbl>
            <w:tblPr>
              <w:tblW w:type="dxa" w:w="672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3857"/>
              <w:gridCol w:w="2863"/>
            </w:tblGrid>
            <w:tr>
              <w:tc>
                <w:tcPr>
                  <w:tcW w:type="dxa" w:w="3857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5B9BD5" w:val="clear"/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$1,000K</w:t>
                  </w:r>
                </w:p>
              </w:tc>
              <w:tc>
                <w:tcPr>
                  <w:tcW w:type="dxa" w:w="286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3F4" w:val="clear"/>
                </w:tcPr>
                <w:p/>
              </w:tc>
            </w:tr>
          </w:tbl>
          <w:p/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November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tbl>
            <w:tblPr>
              <w:tblW w:type="dxa" w:w="672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4424"/>
              <w:gridCol w:w="2296"/>
            </w:tblGrid>
            <w:tr>
              <w:tc>
                <w:tcPr>
                  <w:tcW w:type="dxa" w:w="442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D6A4A" w:val="clear"/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$1,147K</w:t>
                  </w:r>
                </w:p>
              </w:tc>
              <w:tc>
                <w:tcPr>
                  <w:tcW w:type="dxa" w:w="229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</w:tcPr>
                <w:p/>
              </w:tc>
            </w:tr>
          </w:tbl>
          <w:p/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December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tbl>
            <w:tblPr>
              <w:tblW w:type="dxa" w:w="672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4945"/>
              <w:gridCol w:w="1775"/>
            </w:tblGrid>
            <w:tr>
              <w:tc>
                <w:tcPr>
                  <w:tcW w:type="dxa" w:w="494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D6A4A" w:val="clear"/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$1,282K ★</w:t>
                  </w:r>
                </w:p>
              </w:tc>
              <w:tc>
                <w:tcPr>
                  <w:tcW w:type="dxa" w:w="177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3F4" w:val="clear"/>
                </w:tcPr>
                <w:p/>
              </w:tc>
            </w:tr>
          </w:tbl>
          <w:p/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ADBD8" w:sz="2"/>
              <w:left w:val="single" w:color="FADBD8" w:sz="2"/>
              <w:bottom w:val="single" w:color="FADBD8" w:sz="2"/>
              <w:right w:val="single" w:color="FADBD8" w:sz="2"/>
            </w:tcBorders>
            <w:shd w:fill="FADBD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→  Design a January recovery programme: launch loyalty re-engagement on Dec 26, clearance cadence to drive footfall, shift category mix to high-frequency replenishment items. Target: recover 10 points of the drop (~$36K/store/week).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pBdr>
          <w:bottom w:val="single" w:color="2D6A9F" w:sz="8" w:space="1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Finding 3 of 7 — Holiday Lift Inconsistency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E2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● High Priority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5 stores gain nothing — or go negative — during holiday weeks</w:t>
            </w:r>
          </w:p>
        </w:tc>
      </w:tr>
    </w:tbl>
    <w:p>
      <w:pPr>
        <w:spacing w:before="0" w:after="80"/>
      </w:pPr>
    </w:p>
    <w:p>
      <w:pPr>
        <w:spacing w:before="80" w:after="80"/>
        <w:ind w:left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Holiday weeks drive a 7.7% average uplift across the fleet. The best stores achieve 14–19% lift. But 5 stores show zero or negative performance during holidays — a pure execution failure, not a demographics problem.</w:t>
      </w:r>
    </w:p>
    <w:p>
      <w:pPr>
        <w:spacing w:before="0" w:after="120"/>
      </w:pPr>
    </w:p>
    <w:p>
      <w:pPr>
        <w:spacing w:before="160" w:after="80"/>
      </w:pPr>
      <w:r>
        <w:rPr>
          <w:rFonts w:ascii="Arial" w:cs="Arial" w:eastAsia="Arial" w:hAnsi="Arial"/>
          <w:i/>
          <w:iCs/>
          <w:color w:val="5D6D7E"/>
          <w:sz w:val="18"/>
          <w:szCs w:val="18"/>
        </w:rPr>
        <w:t xml:space="preserve">Holiday week sales lift by store — top performers vs problem stores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6240"/>
      </w:tblGrid>
      <w:tr>
        <w:tc>
          <w:tcPr>
            <w:tcW w:type="dxa" w:w="15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Store</w:t>
            </w:r>
          </w:p>
        </w:tc>
        <w:tc>
          <w:tcPr>
            <w:tcW w:type="dxa" w:w="15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Holiday lift %</w:t>
            </w:r>
          </w:p>
        </w:tc>
        <w:tc>
          <w:tcPr>
            <w:tcW w:type="dxa" w:w="624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Assessment</w:t>
            </w:r>
          </w:p>
        </w:tc>
      </w:tr>
      <w:tr>
        <w:tc>
          <w:tcPr>
            <w:tcW w:type="dxa" w:w="15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Store 7</w:t>
            </w:r>
          </w:p>
        </w:tc>
        <w:tc>
          <w:tcPr>
            <w:tcW w:type="dxa" w:w="15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+19.4%</w:t>
            </w:r>
          </w:p>
        </w:tc>
        <w:tc>
          <w:tcPr>
            <w:tcW w:type="dxa" w:w="624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Excellent — benchmark this store</w:t>
            </w:r>
          </w:p>
        </w:tc>
      </w:tr>
      <w:tr>
        <w:tc>
          <w:tcPr>
            <w:tcW w:type="dxa" w:w="15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Store 35</w:t>
            </w:r>
          </w:p>
        </w:tc>
        <w:tc>
          <w:tcPr>
            <w:tcW w:type="dxa" w:w="15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+18.3%</w:t>
            </w:r>
          </w:p>
        </w:tc>
        <w:tc>
          <w:tcPr>
            <w:tcW w:type="dxa" w:w="624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Excellent — benchmark this store</w:t>
            </w:r>
          </w:p>
        </w:tc>
      </w:tr>
      <w:tr>
        <w:tc>
          <w:tcPr>
            <w:tcW w:type="dxa" w:w="15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Store 15</w:t>
            </w:r>
          </w:p>
        </w:tc>
        <w:tc>
          <w:tcPr>
            <w:tcW w:type="dxa" w:w="15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+14.5%</w:t>
            </w:r>
          </w:p>
        </w:tc>
        <w:tc>
          <w:tcPr>
            <w:tcW w:type="dxa" w:w="624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Strong</w:t>
            </w:r>
          </w:p>
        </w:tc>
      </w:tr>
      <w:tr>
        <w:tc>
          <w:tcPr>
            <w:tcW w:type="dxa" w:w="15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Store 5</w:t>
            </w:r>
          </w:p>
        </w:tc>
        <w:tc>
          <w:tcPr>
            <w:tcW w:type="dxa" w:w="15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+14.2%</w:t>
            </w:r>
          </w:p>
        </w:tc>
        <w:tc>
          <w:tcPr>
            <w:tcW w:type="dxa" w:w="624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Strong</w:t>
            </w:r>
          </w:p>
        </w:tc>
      </w:tr>
      <w:tr>
        <w:tc>
          <w:tcPr>
            <w:tcW w:type="dxa" w:w="15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Store 12</w:t>
            </w:r>
          </w:p>
        </w:tc>
        <w:tc>
          <w:tcPr>
            <w:tcW w:type="dxa" w:w="15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+13.9%</w:t>
            </w:r>
          </w:p>
        </w:tc>
        <w:tc>
          <w:tcPr>
            <w:tcW w:type="dxa" w:w="624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Strong</w:t>
            </w:r>
          </w:p>
        </w:tc>
      </w:tr>
      <w:tr>
        <w:tc>
          <w:tcPr>
            <w:tcW w:type="dxa" w:w="15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Store 28</w:t>
            </w:r>
          </w:p>
        </w:tc>
        <w:tc>
          <w:tcPr>
            <w:tcW w:type="dxa" w:w="15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+12.7%</w:t>
            </w:r>
          </w:p>
        </w:tc>
        <w:tc>
          <w:tcPr>
            <w:tcW w:type="dxa" w:w="624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W w:type="dxa" w:w="15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Store 10</w:t>
            </w:r>
          </w:p>
        </w:tc>
        <w:tc>
          <w:tcPr>
            <w:tcW w:type="dxa" w:w="15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+12.2%</w:t>
            </w:r>
          </w:p>
        </w:tc>
        <w:tc>
          <w:tcPr>
            <w:tcW w:type="dxa" w:w="624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W w:type="dxa" w:w="15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Store 30</w:t>
            </w:r>
          </w:p>
        </w:tc>
        <w:tc>
          <w:tcPr>
            <w:tcW w:type="dxa" w:w="15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-0.4%</w:t>
            </w:r>
          </w:p>
        </w:tc>
        <w:tc>
          <w:tcPr>
            <w:tcW w:type="dxa" w:w="624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⚠ Problem — investigate</w:t>
            </w:r>
          </w:p>
        </w:tc>
      </w:tr>
      <w:tr>
        <w:tc>
          <w:tcPr>
            <w:tcW w:type="dxa" w:w="15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Store 38</w:t>
            </w:r>
          </w:p>
        </w:tc>
        <w:tc>
          <w:tcPr>
            <w:tcW w:type="dxa" w:w="15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-1.2%</w:t>
            </w:r>
          </w:p>
        </w:tc>
        <w:tc>
          <w:tcPr>
            <w:tcW w:type="dxa" w:w="624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⚠ Problem — investigate</w:t>
            </w:r>
          </w:p>
        </w:tc>
      </w:tr>
      <w:tr>
        <w:tc>
          <w:tcPr>
            <w:tcW w:type="dxa" w:w="15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Store 36</w:t>
            </w:r>
          </w:p>
        </w:tc>
        <w:tc>
          <w:tcPr>
            <w:tcW w:type="dxa" w:w="15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-1.7%</w:t>
            </w:r>
          </w:p>
        </w:tc>
        <w:tc>
          <w:tcPr>
            <w:tcW w:type="dxa" w:w="624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⚠ Problem — investigate</w:t>
            </w:r>
          </w:p>
        </w:tc>
      </w:tr>
      <w:tr>
        <w:tc>
          <w:tcPr>
            <w:tcW w:type="dxa" w:w="15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Store 37</w:t>
            </w:r>
          </w:p>
        </w:tc>
        <w:tc>
          <w:tcPr>
            <w:tcW w:type="dxa" w:w="15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-2.4%</w:t>
            </w:r>
          </w:p>
        </w:tc>
        <w:tc>
          <w:tcPr>
            <w:tcW w:type="dxa" w:w="624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⚠ Problem — investigate</w:t>
            </w:r>
          </w:p>
        </w:tc>
      </w:tr>
      <w:tr>
        <w:tc>
          <w:tcPr>
            <w:tcW w:type="dxa" w:w="15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Store 44</w:t>
            </w:r>
          </w:p>
        </w:tc>
        <w:tc>
          <w:tcPr>
            <w:tcW w:type="dxa" w:w="15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-2.4%</w:t>
            </w:r>
          </w:p>
        </w:tc>
        <w:tc>
          <w:tcPr>
            <w:tcW w:type="dxa" w:w="624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⚠ Problem — investigate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DEBD0" w:sz="2"/>
              <w:left w:val="single" w:color="FDEBD0" w:sz="2"/>
              <w:bottom w:val="single" w:color="FDEBD0" w:sz="2"/>
              <w:right w:val="single" w:color="FDEBD0" w:sz="2"/>
            </w:tcBorders>
            <w:shd w:fill="FDEBD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→  Audit the 5 negative-lift stores for holiday staffing, stock availability, promotional execution, and local competition. The 21-point gap between Store 7 (+19%) and Store 44 (-2%) cannot be explained by catchment area alone.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pBdr>
          <w:bottom w:val="single" w:color="2D6A9F" w:sz="8" w:space="1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Finding 4 of 7 — Weekly Sales Volatility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E2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● High Priority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14 stores swing unpredictably every week — ops planning is impossible</w:t>
            </w:r>
          </w:p>
        </w:tc>
      </w:tr>
    </w:tbl>
    <w:p>
      <w:pPr>
        <w:spacing w:before="0" w:after="80"/>
      </w:pPr>
    </w:p>
    <w:p>
      <w:pPr>
        <w:spacing w:before="80" w:after="80"/>
        <w:ind w:left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Coefficient of Variation (CV) measures how erratically sales swing week to week. A CV above 15% creates serious challenges for stock ordering, staffing, and cash flow planning. Store 35 has a CV of 23% — sales swing by nearly a quarter of its average weekly.</w:t>
      </w:r>
    </w:p>
    <w:p>
      <w:pPr>
        <w:spacing w:before="0" w:after="120"/>
      </w:pPr>
    </w:p>
    <w:p>
      <w:pPr>
        <w:spacing w:before="160" w:after="80"/>
      </w:pPr>
      <w:r>
        <w:rPr>
          <w:rFonts w:ascii="Arial" w:cs="Arial" w:eastAsia="Arial" w:hAnsi="Arial"/>
          <w:i/>
          <w:iCs/>
          <w:color w:val="5D6D7E"/>
          <w:sz w:val="18"/>
          <w:szCs w:val="18"/>
        </w:rPr>
        <w:t xml:space="preserve">Weekly sales volatility — top 14 most erratic stores (CV %)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Store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CV %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Store 35 — Severely erratic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tbl>
            <w:tblPr>
              <w:tblW w:type="dxa" w:w="672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4962"/>
              <w:gridCol w:w="1758"/>
            </w:tblGrid>
            <w:tr>
              <w:tc>
                <w:tcPr>
                  <w:tcW w:type="dxa" w:w="496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0392B" w:val="clear"/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23.0% CV</w:t>
                  </w:r>
                </w:p>
              </w:tc>
              <w:tc>
                <w:tcPr>
                  <w:tcW w:type="dxa" w:w="175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</w:tcPr>
                <w:p/>
              </w:tc>
            </w:tr>
          </w:tbl>
          <w:p/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Store 7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tbl>
            <w:tblPr>
              <w:tblW w:type="dxa" w:w="672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4262"/>
              <w:gridCol w:w="2458"/>
            </w:tblGrid>
            <w:tr>
              <w:tc>
                <w:tcPr>
                  <w:tcW w:type="dxa" w:w="426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0392B" w:val="clear"/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19.7% CV</w:t>
                  </w:r>
                </w:p>
              </w:tc>
              <w:tc>
                <w:tcPr>
                  <w:tcW w:type="dxa" w:w="245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3F4" w:val="clear"/>
                </w:tcPr>
                <w:p/>
              </w:tc>
            </w:tr>
          </w:tbl>
          <w:p/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Store 15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tbl>
            <w:tblPr>
              <w:tblW w:type="dxa" w:w="672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4177"/>
              <w:gridCol w:w="2543"/>
            </w:tblGrid>
            <w:tr>
              <w:tc>
                <w:tcPr>
                  <w:tcW w:type="dxa" w:w="4177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0392B" w:val="clear"/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19.3% CV</w:t>
                  </w:r>
                </w:p>
              </w:tc>
              <w:tc>
                <w:tcPr>
                  <w:tcW w:type="dxa" w:w="254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</w:tcPr>
                <w:p/>
              </w:tc>
            </w:tr>
          </w:tbl>
          <w:p/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Store 29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tbl>
            <w:tblPr>
              <w:tblW w:type="dxa" w:w="672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3968"/>
              <w:gridCol w:w="2752"/>
            </w:tblGrid>
            <w:tr>
              <w:tc>
                <w:tcPr>
                  <w:tcW w:type="dxa" w:w="396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67E22" w:val="clear"/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18.4% CV</w:t>
                  </w:r>
                </w:p>
              </w:tc>
              <w:tc>
                <w:tcPr>
                  <w:tcW w:type="dxa" w:w="275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3F4" w:val="clear"/>
                </w:tcPr>
                <w:p/>
              </w:tc>
            </w:tr>
          </w:tbl>
          <w:p/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Store 23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tbl>
            <w:tblPr>
              <w:tblW w:type="dxa" w:w="672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3882"/>
              <w:gridCol w:w="2838"/>
            </w:tblGrid>
            <w:tr>
              <w:tc>
                <w:tcPr>
                  <w:tcW w:type="dxa" w:w="388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67E22" w:val="clear"/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18.0% CV</w:t>
                  </w:r>
                </w:p>
              </w:tc>
              <w:tc>
                <w:tcPr>
                  <w:tcW w:type="dxa" w:w="283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</w:tcPr>
                <w:p/>
              </w:tc>
            </w:tr>
          </w:tbl>
          <w:p/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Store 21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tbl>
            <w:tblPr>
              <w:tblW w:type="dxa" w:w="672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3678"/>
              <w:gridCol w:w="3042"/>
            </w:tblGrid>
            <w:tr>
              <w:tc>
                <w:tcPr>
                  <w:tcW w:type="dxa" w:w="367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67E22" w:val="clear"/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17.0% CV</w:t>
                  </w:r>
                </w:p>
              </w:tc>
              <w:tc>
                <w:tcPr>
                  <w:tcW w:type="dxa" w:w="304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3F4" w:val="clear"/>
                </w:tcPr>
                <w:p/>
              </w:tc>
            </w:tr>
          </w:tbl>
          <w:p/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Store 45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tbl>
            <w:tblPr>
              <w:tblW w:type="dxa" w:w="672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3577"/>
              <w:gridCol w:w="3143"/>
            </w:tblGrid>
            <w:tr>
              <w:tc>
                <w:tcPr>
                  <w:tcW w:type="dxa" w:w="3577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67E22" w:val="clear"/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16.6% CV</w:t>
                  </w:r>
                </w:p>
              </w:tc>
              <w:tc>
                <w:tcPr>
                  <w:tcW w:type="dxa" w:w="314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</w:tcPr>
                <w:p/>
              </w:tc>
            </w:tr>
          </w:tbl>
          <w:p/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Store 16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tbl>
            <w:tblPr>
              <w:tblW w:type="dxa" w:w="672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3568"/>
              <w:gridCol w:w="3152"/>
            </w:tblGrid>
            <w:tr>
              <w:tc>
                <w:tcPr>
                  <w:tcW w:type="dxa" w:w="356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67E22" w:val="clear"/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16.5% CV</w:t>
                  </w:r>
                </w:p>
              </w:tc>
              <w:tc>
                <w:tcPr>
                  <w:tcW w:type="dxa" w:w="315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3F4" w:val="clear"/>
                </w:tcPr>
                <w:p/>
              </w:tc>
            </w:tr>
          </w:tbl>
          <w:p/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Store 18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tbl>
            <w:tblPr>
              <w:tblW w:type="dxa" w:w="672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3516"/>
              <w:gridCol w:w="3204"/>
            </w:tblGrid>
            <w:tr>
              <w:tc>
                <w:tcPr>
                  <w:tcW w:type="dxa" w:w="351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67E22" w:val="clear"/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16.3% CV</w:t>
                  </w:r>
                </w:p>
              </w:tc>
              <w:tc>
                <w:tcPr>
                  <w:tcW w:type="dxa" w:w="320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</w:tcPr>
                <w:p/>
              </w:tc>
            </w:tr>
          </w:tbl>
          <w:p/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Store 36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tbl>
            <w:tblPr>
              <w:tblW w:type="dxa" w:w="672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3512"/>
              <w:gridCol w:w="3208"/>
            </w:tblGrid>
            <w:tr>
              <w:tc>
                <w:tcPr>
                  <w:tcW w:type="dxa" w:w="351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67E22" w:val="clear"/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16.3% CV</w:t>
                  </w:r>
                </w:p>
              </w:tc>
              <w:tc>
                <w:tcPr>
                  <w:tcW w:type="dxa" w:w="320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3F4" w:val="clear"/>
                </w:tcPr>
                <w:p/>
              </w:tc>
            </w:tr>
          </w:tbl>
          <w:p/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Store 25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tbl>
            <w:tblPr>
              <w:tblW w:type="dxa" w:w="672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3454"/>
              <w:gridCol w:w="3266"/>
            </w:tblGrid>
            <w:tr>
              <w:tc>
                <w:tcPr>
                  <w:tcW w:type="dxa" w:w="345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67E22" w:val="clear"/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16.0% CV</w:t>
                  </w:r>
                </w:p>
              </w:tc>
              <w:tc>
                <w:tcPr>
                  <w:tcW w:type="dxa" w:w="326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</w:tcPr>
                <w:p/>
              </w:tc>
            </w:tr>
          </w:tbl>
          <w:p/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Store 10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tbl>
            <w:tblPr>
              <w:tblW w:type="dxa" w:w="672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3437"/>
              <w:gridCol w:w="3283"/>
            </w:tblGrid>
            <w:tr>
              <w:tc>
                <w:tcPr>
                  <w:tcW w:type="dxa" w:w="3437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67E22" w:val="clear"/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15.9% CV</w:t>
                  </w:r>
                </w:p>
              </w:tc>
              <w:tc>
                <w:tcPr>
                  <w:tcW w:type="dxa" w:w="328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3F4" w:val="clear"/>
                </w:tcPr>
                <w:p/>
              </w:tc>
            </w:tr>
          </w:tbl>
          <w:p/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Store 14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tbl>
            <w:tblPr>
              <w:tblW w:type="dxa" w:w="672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3393"/>
              <w:gridCol w:w="3327"/>
            </w:tblGrid>
            <w:tr>
              <w:tc>
                <w:tcPr>
                  <w:tcW w:type="dxa" w:w="339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67E22" w:val="clear"/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15.7% CV</w:t>
                  </w:r>
                </w:p>
              </w:tc>
              <w:tc>
                <w:tcPr>
                  <w:tcW w:type="dxa" w:w="3327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</w:tcPr>
                <w:p/>
              </w:tc>
            </w:tr>
          </w:tbl>
          <w:p/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Store 22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tbl>
            <w:tblPr>
              <w:tblW w:type="dxa" w:w="672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3387"/>
              <w:gridCol w:w="3333"/>
            </w:tblGrid>
            <w:tr>
              <w:tc>
                <w:tcPr>
                  <w:tcW w:type="dxa" w:w="3387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67E22" w:val="clear"/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15.7% CV</w:t>
                  </w:r>
                </w:p>
              </w:tc>
              <w:tc>
                <w:tcPr>
                  <w:tcW w:type="dxa" w:w="333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3F4" w:val="clear"/>
                </w:tcPr>
                <w:p/>
              </w:tc>
            </w:tr>
          </w:tbl>
          <w:p/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DEBD0" w:sz="2"/>
              <w:left w:val="single" w:color="FDEBD0" w:sz="2"/>
              <w:bottom w:val="single" w:color="FDEBD0" w:sz="2"/>
              <w:right w:val="single" w:color="FDEBD0" w:sz="2"/>
            </w:tcBorders>
            <w:shd w:fill="FDEBD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→  Investigate the top 5 most erratic stores. Tighten inventory replenishment cycles and introduce demand-smoothing promotions in the troughs to reduce the swings.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pBdr>
          <w:bottom w:val="single" w:color="2D6A9F" w:sz="8" w:space="1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Finding 5 of 7 — Unemployment Impact on Sales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E2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● High Priority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High unemployment areas generate 29% fewer sales — same strategy is failing</w:t>
            </w:r>
          </w:p>
        </w:tc>
      </w:tr>
    </w:tbl>
    <w:p>
      <w:pPr>
        <w:spacing w:before="0" w:after="80"/>
      </w:pPr>
    </w:p>
    <w:p>
      <w:pPr>
        <w:spacing w:before="80" w:after="80"/>
        <w:ind w:left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Unemployment is the strongest external correlator with weekly sales (r = -0.11) — more powerful than fuel price, CPI, or temperature combined. Stores in areas with unemployment above 10% average $842K/week versus $1,181K in low-unemployment areas.</w:t>
      </w:r>
    </w:p>
    <w:p>
      <w:pPr>
        <w:spacing w:before="0" w:after="120"/>
      </w:pPr>
    </w:p>
    <w:p>
      <w:pPr>
        <w:spacing w:before="160" w:after="80"/>
      </w:pPr>
      <w:r>
        <w:rPr>
          <w:rFonts w:ascii="Arial" w:cs="Arial" w:eastAsia="Arial" w:hAnsi="Arial"/>
          <w:i/>
          <w:iCs/>
          <w:color w:val="5D6D7E"/>
          <w:sz w:val="18"/>
          <w:szCs w:val="18"/>
        </w:rPr>
        <w:t xml:space="preserve">Average weekly sales by local unemployment rate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Unemployment band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weekly sales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Under 6% unemployment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tbl>
            <w:tblPr>
              <w:tblW w:type="dxa" w:w="672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4906"/>
              <w:gridCol w:w="1814"/>
            </w:tblGrid>
            <w:tr>
              <w:tc>
                <w:tcPr>
                  <w:tcW w:type="dxa" w:w="490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D6A4A" w:val="clear"/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$1,181K</w:t>
                  </w:r>
                </w:p>
              </w:tc>
              <w:tc>
                <w:tcPr>
                  <w:tcW w:type="dxa" w:w="181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</w:tcPr>
                <w:p/>
              </w:tc>
            </w:tr>
          </w:tbl>
          <w:p/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6–8% unemployment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tbl>
            <w:tblPr>
              <w:tblW w:type="dxa" w:w="672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4428"/>
              <w:gridCol w:w="2292"/>
            </w:tblGrid>
            <w:tr>
              <w:tc>
                <w:tcPr>
                  <w:tcW w:type="dxa" w:w="442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67E22" w:val="clear"/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$1,066K</w:t>
                  </w:r>
                </w:p>
              </w:tc>
              <w:tc>
                <w:tcPr>
                  <w:tcW w:type="dxa" w:w="229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3F4" w:val="clear"/>
                </w:tcPr>
                <w:p/>
              </w:tc>
            </w:tr>
          </w:tbl>
          <w:p/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8–10% unemployment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tbl>
            <w:tblPr>
              <w:tblW w:type="dxa" w:w="672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4337"/>
              <w:gridCol w:w="2383"/>
            </w:tblGrid>
            <w:tr>
              <w:tc>
                <w:tcPr>
                  <w:tcW w:type="dxa" w:w="4337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67E22" w:val="clear"/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$1,044K</w:t>
                  </w:r>
                </w:p>
              </w:tc>
              <w:tc>
                <w:tcPr>
                  <w:tcW w:type="dxa" w:w="238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</w:tcPr>
                <w:p/>
              </w:tc>
            </w:tr>
          </w:tbl>
          <w:p/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Over 10% unemployment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tbl>
            <w:tblPr>
              <w:tblW w:type="dxa" w:w="672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3498"/>
              <w:gridCol w:w="3222"/>
            </w:tblGrid>
            <w:tr>
              <w:tc>
                <w:tcPr>
                  <w:tcW w:type="dxa" w:w="349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0392B" w:val="clear"/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$842K</w:t>
                  </w:r>
                </w:p>
              </w:tc>
              <w:tc>
                <w:tcPr>
                  <w:tcW w:type="dxa" w:w="322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3F4" w:val="clear"/>
                </w:tcPr>
                <w:p/>
              </w:tc>
            </w:tr>
          </w:tbl>
          <w:p/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DEBD0" w:sz="2"/>
              <w:left w:val="single" w:color="FDEBD0" w:sz="2"/>
              <w:bottom w:val="single" w:color="FDEBD0" w:sz="2"/>
              <w:right w:val="single" w:color="FDEBD0" w:sz="2"/>
            </w:tcBorders>
            <w:shd w:fill="FDEBD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→  Segment the store portfolio by unemployment quartile. For high-unemployment locations, reposition the value/promotional mix toward everyday essentials and private label. For low-unemployment areas, test premiumisation and higher-margin categories.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pBdr>
          <w:bottom w:val="single" w:color="2D6A9F" w:sz="8" w:space="1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Finding 6 of 7 — Q4 Peak &amp; September Trough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A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6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7500A"/>
                <w:sz w:val="18"/>
                <w:szCs w:val="18"/>
              </w:rPr>
              <w:t xml:space="preserve">○ Opportunity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Week 51 earns 67% above average — but nobody accelerates the ramp</w:t>
            </w:r>
          </w:p>
        </w:tc>
      </w:tr>
    </w:tbl>
    <w:p>
      <w:pPr>
        <w:spacing w:before="0" w:after="80"/>
      </w:pPr>
    </w:p>
    <w:p>
      <w:pPr>
        <w:spacing w:before="80" w:after="80"/>
        <w:ind w:left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Week 51 is the strongest week of the year at $1,755K average — 67% above the annual mean. The Q4 build (weeks 47–51) is powerful but appears entirely organic. September (weeks 38–39) is the annual trough at $949K–951K, with no evidence of a promotional push to start the recovery earlier.</w:t>
      </w:r>
    </w:p>
    <w:p>
      <w:pPr>
        <w:spacing w:before="0" w:after="120"/>
      </w:pPr>
    </w:p>
    <w:p>
      <w:pPr>
        <w:spacing w:before="160" w:after="80"/>
      </w:pPr>
      <w:r>
        <w:rPr>
          <w:rFonts w:ascii="Arial" w:cs="Arial" w:eastAsia="Arial" w:hAnsi="Arial"/>
          <w:i/>
          <w:iCs/>
          <w:color w:val="5D6D7E"/>
          <w:sz w:val="18"/>
          <w:szCs w:val="18"/>
        </w:rPr>
        <w:t xml:space="preserve">Top 5 and bottom 5 weeks of the year by average sales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80"/>
        <w:gridCol w:w="1680"/>
        <w:gridCol w:w="4000"/>
      </w:tblGrid>
      <w:tr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W w:type="dxa" w:w="1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sales</w:t>
            </w:r>
          </w:p>
        </w:tc>
        <w:tc>
          <w:tcPr>
            <w:tcW w:type="dxa" w:w="1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vs annual avg</w:t>
            </w:r>
          </w:p>
        </w:tc>
        <w:tc>
          <w:tcPr>
            <w:tcW w:type="dxa" w:w="4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Season</w:t>
            </w:r>
          </w:p>
        </w:tc>
      </w:tr>
      <w:tr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Week 51 (late Dec)</w:t>
            </w:r>
          </w:p>
        </w:tc>
        <w:tc>
          <w:tcPr>
            <w:tcW w:type="dxa" w:w="1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$1,755K</w:t>
            </w:r>
          </w:p>
        </w:tc>
        <w:tc>
          <w:tcPr>
            <w:tcW w:type="dxa" w:w="1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+67.6%</w:t>
            </w:r>
          </w:p>
        </w:tc>
        <w:tc>
          <w:tcPr>
            <w:tcW w:type="dxa" w:w="4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Peak ★</w:t>
            </w:r>
          </w:p>
        </w:tc>
      </w:tr>
      <w:tr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Week 47 (late Nov)</w:t>
            </w:r>
          </w:p>
        </w:tc>
        <w:tc>
          <w:tcPr>
            <w:tcW w:type="dxa" w:w="1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$1,471K</w:t>
            </w:r>
          </w:p>
        </w:tc>
        <w:tc>
          <w:tcPr>
            <w:tcW w:type="dxa" w:w="1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+40.5%</w:t>
            </w:r>
          </w:p>
        </w:tc>
        <w:tc>
          <w:tcPr>
            <w:tcW w:type="dxa" w:w="4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Pre-Xmas</w:t>
            </w:r>
          </w:p>
        </w:tc>
      </w:tr>
      <w:tr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Week 50 (mid Dec)</w:t>
            </w:r>
          </w:p>
        </w:tc>
        <w:tc>
          <w:tcPr>
            <w:tcW w:type="dxa" w:w="1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$1,355K</w:t>
            </w:r>
          </w:p>
        </w:tc>
        <w:tc>
          <w:tcPr>
            <w:tcW w:type="dxa" w:w="1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+29.4%</w:t>
            </w:r>
          </w:p>
        </w:tc>
        <w:tc>
          <w:tcPr>
            <w:tcW w:type="dxa" w:w="4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Xmas build</w:t>
            </w:r>
          </w:p>
        </w:tc>
      </w:tr>
      <w:tr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Week 49 (early Dec)</w:t>
            </w:r>
          </w:p>
        </w:tc>
        <w:tc>
          <w:tcPr>
            <w:tcW w:type="dxa" w:w="1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$1,236K</w:t>
            </w:r>
          </w:p>
        </w:tc>
        <w:tc>
          <w:tcPr>
            <w:tcW w:type="dxa" w:w="1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+18.1%</w:t>
            </w:r>
          </w:p>
        </w:tc>
        <w:tc>
          <w:tcPr>
            <w:tcW w:type="dxa" w:w="4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Xmas build</w:t>
            </w:r>
          </w:p>
        </w:tc>
      </w:tr>
      <w:tr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Week 48 (late Nov)</w:t>
            </w:r>
          </w:p>
        </w:tc>
        <w:tc>
          <w:tcPr>
            <w:tcW w:type="dxa" w:w="1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$1,103K</w:t>
            </w:r>
          </w:p>
        </w:tc>
        <w:tc>
          <w:tcPr>
            <w:tcW w:type="dxa" w:w="1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+5.4%</w:t>
            </w:r>
          </w:p>
        </w:tc>
        <w:tc>
          <w:tcPr>
            <w:tcW w:type="dxa" w:w="4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Thanksgiving</w:t>
            </w:r>
          </w:p>
        </w:tc>
      </w:tr>
      <w:tr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Week 4 (late Jan)</w:t>
            </w:r>
          </w:p>
        </w:tc>
        <w:tc>
          <w:tcPr>
            <w:tcW w:type="dxa" w:w="1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$883K</w:t>
            </w:r>
          </w:p>
        </w:tc>
        <w:tc>
          <w:tcPr>
            <w:tcW w:type="dxa" w:w="1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-15.6%</w:t>
            </w:r>
          </w:p>
        </w:tc>
        <w:tc>
          <w:tcPr>
            <w:tcW w:type="dxa" w:w="4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Post-Xmas ⚠</w:t>
            </w:r>
          </w:p>
        </w:tc>
      </w:tr>
      <w:tr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Week 3 (mid Jan)</w:t>
            </w:r>
          </w:p>
        </w:tc>
        <w:tc>
          <w:tcPr>
            <w:tcW w:type="dxa" w:w="1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$919K</w:t>
            </w:r>
          </w:p>
        </w:tc>
        <w:tc>
          <w:tcPr>
            <w:tcW w:type="dxa" w:w="1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-12.2%</w:t>
            </w:r>
          </w:p>
        </w:tc>
        <w:tc>
          <w:tcPr>
            <w:tcW w:type="dxa" w:w="4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Post-Xmas ⚠</w:t>
            </w:r>
          </w:p>
        </w:tc>
      </w:tr>
      <w:tr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Week 39 (late Sep)</w:t>
            </w:r>
          </w:p>
        </w:tc>
        <w:tc>
          <w:tcPr>
            <w:tcW w:type="dxa" w:w="1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$949K</w:t>
            </w:r>
          </w:p>
        </w:tc>
        <w:tc>
          <w:tcPr>
            <w:tcW w:type="dxa" w:w="1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-9.3%</w:t>
            </w:r>
          </w:p>
        </w:tc>
        <w:tc>
          <w:tcPr>
            <w:tcW w:type="dxa" w:w="4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Pre-Q4 trough ⚠</w:t>
            </w:r>
          </w:p>
        </w:tc>
      </w:tr>
      <w:tr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Week 38 (mid Sep)</w:t>
            </w:r>
          </w:p>
        </w:tc>
        <w:tc>
          <w:tcPr>
            <w:tcW w:type="dxa" w:w="1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$951K</w:t>
            </w:r>
          </w:p>
        </w:tc>
        <w:tc>
          <w:tcPr>
            <w:tcW w:type="dxa" w:w="1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-9.1%</w:t>
            </w:r>
          </w:p>
        </w:tc>
        <w:tc>
          <w:tcPr>
            <w:tcW w:type="dxa" w:w="4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Pre-Q4 trough ⚠</w:t>
            </w:r>
          </w:p>
        </w:tc>
      </w:tr>
      <w:tr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Week 2 (early Jan)</w:t>
            </w:r>
          </w:p>
        </w:tc>
        <w:tc>
          <w:tcPr>
            <w:tcW w:type="dxa" w:w="1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$919K</w:t>
            </w:r>
          </w:p>
        </w:tc>
        <w:tc>
          <w:tcPr>
            <w:tcW w:type="dxa" w:w="1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-12.2%</w:t>
            </w:r>
          </w:p>
        </w:tc>
        <w:tc>
          <w:tcPr>
            <w:tcW w:type="dxa" w:w="4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Post-Xmas ⚠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F0E3" w:sz="2"/>
              <w:left w:val="single" w:color="D5F0E3" w:sz="2"/>
              <w:bottom w:val="single" w:color="D5F0E3" w:sz="2"/>
              <w:right w:val="single" w:color="D5F0E3" w:sz="2"/>
            </w:tcBorders>
            <w:shd w:fill="D5F0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6A4A"/>
                <w:sz w:val="18"/>
                <w:szCs w:val="18"/>
              </w:rPr>
              <w:t xml:space="preserve">→  Launch an October Build campaign to compress the September trough and accelerate the Q4 ramp by 2–3 weeks. Even a 5% uplift in weeks 40–46 across 45 stores is meaningful additional revenue ahead of peak.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pBdr>
          <w:bottom w:val="single" w:color="2D6A9F" w:sz="8" w:space="1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Finding 7 of 7 — Fleet-Wide Sales Trend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C8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○ Watch  </w:t>
            </w: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Overall fleet average is quietly declining year-on-year</w:t>
            </w:r>
          </w:p>
        </w:tc>
      </w:tr>
    </w:tbl>
    <w:p>
      <w:pPr>
        <w:spacing w:before="0" w:after="80"/>
      </w:pPr>
    </w:p>
    <w:p>
      <w:pPr>
        <w:spacing w:before="80" w:after="80"/>
        <w:ind w:left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Average weekly sales per store peaked in 2010 at $1,060K and have drifted to $1,034K by 2012 — a -2.5% decline over two years. This masks a widening divergence: top stores are growing while bottom stores contract. The fleet average is being dragged down by underperformers.</w:t>
      </w:r>
    </w:p>
    <w:p>
      <w:pPr>
        <w:spacing w:before="0" w:after="120"/>
      </w:pPr>
    </w:p>
    <w:p>
      <w:pPr>
        <w:spacing w:before="160" w:after="80"/>
      </w:pPr>
      <w:r>
        <w:rPr>
          <w:rFonts w:ascii="Arial" w:cs="Arial" w:eastAsia="Arial" w:hAnsi="Arial"/>
          <w:i/>
          <w:iCs/>
          <w:color w:val="5D6D7E"/>
          <w:sz w:val="18"/>
          <w:szCs w:val="18"/>
        </w:rPr>
        <w:t xml:space="preserve">Average weekly sales by year — fleet-wide trend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Year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weekly sales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2010 (full year)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tbl>
            <w:tblPr>
              <w:tblW w:type="dxa" w:w="672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4770"/>
              <w:gridCol w:w="1950"/>
            </w:tblGrid>
            <w:tr>
              <w:tc>
                <w:tcPr>
                  <w:tcW w:type="dxa" w:w="47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5B9BD5" w:val="clear"/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$1,060K</w:t>
                  </w:r>
                </w:p>
              </w:tc>
              <w:tc>
                <w:tcPr>
                  <w:tcW w:type="dxa" w:w="19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</w:tcPr>
                <w:p/>
              </w:tc>
            </w:tr>
          </w:tbl>
          <w:p/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2011 (full year)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tbl>
            <w:tblPr>
              <w:tblW w:type="dxa" w:w="672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4707"/>
              <w:gridCol w:w="2013"/>
            </w:tblGrid>
            <w:tr>
              <w:tc>
                <w:tcPr>
                  <w:tcW w:type="dxa" w:w="4707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67E22" w:val="clear"/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$1,046K</w:t>
                  </w:r>
                </w:p>
              </w:tc>
              <w:tc>
                <w:tcPr>
                  <w:tcW w:type="dxa" w:w="201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2F3F4" w:val="clear"/>
                </w:tcPr>
                <w:p/>
              </w:tc>
            </w:tr>
          </w:tbl>
          <w:p/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2012 (partial)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tbl>
            <w:tblPr>
              <w:tblW w:type="dxa" w:w="672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4653"/>
              <w:gridCol w:w="2067"/>
            </w:tblGrid>
            <w:tr>
              <w:tc>
                <w:tcPr>
                  <w:tcW w:type="dxa" w:w="465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0392B" w:val="clear"/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$1,034K</w:t>
                  </w:r>
                </w:p>
              </w:tc>
              <w:tc>
                <w:tcPr>
                  <w:tcW w:type="dxa" w:w="2067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</w:tcPr>
                <w:p/>
              </w:tc>
            </w:tr>
          </w:tbl>
          <w:p/>
        </w:tc>
      </w:tr>
    </w:tbl>
    <w:p>
      <w:pPr>
        <w:spacing w:before="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160"/>
        <w:gridCol w:w="3600"/>
        <w:gridCol w:w="2160"/>
      </w:tblGrid>
      <w:tr>
        <w:tc>
          <w:tcPr>
            <w:tcW w:type="dxa" w:w="144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Year</w:t>
            </w:r>
          </w:p>
        </w:tc>
        <w:tc>
          <w:tcPr>
            <w:tcW w:type="dxa" w:w="21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weekly sales</w:t>
            </w:r>
          </w:p>
        </w:tc>
        <w:tc>
          <w:tcPr>
            <w:tcW w:type="dxa" w:w="3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annual sales</w:t>
            </w:r>
          </w:p>
        </w:tc>
        <w:tc>
          <w:tcPr>
            <w:tcW w:type="dxa" w:w="21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YoY change</w:t>
            </w:r>
          </w:p>
        </w:tc>
      </w:tr>
      <w:tr>
        <w:tc>
          <w:tcPr>
            <w:tcW w:type="dxa" w:w="144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2010</w:t>
            </w:r>
          </w:p>
        </w:tc>
        <w:tc>
          <w:tcPr>
            <w:tcW w:type="dxa" w:w="21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$1,060K</w:t>
            </w:r>
          </w:p>
        </w:tc>
        <w:tc>
          <w:tcPr>
            <w:tcW w:type="dxa" w:w="3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$2.29B</w:t>
            </w:r>
          </w:p>
        </w:tc>
        <w:tc>
          <w:tcPr>
            <w:tcW w:type="dxa" w:w="21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4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2011</w:t>
            </w:r>
          </w:p>
        </w:tc>
        <w:tc>
          <w:tcPr>
            <w:tcW w:type="dxa" w:w="21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$1,046K</w:t>
            </w:r>
          </w:p>
        </w:tc>
        <w:tc>
          <w:tcPr>
            <w:tcW w:type="dxa" w:w="3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$2.45B (full year)</w:t>
            </w:r>
          </w:p>
        </w:tc>
        <w:tc>
          <w:tcPr>
            <w:tcW w:type="dxa" w:w="21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-1.3%</w:t>
            </w:r>
          </w:p>
        </w:tc>
      </w:tr>
      <w:tr>
        <w:tc>
          <w:tcPr>
            <w:tcW w:type="dxa" w:w="144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2012</w:t>
            </w:r>
          </w:p>
        </w:tc>
        <w:tc>
          <w:tcPr>
            <w:tcW w:type="dxa" w:w="21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$1,034K</w:t>
            </w:r>
          </w:p>
        </w:tc>
        <w:tc>
          <w:tcPr>
            <w:tcW w:type="dxa" w:w="3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$2.00B (partial)</w:t>
            </w:r>
          </w:p>
        </w:tc>
        <w:tc>
          <w:tcPr>
            <w:tcW w:type="dxa" w:w="21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-1.1%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DAEF" w:sz="2"/>
              <w:left w:val="single" w:color="E8DAEF" w:sz="2"/>
              <w:bottom w:val="single" w:color="E8DAEF" w:sz="2"/>
              <w:right w:val="single" w:color="E8DAEF" w:sz="2"/>
            </w:tcBorders>
            <w:shd w:fill="E8DAE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B2C8D"/>
                <w:sz w:val="18"/>
                <w:szCs w:val="18"/>
              </w:rPr>
              <w:t xml:space="preserve">→  The declining average is a lagging indicator of store-tier divergence. Prioritise the bottom-tier turnaround programme (Finding 1) as the primary lever to reverse this trend.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pBdr>
          <w:bottom w:val="single" w:color="2D6A9F" w:sz="8" w:space="1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Priority Action Plan</w:t>
      </w:r>
    </w:p>
    <w:p>
      <w:pPr>
        <w:spacing w:before="0" w:after="80"/>
      </w:pP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2000"/>
        <w:gridCol w:w="1960"/>
      </w:tblGrid>
      <w:tr>
        <w:tc>
          <w:tcPr>
            <w:tcW w:type="dxa" w:w="1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3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9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Timeline</w:t>
            </w:r>
          </w:p>
        </w:tc>
      </w:tr>
      <w:tr>
        <w:tc>
          <w:tcPr>
            <w:tcW w:type="dxa" w:w="1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— Critical</w:t>
            </w:r>
          </w:p>
        </w:tc>
        <w:tc>
          <w:tcPr>
            <w:tcW w:type="dxa" w:w="3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Operational audit: Stores 36, 14, 21, 15, 27</w:t>
            </w:r>
          </w:p>
        </w:tc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Regional Ops</w:t>
            </w:r>
          </w:p>
        </w:tc>
        <w:tc>
          <w:tcPr>
            <w:tcW w:type="dxa" w:w="19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Immediate</w:t>
            </w:r>
          </w:p>
        </w:tc>
      </w:tr>
      <w:tr>
        <w:tc>
          <w:tcPr>
            <w:tcW w:type="dxa" w:w="1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 — Critical</w:t>
            </w:r>
          </w:p>
        </w:tc>
        <w:tc>
          <w:tcPr>
            <w:tcW w:type="dxa" w:w="3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January recovery programme — launch Dec 26</w:t>
            </w:r>
          </w:p>
        </w:tc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Marketing</w:t>
            </w:r>
          </w:p>
        </w:tc>
        <w:tc>
          <w:tcPr>
            <w:tcW w:type="dxa" w:w="19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60 days</w:t>
            </w:r>
          </w:p>
        </w:tc>
      </w:tr>
      <w:tr>
        <w:tc>
          <w:tcPr>
            <w:tcW w:type="dxa" w:w="1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 — High</w:t>
            </w:r>
          </w:p>
        </w:tc>
        <w:tc>
          <w:tcPr>
            <w:tcW w:type="dxa" w:w="3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Holiday execution audit for 5 negative-lift stores</w:t>
            </w:r>
          </w:p>
        </w:tc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Store Ops</w:t>
            </w:r>
          </w:p>
        </w:tc>
        <w:tc>
          <w:tcPr>
            <w:tcW w:type="dxa" w:w="19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30 days</w:t>
            </w:r>
          </w:p>
        </w:tc>
      </w:tr>
      <w:tr>
        <w:tc>
          <w:tcPr>
            <w:tcW w:type="dxa" w:w="1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 — High</w:t>
            </w:r>
          </w:p>
        </w:tc>
        <w:tc>
          <w:tcPr>
            <w:tcW w:type="dxa" w:w="3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Volatility reduction: demand-smoothing for top 5 erratic stores</w:t>
            </w:r>
          </w:p>
        </w:tc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Merchandising</w:t>
            </w:r>
          </w:p>
        </w:tc>
        <w:tc>
          <w:tcPr>
            <w:tcW w:type="dxa" w:w="19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45 days</w:t>
            </w:r>
          </w:p>
        </w:tc>
      </w:tr>
      <w:tr>
        <w:tc>
          <w:tcPr>
            <w:tcW w:type="dxa" w:w="1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 — High</w:t>
            </w:r>
          </w:p>
        </w:tc>
        <w:tc>
          <w:tcPr>
            <w:tcW w:type="dxa" w:w="3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Unemployment segmentation: value vs premium store strategy</w:t>
            </w:r>
          </w:p>
        </w:tc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Commercial</w:t>
            </w:r>
          </w:p>
        </w:tc>
        <w:tc>
          <w:tcPr>
            <w:tcW w:type="dxa" w:w="19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90 days</w:t>
            </w:r>
          </w:p>
        </w:tc>
      </w:tr>
      <w:tr>
        <w:tc>
          <w:tcPr>
            <w:tcW w:type="dxa" w:w="1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 — Opp</w:t>
            </w:r>
          </w:p>
        </w:tc>
        <w:tc>
          <w:tcPr>
            <w:tcW w:type="dxa" w:w="3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October Build campaign to accelerate Q4 ramp</w:t>
            </w:r>
          </w:p>
        </w:tc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Marketing</w:t>
            </w:r>
          </w:p>
        </w:tc>
        <w:tc>
          <w:tcPr>
            <w:tcW w:type="dxa" w:w="19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Next Q3</w:t>
            </w:r>
          </w:p>
        </w:tc>
      </w:tr>
      <w:tr>
        <w:tc>
          <w:tcPr>
            <w:tcW w:type="dxa" w:w="1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 — Watch</w:t>
            </w:r>
          </w:p>
        </w:tc>
        <w:tc>
          <w:tcPr>
            <w:tcW w:type="dxa" w:w="3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Monitor fleet-wide trend; track tier divergence quarterly</w:t>
            </w:r>
          </w:p>
        </w:tc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Analytics</w:t>
            </w:r>
          </w:p>
        </w:tc>
        <w:tc>
          <w:tcPr>
            <w:tcW w:type="dxa" w:w="19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Ongoing</w:t>
            </w:r>
          </w:p>
        </w:tc>
      </w:tr>
    </w:tbl>
    <w:p>
      <w:pPr>
        <w:spacing w:before="0" w:after="2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200"/>
              <w:left w:type="dxa" w:w="320"/>
              <w:bottom w:type="dxa" w:w="200"/>
              <w:right w:type="dxa" w:w="3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8C8E8"/>
                <w:sz w:val="18"/>
                <w:szCs w:val="18"/>
              </w:rPr>
              <w:t xml:space="preserve">Analysis based on 6,435 weekly store records across 45 Walmart locations, February 2010 – October 2012.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090B0"/>
                <w:sz w:val="18"/>
                <w:szCs w:val="18"/>
              </w:rPr>
              <w:t xml:space="preserve">Prepared using raw transactional data. All figures represent weekly averages unless stated.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5D6D7E"/>
        <w:sz w:val="18"/>
        <w:szCs w:val="18"/>
      </w:rPr>
      <w:t xml:space="preserve">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none" w:color="FFFFFF" w:sz="0"/>
        <w:left w:val="none" w:color="FFFFFF" w:sz="0"/>
        <w:bottom w:val="single" w:color="2D6A9F" w:sz="8"/>
        <w:right w:val="none" w:color="FFFFFF" w:sz="0"/>
        <w:insideH w:val="single" w:color="auto" w:sz="4"/>
        <w:insideV w:val="single" w:color="auto" w:sz="4"/>
      </w:tblBorders>
    </w:tblPr>
    <w:tblGrid>
      <w:gridCol w:w="7000"/>
      <w:gridCol w:w="3080"/>
    </w:tblGrid>
    <w:tr>
      <w:tc>
        <w:tcPr>
          <w:tcW w:type="dxa" w:w="7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b/>
              <w:bCs/>
              <w:color w:val="1E3A5F"/>
              <w:sz w:val="20"/>
              <w:szCs w:val="20"/>
            </w:rPr>
            <w:t xml:space="preserve">Walmart Store Performance Analysis</w:t>
          </w:r>
        </w:p>
      </w:tc>
      <w:tc>
        <w:tcPr>
          <w:tcW w:type="dxa" w:w="30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5D6D7E"/>
              <w:sz w:val="18"/>
              <w:szCs w:val="18"/>
            </w:rPr>
            <w:t xml:space="preserve">Confidential  |  March 2026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2026-03-29T04:11:35.629Z</dcterms:created>
  <dcterms:modified xsi:type="dcterms:W3CDTF">2026-03-29T04:11:35.630Z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