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C6B" w:rsidRDefault="009757CE">
      <w:r w:rsidRPr="006440AF">
        <w:t>Η ελεύθερη κυκλοφορία των εμπορευμάτων αποτελεί μία από τις βασικές αρχές της Συνθήκης Λειτουργίας της Ε.Ε. (άρθρο 28 ΣΠΕΕ). Στόχος είναι να δημιουργηθεί μια κοινή αγορά όπου θα ισχύει κοινή πολιτική με απώτερο σκοπό να επιτευχθεί αρμονική οικονομική ανάπτυξη, κοινωνική προστασία και ικανοποιητική ισότητα μεταξύ των κρατών-μελών. (Παπαδοπούλου σελ.108)</w:t>
      </w:r>
      <w:r w:rsidR="00244C9F" w:rsidRPr="006440AF">
        <w:t xml:space="preserve">. Για να επιτευχθεί το παραπάνω απαιτείται απαγόρευση των  φορολογικών επιβαρύνσεων (φορολογική ουδετερότητα μεταξύ εγχώριων και εισαγόμενων προϊόντων), εξάλειψη τελωνειακών δεσμών και απαγόρευση ποσοτικών περιορισμών (Αργυρός Γεώργιος, σελ.40). Στα άρθρα 3 και 4 της </w:t>
      </w:r>
      <w:proofErr w:type="spellStart"/>
      <w:r w:rsidR="00244C9F" w:rsidRPr="006440AF">
        <w:t>ΣυνθΕΚ</w:t>
      </w:r>
      <w:proofErr w:type="spellEnd"/>
      <w:r w:rsidR="00244C9F" w:rsidRPr="006440AF">
        <w:t xml:space="preserve"> αναφέρεται: η απαγόρευση δασμών και ποσοτικών περιορισμών που αφορούν στην εισαγωγή και εξαγωγή εμπορευμάτων </w:t>
      </w:r>
      <w:r w:rsidR="00C80F3A" w:rsidRPr="006440AF">
        <w:t>ανάμεσα στα Κράτη-Μέλη, η ανάγκη να ισχύει κοινή εμπορική πολιτική, η ύπαρξη εσωτερικής αγοράς  απαλλαγμένης από οποιονδήποτε εμπόδιο σχετικά με την ελεύθερη κυκλοφορία εμπορευμάτων, μέτρα για την είσοδο και κυκλοφορία προσώπων. (Παπαδοπούλου, σελ. 108)</w:t>
      </w:r>
      <w:r w:rsidR="006440AF">
        <w:t xml:space="preserve">. Κατά τα άρθρα 28 και 29 της ΣΠΕΕ (πρώην άρθρα 12 και 24 ΣΕΚ) προβλέπεται η ελεύθερη κυκλοφορία των εμπορευμάτων μεταξύ κρατών – μελών, που εξαλείφονται οι τελωνειακοί δεσμοί, καθώς και όλες οι φορολογικές επιβαρύνσεις. Έτσι, υιοθετήθηκε κοινό τελωνειακό δασμολόγιο σε όλα τα κράτη – μέλη, απαλλαγμένο από τελωνειακούς δασμούς και ποσοτικούς περιορισμούς. </w:t>
      </w:r>
      <w:r w:rsidR="006440AF" w:rsidRPr="006440AF">
        <w:rPr>
          <w:color w:val="FF0000"/>
        </w:rPr>
        <w:t xml:space="preserve">Από τα παραπάνω συμπεραίνουμε ότι </w:t>
      </w:r>
      <w:r w:rsidR="00D12020">
        <w:rPr>
          <w:color w:val="FF0000"/>
        </w:rPr>
        <w:t xml:space="preserve">η τοποθέτηση της ελληνικής κυβέρνησης και τα μέτρα που επέβαλε </w:t>
      </w:r>
      <w:r w:rsidR="006440AF" w:rsidRPr="006440AF">
        <w:rPr>
          <w:color w:val="FF0000"/>
        </w:rPr>
        <w:t>στην παρούσα περίπτωσ</w:t>
      </w:r>
      <w:r w:rsidR="00D12020">
        <w:rPr>
          <w:color w:val="FF0000"/>
        </w:rPr>
        <w:t xml:space="preserve">η, </w:t>
      </w:r>
      <w:r w:rsidR="006440AF" w:rsidRPr="006440AF">
        <w:rPr>
          <w:color w:val="FF0000"/>
        </w:rPr>
        <w:t xml:space="preserve">δεν συνάδουν με τους </w:t>
      </w:r>
      <w:proofErr w:type="spellStart"/>
      <w:r w:rsidR="006440AF" w:rsidRPr="006440AF">
        <w:rPr>
          <w:color w:val="FF0000"/>
        </w:rPr>
        <w:t>ενωσιακούς</w:t>
      </w:r>
      <w:proofErr w:type="spellEnd"/>
      <w:r w:rsidR="006440AF" w:rsidRPr="006440AF">
        <w:rPr>
          <w:color w:val="FF0000"/>
        </w:rPr>
        <w:t xml:space="preserve"> δασμούς</w:t>
      </w:r>
      <w:r w:rsidR="006440AF">
        <w:rPr>
          <w:color w:val="FF0000"/>
        </w:rPr>
        <w:t xml:space="preserve"> και οδηγούν σε περιορισμό της ελεύθερης κυκλοφορίας των εμπορευμάτων. </w:t>
      </w:r>
      <w:r w:rsidR="006440AF">
        <w:t>Το νομοσχέδιο που υπεβλήθη από την Κυβέρνηση προβλέπει την επιβολή φόρου και ανώτατου ποσοτικού ορίου κατά την εισαγωγή προϊόντων. Δ</w:t>
      </w:r>
      <w:r w:rsidR="00D12020">
        <w:t>ιαπιστώνουμε, λοιπόν, ότι αυτό έχει ως αποτέλεσμα να έρχονται σε αντίθεση με όσα αναφέρει η ΣΠΕΕ, τα οποία οφείλουν να τηρούν τα Κράτη - Μέλη</w:t>
      </w:r>
      <w:r w:rsidR="006440AF">
        <w:t xml:space="preserve"> </w:t>
      </w:r>
      <w:r w:rsidR="00D12020">
        <w:t xml:space="preserve">τόσο για τα εγχώρια όσο και για τα εισαγόμενα προϊόντα. Παραβιάζουν τους </w:t>
      </w:r>
      <w:proofErr w:type="spellStart"/>
      <w:r w:rsidR="00D12020">
        <w:t>ενωσιακούς</w:t>
      </w:r>
      <w:proofErr w:type="spellEnd"/>
      <w:r w:rsidR="00D12020">
        <w:t xml:space="preserve"> κανόνες και δεν ευνοούν την εύρυθμη λειτουργία της εσωτερικής αγοράς, η οποία δεν έχει σύνορα και εξασφαλίζει την ελεύθερη κυκλοφορία των εμπορευμάτων. (Παπαδοπούλου, σελ.109)</w:t>
      </w:r>
    </w:p>
    <w:p w:rsidR="005967C9" w:rsidRDefault="00BA33C5">
      <w:r>
        <w:t xml:space="preserve">Αρμόδιο </w:t>
      </w:r>
      <w:proofErr w:type="spellStart"/>
      <w:r>
        <w:t>ενωσιακό</w:t>
      </w:r>
      <w:proofErr w:type="spellEnd"/>
      <w:r>
        <w:t xml:space="preserve"> όργανο στο οποίο μπορεί να στραφεί ο σύνδεσμος εισαγόμενων προϊόντων είναι η Ευρωπαϊκή Επιτροπή. Ο ρόλος της είναι να διαφυλάσσει το γενικό συμφέρον της Ε.Ε. Υποβάλει προτάσεις στο κοινοβούλιο και το  που αφορούν σε νομοθετικό περιεχόμενο με στόχο να προστατεύσει τόσο τα συμφέροντα της Ε.Ε. όσο και των πολιτών της. Επιπλέον, επιβάλλει την εφαρμογή του δικαίου της Ε.Ε., διασφαλίζοντας ότι εφαρμόζεται σωστά σε όλα τα κράτη-μέλη. </w:t>
      </w:r>
      <w:r w:rsidR="005967C9" w:rsidRPr="005967C9">
        <w:t>(</w:t>
      </w:r>
      <w:hyperlink r:id="rId4" w:history="1">
        <w:r w:rsidR="002703AB" w:rsidRPr="00E16AC5">
          <w:rPr>
            <w:rStyle w:val="-"/>
            <w:lang w:val="en-US"/>
          </w:rPr>
          <w:t>https</w:t>
        </w:r>
        <w:r w:rsidR="002703AB" w:rsidRPr="005967C9">
          <w:rPr>
            <w:rStyle w:val="-"/>
          </w:rPr>
          <w:t>://</w:t>
        </w:r>
        <w:proofErr w:type="spellStart"/>
        <w:r w:rsidR="002703AB" w:rsidRPr="00E16AC5">
          <w:rPr>
            <w:rStyle w:val="-"/>
            <w:lang w:val="en-US"/>
          </w:rPr>
          <w:t>europa</w:t>
        </w:r>
        <w:proofErr w:type="spellEnd"/>
        <w:r w:rsidR="002703AB" w:rsidRPr="005967C9">
          <w:rPr>
            <w:rStyle w:val="-"/>
          </w:rPr>
          <w:t>.</w:t>
        </w:r>
        <w:proofErr w:type="spellStart"/>
        <w:r w:rsidR="002703AB" w:rsidRPr="00E16AC5">
          <w:rPr>
            <w:rStyle w:val="-"/>
            <w:lang w:val="en-US"/>
          </w:rPr>
          <w:t>eu</w:t>
        </w:r>
        <w:proofErr w:type="spellEnd"/>
        <w:r w:rsidR="002703AB" w:rsidRPr="005967C9">
          <w:rPr>
            <w:rStyle w:val="-"/>
          </w:rPr>
          <w:t>/</w:t>
        </w:r>
        <w:proofErr w:type="spellStart"/>
        <w:r w:rsidR="002703AB" w:rsidRPr="00E16AC5">
          <w:rPr>
            <w:rStyle w:val="-"/>
            <w:lang w:val="en-US"/>
          </w:rPr>
          <w:t>european</w:t>
        </w:r>
        <w:proofErr w:type="spellEnd"/>
        <w:r w:rsidR="002703AB" w:rsidRPr="005967C9">
          <w:rPr>
            <w:rStyle w:val="-"/>
          </w:rPr>
          <w:t>-</w:t>
        </w:r>
        <w:r w:rsidR="002703AB" w:rsidRPr="00E16AC5">
          <w:rPr>
            <w:rStyle w:val="-"/>
            <w:lang w:val="en-US"/>
          </w:rPr>
          <w:t>union</w:t>
        </w:r>
        <w:r w:rsidR="002703AB" w:rsidRPr="005967C9">
          <w:rPr>
            <w:rStyle w:val="-"/>
          </w:rPr>
          <w:t>/</w:t>
        </w:r>
        <w:r w:rsidR="002703AB" w:rsidRPr="00E16AC5">
          <w:rPr>
            <w:rStyle w:val="-"/>
            <w:lang w:val="en-US"/>
          </w:rPr>
          <w:t>about</w:t>
        </w:r>
        <w:r w:rsidR="002703AB" w:rsidRPr="005967C9">
          <w:rPr>
            <w:rStyle w:val="-"/>
          </w:rPr>
          <w:t>-</w:t>
        </w:r>
        <w:proofErr w:type="spellStart"/>
        <w:r w:rsidR="002703AB" w:rsidRPr="00E16AC5">
          <w:rPr>
            <w:rStyle w:val="-"/>
            <w:lang w:val="en-US"/>
          </w:rPr>
          <w:t>eu</w:t>
        </w:r>
        <w:proofErr w:type="spellEnd"/>
        <w:r w:rsidR="002703AB" w:rsidRPr="005967C9">
          <w:rPr>
            <w:rStyle w:val="-"/>
          </w:rPr>
          <w:t>/</w:t>
        </w:r>
        <w:r w:rsidR="002703AB" w:rsidRPr="00E16AC5">
          <w:rPr>
            <w:rStyle w:val="-"/>
            <w:lang w:val="en-US"/>
          </w:rPr>
          <w:t>institutions</w:t>
        </w:r>
        <w:r w:rsidR="002703AB" w:rsidRPr="005967C9">
          <w:rPr>
            <w:rStyle w:val="-"/>
          </w:rPr>
          <w:t>-</w:t>
        </w:r>
        <w:r w:rsidR="002703AB" w:rsidRPr="00E16AC5">
          <w:rPr>
            <w:rStyle w:val="-"/>
            <w:lang w:val="en-US"/>
          </w:rPr>
          <w:t>bodies</w:t>
        </w:r>
        <w:r w:rsidR="002703AB" w:rsidRPr="005967C9">
          <w:rPr>
            <w:rStyle w:val="-"/>
          </w:rPr>
          <w:t>/</w:t>
        </w:r>
        <w:proofErr w:type="spellStart"/>
        <w:r w:rsidR="002703AB" w:rsidRPr="00E16AC5">
          <w:rPr>
            <w:rStyle w:val="-"/>
            <w:lang w:val="en-US"/>
          </w:rPr>
          <w:t>european</w:t>
        </w:r>
        <w:proofErr w:type="spellEnd"/>
        <w:r w:rsidR="002703AB" w:rsidRPr="005967C9">
          <w:rPr>
            <w:rStyle w:val="-"/>
          </w:rPr>
          <w:t>-</w:t>
        </w:r>
        <w:r w:rsidR="002703AB" w:rsidRPr="00E16AC5">
          <w:rPr>
            <w:rStyle w:val="-"/>
            <w:lang w:val="en-US"/>
          </w:rPr>
          <w:t>commission</w:t>
        </w:r>
        <w:r w:rsidR="002703AB" w:rsidRPr="005967C9">
          <w:rPr>
            <w:rStyle w:val="-"/>
          </w:rPr>
          <w:t>_</w:t>
        </w:r>
        <w:r w:rsidR="002703AB" w:rsidRPr="00E16AC5">
          <w:rPr>
            <w:rStyle w:val="-"/>
            <w:lang w:val="en-US"/>
          </w:rPr>
          <w:t>en</w:t>
        </w:r>
      </w:hyperlink>
      <w:r w:rsidR="005967C9" w:rsidRPr="005967C9">
        <w:t xml:space="preserve">) </w:t>
      </w:r>
      <w:r w:rsidR="005967C9">
        <w:t>Η Ευρωπαϊκή Επιτροπή</w:t>
      </w:r>
      <w:r w:rsidR="005967C9" w:rsidRPr="005967C9">
        <w:t xml:space="preserve"> </w:t>
      </w:r>
      <w:r w:rsidR="005967C9">
        <w:t>μπορεί να κινηθεί δικαστικώς προς το Κράτος – Μέλος που παραβιάζει το δίκαιο της Ένωσης και να παραπέμψει την υπόθεση στο Δικαστήριο της Ευρωπαϊκής Ένωσης το οποίο επιβάλει οικονομικές κυρώσεις, όταν το απαιτεί η περίσταση.</w:t>
      </w:r>
      <w:r w:rsidR="005967C9" w:rsidRPr="005967C9">
        <w:t xml:space="preserve"> (</w:t>
      </w:r>
      <w:hyperlink r:id="rId5" w:history="1">
        <w:r w:rsidR="005967C9" w:rsidRPr="00E16AC5">
          <w:rPr>
            <w:rStyle w:val="-"/>
          </w:rPr>
          <w:t>https://ec.europa.eu/info/law/law-making-process/applying-eu-law/infringement-procedure_en</w:t>
        </w:r>
      </w:hyperlink>
      <w:r w:rsidR="005967C9" w:rsidRPr="005967C9">
        <w:t>)</w:t>
      </w:r>
    </w:p>
    <w:p w:rsidR="005967C9" w:rsidRPr="005967C9" w:rsidRDefault="005967C9">
      <w:pPr>
        <w:rPr>
          <w:color w:val="FF0000"/>
        </w:rPr>
      </w:pPr>
      <w:r w:rsidRPr="005967C9">
        <w:rPr>
          <w:color w:val="FF0000"/>
        </w:rPr>
        <w:t>Συνεπώς ………….. (άρθρα 258-260 ΣΠΕΕ) από εργασία</w:t>
      </w:r>
    </w:p>
    <w:p w:rsidR="005967C9" w:rsidRPr="005967C9" w:rsidRDefault="005967C9">
      <w:pPr>
        <w:rPr>
          <w:color w:val="FF0000"/>
        </w:rPr>
      </w:pPr>
      <w:r w:rsidRPr="005967C9">
        <w:rPr>
          <w:color w:val="FF0000"/>
        </w:rPr>
        <w:t>Έπειτα η διαδικασία…………….</w:t>
      </w:r>
    </w:p>
    <w:p w:rsidR="002703AB" w:rsidRPr="005967C9" w:rsidRDefault="002703AB"/>
    <w:p w:rsidR="002703AB" w:rsidRPr="005967C9" w:rsidRDefault="002703AB"/>
    <w:sectPr w:rsidR="002703AB" w:rsidRPr="005967C9" w:rsidSect="008C4C6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757CE"/>
    <w:rsid w:val="00244C9F"/>
    <w:rsid w:val="002703AB"/>
    <w:rsid w:val="005967C9"/>
    <w:rsid w:val="006440AF"/>
    <w:rsid w:val="008C4C6B"/>
    <w:rsid w:val="009757CE"/>
    <w:rsid w:val="00BA33C5"/>
    <w:rsid w:val="00C80F3A"/>
    <w:rsid w:val="00D12020"/>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4C6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unhideWhenUsed/>
    <w:rsid w:val="002703AB"/>
    <w:rPr>
      <w:color w:val="0000FF" w:themeColor="hyperlink"/>
      <w:u w:val="single"/>
    </w:rPr>
  </w:style>
  <w:style w:type="character" w:styleId="-0">
    <w:name w:val="FollowedHyperlink"/>
    <w:basedOn w:val="a0"/>
    <w:uiPriority w:val="99"/>
    <w:semiHidden/>
    <w:unhideWhenUsed/>
    <w:rsid w:val="002703A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c.europa.eu/info/law/law-making-process/applying-eu-law/infringement-procedure_en" TargetMode="External"/><Relationship Id="rId4" Type="http://schemas.openxmlformats.org/officeDocument/2006/relationships/hyperlink" Target="https://europa.eu/european-union/about-eu/institutions-bodies/european-commission_en"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510</Words>
  <Characters>2760</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9</cp:revision>
  <dcterms:created xsi:type="dcterms:W3CDTF">2018-11-26T11:08:00Z</dcterms:created>
  <dcterms:modified xsi:type="dcterms:W3CDTF">2018-11-26T11:47:00Z</dcterms:modified>
</cp:coreProperties>
</file>