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Impact of H.264 Video Compression on Deep Learning-Based Playing Card Recognition in AI Casino Table Monitoring</w:t>
      </w:r>
    </w:p>
    <w:p>
      <w:pPr>
        <w:spacing w:after="40" w:before="0"/>
        <w:jc w:val="center"/>
      </w:pPr>
      <w:r>
        <w:rPr>
          <w:rFonts w:ascii="Times New Roman" w:cs="Times New Roman" w:eastAsia="Times New Roman" w:hAnsi="Times New Roman"/>
          <w:b/>
          <w:bCs/>
          <w:sz w:val="22"/>
          <w:szCs w:val="22"/>
        </w:rPr>
        <w:t xml:space="preserve">Bappy MD Siful Islam</w:t>
      </w:r>
    </w:p>
    <w:p>
      <w:pPr>
        <w:spacing w:after="40" w:before="0"/>
        <w:jc w:val="center"/>
      </w:pPr>
      <w:r>
        <w:rPr>
          <w:rFonts w:ascii="Times New Roman" w:cs="Times New Roman" w:eastAsia="Times New Roman" w:hAnsi="Times New Roman"/>
          <w:i/>
          <w:iCs/>
          <w:sz w:val="20"/>
          <w:szCs w:val="20"/>
        </w:rPr>
        <w:t xml:space="preserve">Department of Electrical and Information Engineering</w:t>
      </w:r>
    </w:p>
    <w:p>
      <w:pPr>
        <w:spacing w:after="40" w:before="0"/>
        <w:jc w:val="center"/>
      </w:pPr>
      <w:r>
        <w:rPr>
          <w:rFonts w:ascii="Times New Roman" w:cs="Times New Roman" w:eastAsia="Times New Roman" w:hAnsi="Times New Roman"/>
          <w:i/>
          <w:iCs/>
          <w:sz w:val="20"/>
          <w:szCs w:val="20"/>
        </w:rPr>
        <w:t xml:space="preserve">Seoul National University of Science and Technology (Seoultech), Seoul, South Korea</w:t>
      </w:r>
    </w:p>
    <w:p>
      <w:pPr>
        <w:spacing w:after="240" w:before="0"/>
        <w:jc w:val="center"/>
      </w:pPr>
      <w:r>
        <w:rPr>
          <w:rFonts w:ascii="Times New Roman" w:cs="Times New Roman" w:eastAsia="Times New Roman" w:hAnsi="Times New Roman"/>
          <w:i/>
          <w:iCs/>
          <w:sz w:val="20"/>
          <w:szCs w:val="20"/>
        </w:rPr>
        <w:t xml:space="preserve">Email: bappy@seoultech.ac.kr</w:t>
      </w:r>
    </w:p>
    <w:p>
      <w:pPr>
        <w:pBdr>
          <w:bottom w:val="single" w:color="000000" w:sz="6" w:space="1"/>
        </w:pBdr>
        <w:spacing w:after="0" w:before="0"/>
      </w:pPr>
      <w:r>
        <w:rPr>
          <w:rFonts w:ascii="Times New Roman" w:cs="Times New Roman" w:eastAsia="Times New Roman" w:hAnsi="Times New Roman"/>
          <w:sz w:val="20"/>
          <w:szCs w:val="20"/>
        </w:rPr>
        <w:t xml:space="preserve"/>
      </w:r>
    </w:p>
    <w:p>
      <w:pPr>
        <w:spacing w:after="60" w:before="0"/>
      </w:pPr>
      <w:r>
        <w:rPr>
          <w:rFonts w:ascii="Times New Roman" w:cs="Times New Roman" w:eastAsia="Times New Roman" w:hAnsi="Times New Roman"/>
          <w:sz w:val="20"/>
          <w:szCs w:val="20"/>
        </w:rPr>
        <w:t xml:space="preserve"/>
      </w:r>
    </w:p>
    <w:p>
      <w:pPr>
        <w:sectPr>
          <w:type w:val="continuous"/>
          <w:pgSz w:w="11906" w:h="16838" w:orient="portrait"/>
          <w:pgMar w:top="1134" w:right="1134" w:bottom="1134" w:left="1134" w:header="708" w:footer="708" w:gutter="0"/>
          <w:pgNumType/>
          <w:cols w:num="1"/>
          <w:docGrid w:linePitch="360"/>
        </w:sectPr>
      </w:pPr>
    </w:p>
    <w:p>
      <w:pPr>
        <w:spacing w:after="60" w:before="60" w:line="260"/>
        <w:jc w:val="both"/>
      </w:pPr>
      <w:r>
        <w:rPr>
          <w:rFonts w:ascii="Times New Roman" w:cs="Times New Roman" w:eastAsia="Times New Roman" w:hAnsi="Times New Roman"/>
          <w:b/>
          <w:bCs/>
          <w:i/>
          <w:iCs/>
          <w:sz w:val="20"/>
          <w:szCs w:val="20"/>
        </w:rPr>
        <w:t xml:space="preserve">Abstract — </w:t>
      </w:r>
      <w:r>
        <w:rPr>
          <w:rFonts w:ascii="Times New Roman" w:cs="Times New Roman" w:eastAsia="Times New Roman" w:hAnsi="Times New Roman"/>
          <w:sz w:val="20"/>
          <w:szCs w:val="20"/>
        </w:rPr>
        <w:t xml:space="preserve">This paper investigates the robustness of a deep learning-based playing card classification system against H.264 video compression in the context of an automated AI baccarat table monitoring application. A MobileNetV1-1.25× model is trained on a card image dataset collected from a live GKL casino table and evaluated on validation images compressed across eight H.264 Constant Rate Factor (CRF) levels (0–51). Experimental results show that Top-1 accuracy remains stable at approximately 97.6–98.1% across CRF 0–42 — covering all practical IP-camera deployment scenarios — but degrades sharply at CRF 47 (92.36%, −5.74 pp) and severely at CRF 51 (76.50%, −21.60 pp). We further investigate whether retraining on compressed images restores robustness at extreme CRF levels; results for CRF-28 and CRF-38 trained models will be reported in the final paper.</w:t>
      </w:r>
    </w:p>
    <w:p>
      <w:pPr>
        <w:spacing w:after="60" w:before="0"/>
      </w:pPr>
      <w:r>
        <w:rPr>
          <w:rFonts w:ascii="Times New Roman" w:cs="Times New Roman" w:eastAsia="Times New Roman" w:hAnsi="Times New Roman"/>
          <w:sz w:val="20"/>
          <w:szCs w:val="20"/>
        </w:rPr>
        <w:t xml:space="preserve"/>
      </w:r>
    </w:p>
    <w:p>
      <w:pPr>
        <w:spacing w:after="60" w:before="60" w:line="260"/>
        <w:jc w:val="both"/>
      </w:pPr>
      <w:r>
        <w:rPr>
          <w:rFonts w:ascii="Times New Roman" w:cs="Times New Roman" w:eastAsia="Times New Roman" w:hAnsi="Times New Roman"/>
          <w:b/>
          <w:bCs/>
          <w:i/>
          <w:iCs/>
          <w:sz w:val="20"/>
          <w:szCs w:val="20"/>
        </w:rPr>
        <w:t xml:space="preserve">Keywords — </w:t>
      </w:r>
      <w:r>
        <w:rPr>
          <w:rFonts w:ascii="Times New Roman" w:cs="Times New Roman" w:eastAsia="Times New Roman" w:hAnsi="Times New Roman"/>
          <w:i/>
          <w:iCs/>
          <w:sz w:val="20"/>
          <w:szCs w:val="20"/>
        </w:rPr>
        <w:t xml:space="preserve">H.264 compression, MobileNet, card recognition, casino monitoring, baccarat, deep learning, CCTV surveillance</w:t>
      </w:r>
    </w:p>
    <w:p>
      <w:pPr>
        <w:spacing w:after="100" w:before="0"/>
      </w:pPr>
      <w:r>
        <w:rPr>
          <w:rFonts w:ascii="Times New Roman" w:cs="Times New Roman" w:eastAsia="Times New Roman" w:hAnsi="Times New Roman"/>
          <w:sz w:val="20"/>
          <w:szCs w:val="20"/>
        </w:rPr>
        <w:t xml:space="preserve"/>
      </w:r>
    </w:p>
    <w:p>
      <w:pPr>
        <w:spacing w:after="60" w:before="140"/>
      </w:pPr>
      <w:r>
        <w:rPr>
          <w:rFonts w:ascii="Times New Roman" w:cs="Times New Roman" w:eastAsia="Times New Roman" w:hAnsi="Times New Roman"/>
          <w:b/>
          <w:bCs/>
          <w:sz w:val="20"/>
          <w:szCs w:val="20"/>
        </w:rPr>
        <w:t xml:space="preserve">I. INTRODUCTION</w:t>
      </w:r>
    </w:p>
    <w:p>
      <w:pPr>
        <w:spacing w:after="60" w:before="60" w:line="260"/>
        <w:jc w:val="both"/>
      </w:pPr>
      <w:r>
        <w:rPr>
          <w:rFonts w:ascii="Times New Roman" w:cs="Times New Roman" w:eastAsia="Times New Roman" w:hAnsi="Times New Roman"/>
          <w:sz w:val="20"/>
          <w:szCs w:val="20"/>
        </w:rPr>
        <w:t xml:space="preserve">Automated casino table game monitoring is increasingly important for fraud prevention, game analytics, and dealer assistance. A complete end-to-end monitoring pipeline must process continuous video from ceiling-mounted IP cameras that apply H.264 (AVC) compression in real time — the dominant codec in modern surveillance installations. While deep learning classifiers for card recognition have been studied under clean-image conditions, their robustness under varying levels of codec-induced compression artifacts remains insufficiently explored.</w:t>
      </w:r>
    </w:p>
    <w:p>
      <w:pPr>
        <w:spacing w:after="60" w:before="0"/>
      </w:pPr>
      <w:r>
        <w:rPr>
          <w:rFonts w:ascii="Times New Roman" w:cs="Times New Roman" w:eastAsia="Times New Roman" w:hAnsi="Times New Roman"/>
          <w:sz w:val="20"/>
          <w:szCs w:val="20"/>
        </w:rPr>
        <w:t xml:space="preserve"/>
      </w:r>
    </w:p>
    <w:p>
      <w:pPr>
        <w:spacing w:after="60" w:before="60" w:line="260"/>
        <w:jc w:val="both"/>
      </w:pPr>
      <w:r>
        <w:rPr>
          <w:rFonts w:ascii="Times New Roman" w:cs="Times New Roman" w:eastAsia="Times New Roman" w:hAnsi="Times New Roman"/>
          <w:sz w:val="20"/>
          <w:szCs w:val="20"/>
        </w:rPr>
        <w:t xml:space="preserve">This work presents the AITableGameMonitor system, which integrates YOLOv11-based detection, SORT multi-object tracking, and MobileNet card classification into a real-time baccarat monitoring pipeline. We conduct a systematic study of how eight H.264 CRF levels affect card recognition accuracy and examine whether training on compressed images can compensate for quality degradation at extreme compression settings. Our key contribution is the first systematic evaluation of H.264 CRF-level impact on a lightweight MobileNet card classifier within the context of live casino CCTV deployment.</w:t>
      </w:r>
    </w:p>
    <w:p>
      <w:pPr>
        <w:spacing w:after="60" w:before="140"/>
      </w:pPr>
      <w:r>
        <w:rPr>
          <w:rFonts w:ascii="Times New Roman" w:cs="Times New Roman" w:eastAsia="Times New Roman" w:hAnsi="Times New Roman"/>
          <w:b/>
          <w:bCs/>
          <w:sz w:val="20"/>
          <w:szCs w:val="20"/>
        </w:rPr>
        <w:t xml:space="preserve">II. RELATED WORK</w:t>
      </w:r>
    </w:p>
    <w:p>
      <w:pPr>
        <w:spacing w:after="60" w:before="60" w:line="260"/>
        <w:jc w:val="both"/>
      </w:pPr>
      <w:r>
        <w:rPr>
          <w:rFonts w:ascii="Times New Roman" w:cs="Times New Roman" w:eastAsia="Times New Roman" w:hAnsi="Times New Roman"/>
          <w:sz w:val="20"/>
          <w:szCs w:val="20"/>
        </w:rPr>
        <w:t xml:space="preserve">Benbarrad et al. [1] demonstrated that image compression significantly degrades CNN classification performance, directly motivating the investigation into H.264 video compression effects on downstream classifiers. MobileNetV1 [2], designed for real-time inference on embedded hardware via depthwise-separable convolutions, is well-suited for surveillance deployment. YOLOv11 [3] provides state-of-the-art single-stage object detection with a lightweight architecture. SORT [4] enables stable multi-object tracking across consecutive frames. Prior work on casino card recognition has focused on clean, high-resolution datasets; the degradation introduced by live CCTV compression pipelines has not previously been systematically evaluated.</w:t>
      </w:r>
    </w:p>
    <w:p>
      <w:pPr>
        <w:spacing w:after="60" w:before="140"/>
      </w:pPr>
      <w:r>
        <w:rPr>
          <w:rFonts w:ascii="Times New Roman" w:cs="Times New Roman" w:eastAsia="Times New Roman" w:hAnsi="Times New Roman"/>
          <w:b/>
          <w:bCs/>
          <w:sz w:val="20"/>
          <w:szCs w:val="20"/>
        </w:rPr>
        <w:t xml:space="preserve">III. SYSTEM ARCHITECTURE</w:t>
      </w:r>
    </w:p>
    <w:p>
      <w:pPr>
        <w:spacing w:after="60" w:before="60" w:line="260"/>
        <w:jc w:val="both"/>
      </w:pPr>
      <w:r>
        <w:rPr>
          <w:rFonts w:ascii="Times New Roman" w:cs="Times New Roman" w:eastAsia="Times New Roman" w:hAnsi="Times New Roman"/>
          <w:sz w:val="20"/>
          <w:szCs w:val="20"/>
        </w:rPr>
        <w:t xml:space="preserve">The AITableGameMonitor pipeline comprises three sequential stages. In Stage 1 (Detection), a fine-tuned YOLOv11-nano model localizes baccarat hands (Player / Banker) and individual card bounding boxes in each video frame. In Stage 2 (Tracking), SORT associates frame-to-frame detections, maintaining stable card identities through partial occlusion. In Stage 3 (Classification), each detected card crop is forwarded to a fine-tuned MobileNetV1-1.25× model for classification into 53 categories: 52 standard cards (13 ranks × 4 suits) plus one card-back class. A baccarat game logic layer reads classified cards to update Player and Banker hand totals in real time and overlays results on the output stream.</w:t>
      </w:r>
    </w:p>
    <w:p>
      <w:pPr>
        <w:spacing w:after="60" w:before="140"/>
      </w:pPr>
      <w:r>
        <w:rPr>
          <w:rFonts w:ascii="Times New Roman" w:cs="Times New Roman" w:eastAsia="Times New Roman" w:hAnsi="Times New Roman"/>
          <w:b/>
          <w:bCs/>
          <w:sz w:val="20"/>
          <w:szCs w:val="20"/>
        </w:rPr>
        <w:t xml:space="preserve">IV. CARD CLASSIFICATION MODEL</w:t>
      </w:r>
    </w:p>
    <w:p>
      <w:pPr>
        <w:spacing w:after="40" w:before="100"/>
      </w:pPr>
      <w:r>
        <w:rPr>
          <w:rFonts w:ascii="Times New Roman" w:cs="Times New Roman" w:eastAsia="Times New Roman" w:hAnsi="Times New Roman"/>
          <w:b/>
          <w:bCs/>
          <w:i/>
          <w:iCs/>
          <w:sz w:val="20"/>
          <w:szCs w:val="20"/>
        </w:rPr>
        <w:t xml:space="preserve">A. Dataset</w:t>
      </w:r>
    </w:p>
    <w:p>
      <w:pPr>
        <w:spacing w:after="60" w:before="60" w:line="260"/>
        <w:jc w:val="both"/>
      </w:pPr>
      <w:r>
        <w:rPr>
          <w:rFonts w:ascii="Times New Roman" w:cs="Times New Roman" w:eastAsia="Times New Roman" w:hAnsi="Times New Roman"/>
          <w:sz w:val="20"/>
          <w:szCs w:val="20"/>
        </w:rPr>
        <w:t xml:space="preserve">Card images were extracted from a live GKL (Grand Korea Leisure) baccarat table recording under operational casino lighting. Frames are grouped into consecutive-frame runs (one run per unique card position). To prevent temporal data leakage, the last 25% of runs per class are reserved exclusively for validation, ensuring train and validation sets reflect distinct card positions. Training images are augmented to 1,200 samples per class through rotation (±10°), brightness/contrast jitter, HSV perturbation, Gaussian blur and noise, random perspective, and crop-and-resize. The final dataset contains 63,600 training and 7,932 validation images across 53 classes.</w:t>
      </w:r>
    </w:p>
    <w:p>
      <w:pPr>
        <w:spacing w:after="60" w:before="0"/>
      </w:pPr>
      <w:r>
        <w:rPr>
          <w:rFonts w:ascii="Times New Roman" w:cs="Times New Roman" w:eastAsia="Times New Roman" w:hAnsi="Times New Roman"/>
          <w:sz w:val="20"/>
          <w:szCs w:val="20"/>
        </w:rPr>
        <w:t xml:space="preserve"/>
      </w:r>
    </w:p>
    <w:p>
      <w:pPr>
        <w:spacing w:after="40" w:before="100"/>
      </w:pPr>
      <w:r>
        <w:rPr>
          <w:rFonts w:ascii="Times New Roman" w:cs="Times New Roman" w:eastAsia="Times New Roman" w:hAnsi="Times New Roman"/>
          <w:b/>
          <w:bCs/>
          <w:i/>
          <w:iCs/>
          <w:sz w:val="20"/>
          <w:szCs w:val="20"/>
        </w:rPr>
        <w:t xml:space="preserve">B. Training</w:t>
      </w:r>
    </w:p>
    <w:p>
      <w:pPr>
        <w:spacing w:after="60" w:before="60" w:line="260"/>
        <w:jc w:val="both"/>
      </w:pPr>
      <w:r>
        <w:rPr>
          <w:rFonts w:ascii="Times New Roman" w:cs="Times New Roman" w:eastAsia="Times New Roman" w:hAnsi="Times New Roman"/>
          <w:sz w:val="20"/>
          <w:szCs w:val="20"/>
        </w:rPr>
        <w:t xml:space="preserve">The MobileNetV1-1.25× backbone (pretrained on ImageNet via timm [5]) is fine-tuned using AdamW (lr = 3×10⁻⁴, weight decay = 1×10⁻⁴) with a OneCycleLR schedule (30% linear warm-up, cosine annealing), batch size 64, dropout 0.3, and label smoothing 0.1, for 20 epochs. The best checkpoint achieves 98.10% Top-1 validation accuracy at epoch 18 (val loss = 0.166).</w:t>
      </w:r>
    </w:p>
    <w:p>
      <w:pPr>
        <w:spacing w:after="60" w:before="140"/>
      </w:pPr>
      <w:r>
        <w:rPr>
          <w:rFonts w:ascii="Times New Roman" w:cs="Times New Roman" w:eastAsia="Times New Roman" w:hAnsi="Times New Roman"/>
          <w:b/>
          <w:bCs/>
          <w:sz w:val="20"/>
          <w:szCs w:val="20"/>
        </w:rPr>
        <w:t xml:space="preserve">V. COMPRESSION METHODOLOGY</w:t>
      </w:r>
    </w:p>
    <w:p>
      <w:pPr>
        <w:spacing w:after="60" w:before="60" w:line="260"/>
        <w:jc w:val="both"/>
      </w:pPr>
      <w:r>
        <w:rPr>
          <w:rFonts w:ascii="Times New Roman" w:cs="Times New Roman" w:eastAsia="Times New Roman" w:hAnsi="Times New Roman"/>
          <w:sz w:val="20"/>
          <w:szCs w:val="20"/>
        </w:rPr>
        <w:t xml:space="preserve">H.264 compression is simulated by passing each validation image through an ffmpeg libx264 encode–decode cycle at a fixed CRF value. CRF controls quantization strength: CRF = 0 is near-lossless while CRF = 51 is maximum lossy compression. Eight CRF levels are evaluated: {0, 18, 23, 28, 35, 42, 47, 51}, spanning from broadcast quality to severely degraded surveillance-grade encoding. Three model variants are compared: (1) Clean — trained on uncompressed images (baseline); (2) CRF-28 trained; and (3) CRF-38 trained. Variants (2) and (3) are currently in training; full comparison results will be presented in the final submission.</w:t>
      </w:r>
    </w:p>
    <w:p>
      <w:pPr>
        <w:spacing w:after="60" w:before="140"/>
      </w:pPr>
      <w:r>
        <w:rPr>
          <w:rFonts w:ascii="Times New Roman" w:cs="Times New Roman" w:eastAsia="Times New Roman" w:hAnsi="Times New Roman"/>
          <w:b/>
          <w:bCs/>
          <w:sz w:val="20"/>
          <w:szCs w:val="20"/>
        </w:rPr>
        <w:t xml:space="preserve">VI. EXPERIMENTAL RESULTS</w:t>
      </w:r>
    </w:p>
    <w:p>
      <w:pPr>
        <w:spacing w:after="60" w:before="60" w:line="260"/>
        <w:jc w:val="both"/>
      </w:pPr>
      <w:r>
        <w:rPr>
          <w:rFonts w:ascii="Times New Roman" w:cs="Times New Roman" w:eastAsia="Times New Roman" w:hAnsi="Times New Roman"/>
          <w:sz w:val="20"/>
          <w:szCs w:val="20"/>
        </w:rPr>
        <w:t xml:space="preserve">Table 1 reports the Top-1 accuracy and validation loss of the clean-trained model across all eight CRF levels. The Δ Acc. column indicates percentage-point change relative to the uncompressed baseline.</w:t>
      </w:r>
    </w:p>
    <w:p>
      <w:pPr>
        <w:spacing w:after="80" w:before="0"/>
      </w:pPr>
      <w:r>
        <w:rPr>
          <w:rFonts w:ascii="Times New Roman" w:cs="Times New Roman" w:eastAsia="Times New Roman" w:hAnsi="Times New Roman"/>
          <w:sz w:val="20"/>
          <w:szCs w:val="20"/>
        </w:rPr>
        <w:t xml:space="preserve"/>
      </w:r>
    </w:p>
    <w:p>
      <w:pPr>
        <w:spacing w:after="80" w:before="0"/>
        <w:jc w:val="center"/>
      </w:pPr>
      <w:r>
        <w:rPr>
          <w:rFonts w:ascii="Times New Roman" w:cs="Times New Roman" w:eastAsia="Times New Roman" w:hAnsi="Times New Roman"/>
          <w:b/>
          <w:bCs/>
          <w:sz w:val="18"/>
          <w:szCs w:val="18"/>
        </w:rPr>
        <w:t xml:space="preserve">Table 1. Top-1 accuracy of clean-trained model vs. H.264 CRF level.</w:t>
      </w:r>
    </w:p>
    <w:tbl>
      <w:tblPr>
        <w:tblW w:type="dxa" w:w="4940"/>
        <w:tblBorders>
          <w:top w:val="single" w:color="auto" w:sz="4"/>
          <w:left w:val="single" w:color="auto" w:sz="4"/>
          <w:bottom w:val="single" w:color="auto" w:sz="4"/>
          <w:right w:val="single" w:color="auto" w:sz="4"/>
          <w:insideH w:val="single" w:color="auto" w:sz="4"/>
          <w:insideV w:val="single" w:color="auto" w:sz="4"/>
        </w:tblBorders>
      </w:tblPr>
      <w:tblGrid>
        <w:gridCol w:w="1800"/>
        <w:gridCol w:w="620"/>
        <w:gridCol w:w="1000"/>
        <w:gridCol w:w="760"/>
        <w:gridCol w:w="76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8"/>
                <w:szCs w:val="18"/>
              </w:rPr>
              <w:t xml:space="preserve">Compression Level</w:t>
            </w:r>
          </w:p>
        </w:tc>
        <w:tc>
          <w:tcPr>
            <w:tcW w:type="dxa" w:w="620"/>
            <w:tcBorders>
              <w:top w:val="single" w:color="000000" w:sz="4"/>
              <w:left w:val="single" w:color="000000" w:sz="4"/>
              <w:bottom w:val="single" w:color="000000" w:sz="4"/>
              <w:right w:val="single" w:color="000000" w:sz="4"/>
            </w:tcBorders>
            <w:shd w:fill="CCCCCC"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8"/>
                <w:szCs w:val="18"/>
              </w:rPr>
              <w:t xml:space="preserve">CRF</w:t>
            </w:r>
          </w:p>
        </w:tc>
        <w:tc>
          <w:tcPr>
            <w:tcW w:type="dxa" w:w="1000"/>
            <w:tcBorders>
              <w:top w:val="single" w:color="000000" w:sz="4"/>
              <w:left w:val="single" w:color="000000" w:sz="4"/>
              <w:bottom w:val="single" w:color="000000" w:sz="4"/>
              <w:right w:val="single" w:color="000000" w:sz="4"/>
            </w:tcBorders>
            <w:shd w:fill="CCCCCC"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8"/>
                <w:szCs w:val="18"/>
              </w:rPr>
              <w:t xml:space="preserve">Top-1 Acc. (%)</w:t>
            </w:r>
          </w:p>
        </w:tc>
        <w:tc>
          <w:tcPr>
            <w:tcW w:type="dxa" w:w="760"/>
            <w:tcBorders>
              <w:top w:val="single" w:color="000000" w:sz="4"/>
              <w:left w:val="single" w:color="000000" w:sz="4"/>
              <w:bottom w:val="single" w:color="000000" w:sz="4"/>
              <w:right w:val="single" w:color="000000" w:sz="4"/>
            </w:tcBorders>
            <w:shd w:fill="CCCCCC"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8"/>
                <w:szCs w:val="18"/>
              </w:rPr>
              <w:t xml:space="preserve">Val Loss</w:t>
            </w:r>
          </w:p>
        </w:tc>
        <w:tc>
          <w:tcPr>
            <w:tcW w:type="dxa" w:w="760"/>
            <w:tcBorders>
              <w:top w:val="single" w:color="000000" w:sz="4"/>
              <w:left w:val="single" w:color="000000" w:sz="4"/>
              <w:bottom w:val="single" w:color="000000" w:sz="4"/>
              <w:right w:val="single" w:color="000000" w:sz="4"/>
            </w:tcBorders>
            <w:shd w:fill="CCCCCC"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8"/>
                <w:szCs w:val="18"/>
              </w:rPr>
              <w:t xml:space="preserve">Δ Acc. (pp)</w:t>
            </w:r>
          </w:p>
        </w:tc>
      </w:tr>
      <w:tr>
        <w:tc>
          <w:tcPr>
            <w:tcW w:type="dxa" w:w="18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Baseline (no compression)</w:t>
            </w:r>
          </w:p>
        </w:tc>
        <w:tc>
          <w:tcPr>
            <w:tcW w:type="dxa" w:w="62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w:t>
            </w:r>
          </w:p>
        </w:tc>
        <w:tc>
          <w:tcPr>
            <w:tcW w:type="dxa" w:w="10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98.10</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0.166</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Near-lossless</w:t>
            </w:r>
          </w:p>
        </w:tc>
        <w:tc>
          <w:tcPr>
            <w:tcW w:type="dxa" w:w="62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w:t>
            </w:r>
          </w:p>
        </w:tc>
        <w:tc>
          <w:tcPr>
            <w:tcW w:type="dxa" w:w="100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98.11</w:t>
            </w:r>
          </w:p>
        </w:tc>
        <w:tc>
          <w:tcPr>
            <w:tcW w:type="dxa" w:w="76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0.166</w:t>
            </w:r>
          </w:p>
        </w:tc>
        <w:tc>
          <w:tcPr>
            <w:tcW w:type="dxa" w:w="76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+0.01</w:t>
            </w:r>
          </w:p>
        </w:tc>
      </w:tr>
      <w:tr>
        <w:tc>
          <w:tcPr>
            <w:tcW w:type="dxa" w:w="18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Near-lossless</w:t>
            </w:r>
          </w:p>
        </w:tc>
        <w:tc>
          <w:tcPr>
            <w:tcW w:type="dxa" w:w="62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18</w:t>
            </w:r>
          </w:p>
        </w:tc>
        <w:tc>
          <w:tcPr>
            <w:tcW w:type="dxa" w:w="10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98.13</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0.166</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+0.03</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Default encoder quality</w:t>
            </w:r>
          </w:p>
        </w:tc>
        <w:tc>
          <w:tcPr>
            <w:tcW w:type="dxa" w:w="62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23</w:t>
            </w:r>
          </w:p>
        </w:tc>
        <w:tc>
          <w:tcPr>
            <w:tcW w:type="dxa" w:w="100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98.13</w:t>
            </w:r>
          </w:p>
        </w:tc>
        <w:tc>
          <w:tcPr>
            <w:tcW w:type="dxa" w:w="76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0.167</w:t>
            </w:r>
          </w:p>
        </w:tc>
        <w:tc>
          <w:tcPr>
            <w:tcW w:type="dxa" w:w="76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+0.03</w:t>
            </w:r>
          </w:p>
        </w:tc>
      </w:tr>
      <w:tr>
        <w:tc>
          <w:tcPr>
            <w:tcW w:type="dxa" w:w="18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Moderate compression</w:t>
            </w:r>
          </w:p>
        </w:tc>
        <w:tc>
          <w:tcPr>
            <w:tcW w:type="dxa" w:w="62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28</w:t>
            </w:r>
          </w:p>
        </w:tc>
        <w:tc>
          <w:tcPr>
            <w:tcW w:type="dxa" w:w="10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98.15</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0.169</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+0.05</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Heavy compression</w:t>
            </w:r>
          </w:p>
        </w:tc>
        <w:tc>
          <w:tcPr>
            <w:tcW w:type="dxa" w:w="62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35</w:t>
            </w:r>
          </w:p>
        </w:tc>
        <w:tc>
          <w:tcPr>
            <w:tcW w:type="dxa" w:w="100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98.13</w:t>
            </w:r>
          </w:p>
        </w:tc>
        <w:tc>
          <w:tcPr>
            <w:tcW w:type="dxa" w:w="76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0.172</w:t>
            </w:r>
          </w:p>
        </w:tc>
        <w:tc>
          <w:tcPr>
            <w:tcW w:type="dxa" w:w="76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+0.03</w:t>
            </w:r>
          </w:p>
        </w:tc>
      </w:tr>
      <w:tr>
        <w:tc>
          <w:tcPr>
            <w:tcW w:type="dxa" w:w="18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Very heavy compression</w:t>
            </w:r>
          </w:p>
        </w:tc>
        <w:tc>
          <w:tcPr>
            <w:tcW w:type="dxa" w:w="62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42</w:t>
            </w:r>
          </w:p>
        </w:tc>
        <w:tc>
          <w:tcPr>
            <w:tcW w:type="dxa" w:w="10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97.63</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0.207</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−0.47</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Severe compression ⚠</w:t>
            </w:r>
          </w:p>
        </w:tc>
        <w:tc>
          <w:tcPr>
            <w:tcW w:type="dxa" w:w="62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47</w:t>
            </w:r>
          </w:p>
        </w:tc>
        <w:tc>
          <w:tcPr>
            <w:tcW w:type="dxa" w:w="100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92.36</w:t>
            </w:r>
          </w:p>
        </w:tc>
        <w:tc>
          <w:tcPr>
            <w:tcW w:type="dxa" w:w="76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0.456</w:t>
            </w:r>
          </w:p>
        </w:tc>
        <w:tc>
          <w:tcPr>
            <w:tcW w:type="dxa" w:w="760"/>
            <w:tcBorders>
              <w:top w:val="single" w:color="000000" w:sz="4"/>
              <w:left w:val="single" w:color="000000" w:sz="4"/>
              <w:bottom w:val="single" w:color="000000" w:sz="4"/>
              <w:right w:val="single" w:color="000000" w:sz="4"/>
            </w:tcBorders>
            <w:shd w:fill="FFFFFF"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−5.74</w:t>
            </w:r>
          </w:p>
        </w:tc>
      </w:tr>
      <w:tr>
        <w:tc>
          <w:tcPr>
            <w:tcW w:type="dxa" w:w="18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Worst quality ⚠</w:t>
            </w:r>
          </w:p>
        </w:tc>
        <w:tc>
          <w:tcPr>
            <w:tcW w:type="dxa" w:w="62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51</w:t>
            </w:r>
          </w:p>
        </w:tc>
        <w:tc>
          <w:tcPr>
            <w:tcW w:type="dxa" w:w="100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76.50</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1.030</w:t>
            </w:r>
          </w:p>
        </w:tc>
        <w:tc>
          <w:tcPr>
            <w:tcW w:type="dxa" w:w="760"/>
            <w:tcBorders>
              <w:top w:val="single" w:color="000000" w:sz="4"/>
              <w:left w:val="single" w:color="000000" w:sz="4"/>
              <w:bottom w:val="single" w:color="000000" w:sz="4"/>
              <w:right w:val="single" w:color="000000" w:sz="4"/>
            </w:tcBorders>
            <w:shd w:fill="F5F5F5" w:val="clear"/>
            <w:tcMar>
              <w:top w:type="dxa" w:w="40"/>
              <w:left w:type="dxa" w:w="70"/>
              <w:bottom w:type="dxa" w:w="40"/>
              <w:right w:type="dxa" w:w="70"/>
            </w:tcMar>
            <w:vAlign w:val="center"/>
          </w:tcPr>
          <w:p>
            <w:pPr>
              <w:jc w:val="center"/>
            </w:pPr>
            <w:r>
              <w:rPr>
                <w:rFonts w:ascii="Times New Roman" w:cs="Times New Roman" w:eastAsia="Times New Roman" w:hAnsi="Times New Roman"/>
                <w:sz w:val="18"/>
                <w:szCs w:val="18"/>
              </w:rPr>
              <w:t xml:space="preserve">−21.60</w:t>
            </w:r>
          </w:p>
        </w:tc>
      </w:tr>
    </w:tbl>
    <w:p>
      <w:pPr>
        <w:spacing w:after="100" w:before="0"/>
      </w:pPr>
      <w:r>
        <w:rPr>
          <w:rFonts w:ascii="Times New Roman" w:cs="Times New Roman" w:eastAsia="Times New Roman" w:hAnsi="Times New Roman"/>
          <w:sz w:val="20"/>
          <w:szCs w:val="20"/>
        </w:rPr>
        <w:t xml:space="preserve"/>
      </w:r>
    </w:p>
    <w:p>
      <w:pPr>
        <w:spacing w:after="60" w:before="60" w:line="260"/>
        <w:jc w:val="both"/>
      </w:pPr>
      <w:r>
        <w:rPr>
          <w:rFonts w:ascii="Times New Roman" w:cs="Times New Roman" w:eastAsia="Times New Roman" w:hAnsi="Times New Roman"/>
          <w:sz w:val="20"/>
          <w:szCs w:val="20"/>
        </w:rPr>
        <w:t xml:space="preserve">Key Finding: Accuracy is completely stable at ≈98.1% for CRF 0–42, covering all standard IP-camera deployment settings (typically CRF 18–28 in practice). A sharp accuracy cliff emerges at CRF 47 (−5.74 pp), with severe degradation at CRF 51 (−21.60 pp). The plateau at moderate CRF values is explained by the nature of card discriminative features: suit symbols and rank numerals are large, high-contrast, low-frequency structures that survive H.264 block-based DCT quantization until quantization steps become coarse enough to destroy their shape beyond CRF 42.</w:t>
      </w:r>
    </w:p>
    <w:p>
      <w:pPr>
        <w:spacing w:after="60" w:before="140"/>
      </w:pPr>
      <w:r>
        <w:rPr>
          <w:rFonts w:ascii="Times New Roman" w:cs="Times New Roman" w:eastAsia="Times New Roman" w:hAnsi="Times New Roman"/>
          <w:b/>
          <w:bCs/>
          <w:sz w:val="20"/>
          <w:szCs w:val="20"/>
        </w:rPr>
        <w:t xml:space="preserve">VII. CONCLUSION</w:t>
      </w:r>
    </w:p>
    <w:p>
      <w:pPr>
        <w:spacing w:after="60" w:before="60" w:line="260"/>
        <w:jc w:val="both"/>
      </w:pPr>
      <w:r>
        <w:rPr>
          <w:rFonts w:ascii="Times New Roman" w:cs="Times New Roman" w:eastAsia="Times New Roman" w:hAnsi="Times New Roman"/>
          <w:sz w:val="20"/>
          <w:szCs w:val="20"/>
        </w:rPr>
        <w:t xml:space="preserve">This paper presents a real-time AI baccarat table monitoring system and reports the first systematic evaluation of H.264 CRF compression impact on deep learning-based playing card recognition. The clean-trained MobileNetV1-1.25× model achieves 98.10% validation accuracy and maintains above 97.6% accuracy for all H.264 CRF values up to 42, confirming robust performance under all standard IP-camera deployment conditions. Significant accuracy degradation occurs only beyond CRF 47, which falls below practical surveillance usage thresholds. Ongoing retraining experiments at CRF 28 and CRF 38 will determine whether compression-aware training further extends robustness at extreme compression levels, with full comparison results to be reported in the final paper.</w:t>
      </w:r>
    </w:p>
    <w:p>
      <w:pPr>
        <w:spacing w:after="60" w:before="140"/>
      </w:pPr>
      <w:r>
        <w:rPr>
          <w:rFonts w:ascii="Times New Roman" w:cs="Times New Roman" w:eastAsia="Times New Roman" w:hAnsi="Times New Roman"/>
          <w:b/>
          <w:bCs/>
          <w:sz w:val="20"/>
          <w:szCs w:val="20"/>
        </w:rPr>
        <w:t xml:space="preserve">REFERENCES</w:t>
      </w:r>
    </w:p>
    <w:p>
      <w:pPr>
        <w:spacing w:after="40" w:before="40" w:line="240"/>
        <w:ind w:left="280" w:hanging="280"/>
        <w:jc w:val="both"/>
      </w:pPr>
      <w:r>
        <w:rPr>
          <w:rFonts w:ascii="Times New Roman" w:cs="Times New Roman" w:eastAsia="Times New Roman" w:hAnsi="Times New Roman"/>
          <w:sz w:val="18"/>
          <w:szCs w:val="18"/>
        </w:rPr>
        <w:t xml:space="preserve">[1] T. Benbarrad, M. Salhaoui, S. B. Kenitar, and M. Arioua, "Intelligent Machine Fault Diagnosis under Noisy Conditions Using a Noisy Label Learning Approach," Sensors, vol. 21, no. 16, p. 5657, 2021.</w:t>
      </w:r>
    </w:p>
    <w:p>
      <w:pPr>
        <w:spacing w:after="40" w:before="40" w:line="240"/>
        <w:ind w:left="280" w:hanging="280"/>
        <w:jc w:val="both"/>
      </w:pPr>
      <w:r>
        <w:rPr>
          <w:rFonts w:ascii="Times New Roman" w:cs="Times New Roman" w:eastAsia="Times New Roman" w:hAnsi="Times New Roman"/>
          <w:sz w:val="18"/>
          <w:szCs w:val="18"/>
        </w:rPr>
        <w:t xml:space="preserve">[2] A. G. Howard et al., "MobileNets: Efficient Convolutional Neural Networks for Mobile Vision Applications," arXiv:1704.04861, 2017.</w:t>
      </w:r>
    </w:p>
    <w:p>
      <w:pPr>
        <w:spacing w:after="40" w:before="40" w:line="240"/>
        <w:ind w:left="280" w:hanging="280"/>
        <w:jc w:val="both"/>
      </w:pPr>
      <w:r>
        <w:rPr>
          <w:rFonts w:ascii="Times New Roman" w:cs="Times New Roman" w:eastAsia="Times New Roman" w:hAnsi="Times New Roman"/>
          <w:sz w:val="18"/>
          <w:szCs w:val="18"/>
        </w:rPr>
        <w:t xml:space="preserve">[3] G. Jocher et al., "Ultralytics YOLO," 2023. [Online]. Available: https://github.com/ultralytics/ultralytics</w:t>
      </w:r>
    </w:p>
    <w:p>
      <w:pPr>
        <w:spacing w:after="40" w:before="40" w:line="240"/>
        <w:ind w:left="280" w:hanging="280"/>
        <w:jc w:val="both"/>
      </w:pPr>
      <w:r>
        <w:rPr>
          <w:rFonts w:ascii="Times New Roman" w:cs="Times New Roman" w:eastAsia="Times New Roman" w:hAnsi="Times New Roman"/>
          <w:sz w:val="18"/>
          <w:szCs w:val="18"/>
        </w:rPr>
        <w:t xml:space="preserve">[4] A. Bewley, Z. Ge, L. Ott, F. Ramos, and B. Upcroft, "Simple Online and Realtime Tracking," in Proc. IEEE ICIP, 2016, pp. 3464–3468.</w:t>
      </w:r>
    </w:p>
    <w:p>
      <w:pPr>
        <w:spacing w:after="40" w:before="40" w:line="240"/>
        <w:ind w:left="280" w:hanging="280"/>
        <w:jc w:val="both"/>
      </w:pPr>
      <w:r>
        <w:rPr>
          <w:rFonts w:ascii="Times New Roman" w:cs="Times New Roman" w:eastAsia="Times New Roman" w:hAnsi="Times New Roman"/>
          <w:sz w:val="18"/>
          <w:szCs w:val="18"/>
        </w:rPr>
        <w:t xml:space="preserve">[5] R. Wightman, "PyTorch Image Models (timm)," 2019. [Online]. Available: https://github.com/rwightman/pytorch-image-models</w:t>
      </w:r>
    </w:p>
    <w:sectPr>
      <w:type w:val="continuous"/>
      <w:pgSz w:w="11906" w:h="16838" w:orient="portrait"/>
      <w:pgMar w:top="1134" w:right="1134" w:bottom="1134" w:left="1134"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2026-05-01T01:45:36.175Z</dcterms:created>
  <dcterms:modified xsi:type="dcterms:W3CDTF">2026-05-01T01:45:36.175Z</dcterms:modified>
</cp:coreProperties>
</file>

<file path=docProps/custom.xml><?xml version="1.0" encoding="utf-8"?>
<Properties xmlns="http://schemas.openxmlformats.org/officeDocument/2006/custom-properties" xmlns:vt="http://schemas.openxmlformats.org/officeDocument/2006/docPropsVTypes"/>
</file>