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73.png" ContentType="image/png"/>
  <Override PartName="/word/media/rId78.png" ContentType="image/png"/>
  <Override PartName="/word/media/rId40.png" ContentType="image/png"/>
  <Override PartName="/word/media/rId51.png" ContentType="image/png"/>
  <Override PartName="/word/media/rId56.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2026-10-16</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50"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 The pixel-wise comparison described below used the same two processing chains applied to the Sentinel-2B acquisition of 7 March 2026 (tile 28QCH, processing baseline 05.12).</w:t>
      </w:r>
      <w:r>
        <w:t xml:space="preserve"> </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48"/>
    <w:bookmarkStart w:id="49" w:name="X9ffc7d48c0ba8436816ab7c2b4f3e3b7b006755"/>
    <w:p>
      <w:pPr>
        <w:pStyle w:val="Heading2"/>
      </w:pPr>
      <w:r>
        <w:t xml:space="preserve">3.5 Multi-date comparison of Sen2Cor and ACOLITE reflectance</w:t>
      </w:r>
    </w:p>
    <w:p>
      <w:pPr>
        <w:pStyle w:val="FirstParagraph"/>
      </w:pPr>
      <w:r>
        <w:t xml:space="preserve">To test whether the differences seen on single dates are persistent or vary through time, the pixel comparison was extended to every Sentinel-2 acquisition of tile 28QCH for which both products were available. ACOLITE products were paired with Sen2Cor Level-2A products only when platform (Sentinel-2A, 2B or 2C), acquisition date and tile were identical. Of 24 ACOLITE acquisitions, 22 were matched (6 January 2025 to 27 March 2026); 15 February 2025 had no Sen2Cor product, and for 13 October 2025 only the adjacent tile 28QCG was available and was not substituted. Sen2Cor reflectance was calculated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w:t>
      </w:r>
      <w:r>
        <w:t xml:space="preserve">for processing baselines 05.11 (2025) and 05.12 (2026) and resampled bilinearly to the 10 m ACOLITE grid, as for the single-date comparison, and</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was computed for each date and band.</w:t>
      </w:r>
      <w:r>
        <w:t xml:space="preserve"> </w:t>
      </w:r>
    </w:p>
    <w:p>
      <w:pPr>
        <w:pStyle w:val="BodyText"/>
      </w:pPr>
      <w:r>
        <w:t xml:space="preserve">Unlike the single-date comparison, this analysis was restricted to the supplied intertidal polygon and to pixels that could be compared on every date. A pixel was retained for a given date if both reflectances were finite and the Sen2Cor scene classification did not flag it as no data, saturated or defective, cloud shadow, cloud (medium or high probability), thin cirrus or snow/ice (classes 0, 1, 3, 8, 9, 10 and 11); the undeclared ACOLITE fill value was treated as no data. No tide-height or date-specific exposure mask was available, so the polygon includes areas that were submerged on some dates and exposed on others. For each date and band, the spatial median and interquartile range (IQR) of</w:t>
      </w:r>
      <w:r>
        <w:t xml:space="preserve"> </w:t>
      </w:r>
      <ns5:oMath>
        <ns5:r>
          <ns5:rPr>
            <ns5:sty ns5:val="p"/>
          </ns5:rPr>
          <ns5:t>Δ</ns5:t>
        </ns5:r>
        <ns5:r>
          <ns5:t>ρ</ns5:t>
        </ns5:r>
      </ns5:oMath>
      <w:r>
        <w:t xml:space="preserve"> </w:t>
      </w:r>
      <w:r>
        <w:t xml:space="preserve">were calculated over the retained pixels (about 2.1–2.4 million per date and band). For each pixel and band, the median and the sample standard deviation (SD) of</w:t>
      </w:r>
      <w:r>
        <w:t xml:space="preserve"> </w:t>
      </w:r>
      <ns5:oMath>
        <ns5:r>
          <ns5:rPr>
            <ns5:sty ns5:val="p"/>
          </ns5:rPr>
          <ns5:t>Δ</ns5:t>
        </ns5:r>
        <ns5:r>
          <ns5:t>ρ</ns5:t>
        </ns5:r>
      </ns5:oMath>
      <w:r>
        <w:t xml:space="preserve"> </w:t>
      </w:r>
      <w:r>
        <w:t xml:space="preserve">across dates were also calculated, together with the number of dates with valid data. The median describes the persistent offset between processors and the SD its variability among dates; because the number of valid dates varies among pixels (5–22; 21 or 22 for the middle 90% of pixels), it is reported with both statistics.</w:t>
      </w:r>
    </w:p>
    <w:p>
      <w:pPr>
        <w:pStyle w:val="BodyText"/>
      </w:pPr>
      <w:r>
        <w:t xml:space="preserve">Four bands were selected for presentation: B2 (492 nm, blue), B3 (559 nm, green), B4 (665 nm, red) and B8 (833 nm, near-infrared). B2–B4 span the visible range in which water-leaving and seagrass signals are expressed and in which the surface signal is expressed most strongly relative to the atmospheric contribution, and B8, a native 10 m band, is the band in which the processors differed most in the single-date comparison and in which the channel and flat patterns were clearest. The remaining bands (B1, B5–B7, B8A, B11 and B12) were processed identically and are not shown. The temporal pattern of</w:t>
      </w:r>
      <w:r>
        <w:t xml:space="preserve"> </w:t>
      </w:r>
      <ns5:oMath>
        <ns5:r>
          <ns5:rPr>
            <ns5:sty ns5:val="p"/>
          </ns5:rPr>
          <ns5:t>Δ</ns5:t>
        </ns5:r>
        <ns5:r>
          <ns5:t>ρ</ns5:t>
        </ns5:r>
      </ns5:oMath>
      <w:r>
        <w:t xml:space="preserve"> </w:t>
      </w:r>
      <w:r>
        <w:t xml:space="preserve">was examined descriptively; with a single year of data, 22 irregularly spaced dates, and platform, atmosphere, tide and illumination confounded with date, no seasonal model was fitted and no significance test was applied. Calculations were performed in Python 3.12.3 with NumPy 1.26.4 and GDAL 3.8.4.</w:t>
      </w:r>
    </w:p>
    <w:bookmarkEnd w:id="49"/>
    <w:bookmarkEnd w:id="50"/>
    <w:bookmarkStart w:id="84" w:name="results"/>
    <w:p>
      <w:pPr>
        <w:pStyle w:val="Heading1"/>
      </w:pPr>
      <w:r>
        <w:t xml:space="preserve">4. Results</w:t>
      </w:r>
    </w:p>
    <w:bookmarkStart w:id="61" w:name="match-ups-of-atmospheric-corrections"/>
    <w:p>
      <w:pPr>
        <w:pStyle w:val="Heading2"/>
      </w:pPr>
      <w:r>
        <w:t xml:space="preserve">4.1 Match-ups of atmospheric corrections</w:t>
      </w:r>
    </w:p>
    <w:p>
      <w:pPr>
        <w:pStyle w:val="FirstParagraph"/>
      </w:pPr>
      <w:r>
        <w:t xml:space="preserve">Both processors reproduced the reflectance contrast among surfaces, but ACOLITE agreed more closely with the field reflectance (</w:t>
      </w:r>
      <w:hyperlink w:anchor="fig-matchup">
        <w:r>
          <w:rPr>
            <w:rStyle w:val="Hyperlink"/>
          </w:rPr>
          <w:t xml:space="preserve">Figure 3</w:t>
        </w:r>
      </w:hyperlink>
      <w:r>
        <w:t xml:space="preserv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intervals of the two processors overlap, and with six stations they describe station-to-station variability rather than provide a test of a difference. Coefficients of determination were high for both products and slightly higher for Sen2Cor (0.94) than for ACOLITE (0.92);</w:t>
      </w:r>
      <w:r>
        <w:t xml:space="preserve"> </w:t>
      </w:r>
      <ns5:oMath>
        <ns5:sSup>
          <ns5:e>
            <ns5:r>
              <ns5:t>R</ns5:t>
            </ns5:r>
          </ns5:e>
          <ns5:sup>
            <ns5:r>
              <ns5:t>2</ns5:t>
            </ns5:r>
          </ns5:sup>
        </ns5:sSup>
      </ns5:oMath>
      <w:r>
        <w:t xml:space="preserve"> </w:t>
      </w:r>
      <w:r>
        <w:t xml:space="preserve">follows the spectral contrast among surfaces and ignores the positive offset, so it does not rank the processors. Spectral shape was preserved by both: the median spectral angle between satellite and field spectra was 2.59° for ACOLITE and 2.83° for Sen2Cor, and five stations had angles below 4° for both. The exception was the seagrass station AC08 (12.6° for ACOLITE; 13.7° for Sen2Cor), where satellite reflectance in B3 (0.148–0.169) was well above the field value (0.086) while B8A agreed closely (0.240–0.256 against 0.248).</w:t>
      </w:r>
    </w:p>
    <w:bookmarkStart w:id="55" w:name="cell-fig-matchup"/>
    <w:tbl>
      <w:tblPr>
        <w:tblStyle w:val="Table"/>
        <w:tblW w:type="pct" w:w="5000"/>
        <w:tblLayout w:type="fixed"/>
        <w:tblLook w:firstRow="0" w:lastRow="0" w:firstColumn="0" w:lastColumn="0" w:noHBand="0" w:noVBand="0" w:val="0000"/>
      </w:tblPr>
      <w:tblGrid>
        <w:gridCol w:w="7920"/>
      </w:tblGrid>
      <w:tr>
        <w:tc>
          <w:tcPr/>
          <w:bookmarkStart w:id="54" w:name="fig-matchup"/>
          <w:p>
            <w:pPr>
              <w:pStyle w:val="Compact"/>
              <w:jc w:val="center"/>
            </w:pPr>
            <w:r>
              <w:drawing>
                <ns1:inline>
                  <ns1:extent cx="5943600" cy="3897307"/>
                  <ns1:effectExtent b="0" l="0" r="0" t="0"/>
                  <ns1:docPr descr="" title="" id="52" name="Picture"/>
                  <ns2:graphic>
                    <ns2:graphicData uri="http://schemas.openxmlformats.org/drawingml/2006/picture">
                      <ns3:pic>
                        <ns3:nvPicPr>
                          <ns3:cNvPr descr="figures/MatchupByBandAndSurface_Fig003_SCI113.png" id="53" name="Picture"/>
                          <ns3:cNvPicPr>
                            <ns2:picLocks noChangeArrowheads="1" noChangeAspect="1"/>
                          </ns3:cNvPicPr>
                        </ns3:nvPicPr>
                        <ns3:blipFill>
                          <ns2:blip ns4:embed="rId51"/>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4"/>
        </w:tc>
      </w:tr>
    </w:tbl>
    <w:bookmarkEnd w:id="55"/>
    <w:p>
      <w:pPr>
        <w:pStyle w:val="BodyText"/>
      </w:pPr>
      <w:r>
        <w:t xml:space="preserve">The difference between processors was expressed mainly as a larger positive bias in Sen2Cor (</w:t>
      </w:r>
      <w:hyperlink w:anchor="fig-residuals">
        <w:r>
          <w:rPr>
            <w:rStyle w:val="Hyperlink"/>
          </w:rPr>
          <w:t xml:space="preserve">Figure 4</w:t>
        </w:r>
      </w:hyperlink>
      <w:r>
        <w:t xml:space="preserve">). Sen2Cor reflectance exceeded the field reflectance in all nine bands (mean bias +0.024 in B1 to +0.071 in B5; band RMSD 0.030–0.081), whereas ACOLITE biases were smaller (+0.002 in B1 to +0.035 in B4; band RMSD 0.023–0.051). ACOLITE had the lower RMSD at five of the six stations; Sen2Cor was lower only at the seagrass station AC07 (0.0126 against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The advantage of ACOLITE therefore depended strongly on one station, although its sign did not change. Both processors were positively biased over dry sand (Sen2Cor +0.072; ACOLITE +0.051), with the largest bias at AC02 (+0.098 and +0.076, respectively), and over the two seagrass stations RMSD was 0.0331 for ACOLITE and 0.0403 for Sen2Cor (</w:t>
      </w:r>
      <w:hyperlink w:anchor="tbl-s2-surface">
        <w:r>
          <w:rPr>
            <w:rStyle w:val="Hyperlink"/>
          </w:rPr>
          <w:t xml:space="preserve">Table 1</w:t>
        </w:r>
      </w:hyperlink>
      <w:r>
        <w:t xml:space="preserve">; each class has one or two stations, so class values are descriptive). The causes of the positive bias were not tested. Adjacency from bright neighbouring surfaces, the tidal state and surface moisture at overpass, the difference between the ASD footprint and the 10–60 m pixels, and the resampled 60 m B1 band are plausible contributors.</w:t>
      </w:r>
    </w:p>
    <w:bookmarkStart w:id="60" w:name="cell-fig-residuals"/>
    <w:tbl>
      <w:tblPr>
        <w:tblStyle w:val="Table"/>
        <w:tblW w:type="pct" w:w="5000"/>
        <w:tblLayout w:type="fixed"/>
        <w:tblLook w:firstRow="0" w:lastRow="0" w:firstColumn="0" w:lastColumn="0" w:noHBand="0" w:noVBand="0" w:val="0000"/>
      </w:tblPr>
      <w:tblGrid>
        <w:gridCol w:w="7920"/>
      </w:tblGrid>
      <w:tr>
        <w:tc>
          <w:tcPr/>
          <w:bookmarkStart w:id="59" w:name="fig-residuals"/>
          <w:p>
            <w:pPr>
              <w:pStyle w:val="Compact"/>
              <w:jc w:val="center"/>
            </w:pPr>
            <w:r>
              <w:drawing>
                <ns1:inline>
                  <ns1:extent cx="5943600" cy="4287863"/>
                  <ns1:effectExtent b="0" l="0" r="0" t="0"/>
                  <ns1:docPr descr="" title="" id="57" name="Picture"/>
                  <ns2:graphic>
                    <ns2:graphicData uri="http://schemas.openxmlformats.org/drawingml/2006/picture">
                      <ns3:pic>
                        <ns3:nvPicPr>
                          <ns3:cNvPr descr="figures/ResidualBoxplotsByBand_Fig004_SCI113.png" id="58" name="Picture"/>
                          <ns3:cNvPicPr>
                            <ns2:picLocks noChangeArrowheads="1" noChangeAspect="1"/>
                          </ns3:cNvPicPr>
                        </ns3:nvPicPr>
                        <ns3:blipFill>
                          <ns2:blip ns4:embed="rId56"/>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9"/>
        </w:tc>
      </w:tr>
    </w:tbl>
    <w:bookmarkEnd w:id="60"/>
    <w:p>
      <w:pPr>
        <w:pStyle w:val="BodyText"/>
      </w:pPr>
      <w:r>
        <w:t xml:space="preserve">The result was robust to the extraction method. Sampling both products on a common 10 m grid left the RMSD of ACOLITE unchanged (0.0417 with nearest-neighbour and bilinear sampling) and gave 0.0656 and 0.0666 for Sen2Cor; using the mean of 3 × 3 pixels gave 0.0423 for ACOLITE and 0.0649 (nearest neighbour) and 0.0622 (bilinear) for Sen2Cor.</w:t>
      </w:r>
      <w:r>
        <w:t xml:space="preserve"> </w:t>
      </w:r>
      <ns5:oMath>
        <ns5:r>
          <ns5:rPr>
            <ns5:sty ns5:val="p"/>
          </ns5:rPr>
          <ns5:t>Δ</ns5:t>
        </ns5:r>
      </ns5:oMath>
      <w:r>
        <w:t xml:space="preserve">RMSD stayed positive in all variants (+0.0199 to +0.0249). These variants share the same six stations, so they do not address the small number of independent stations or the lack of an external validation set.</w:t>
      </w:r>
    </w:p>
    <w:bookmarkEnd w:id="61"/>
    <w:bookmarkStart w:id="72" w:name="Xe1658e3d4fc87e85ccd7b229192050ec6ceaa96"/>
    <w:p>
      <w:pPr>
        <w:pStyle w:val="Heading2"/>
      </w:pPr>
      <w:r>
        <w:t xml:space="preserve">4.2 Pixel-wise comparison of Sen2Cor and ACOLITE reflectance</w:t>
      </w:r>
    </w:p>
    <w:p>
      <w:pPr>
        <w:pStyle w:val="FirstParagraph"/>
      </w:pPr>
      <w:r>
        <w:t xml:space="preserve">Three features summarise the unmasked comparison of 7 March 2026 (</w:t>
      </w:r>
      <w:hyperlink w:anchor="fig-pixel-maps">
        <w:r>
          <w:rPr>
            <w:rStyle w:val="Hyperlink"/>
          </w:rPr>
          <w:t xml:space="preserve">Figure 5</w:t>
        </w:r>
      </w:hyperlink>
      <w:r>
        <w:t xml:space="preserve">,</w:t>
      </w:r>
      <w:r>
        <w:t xml:space="preserve"> </w:t>
      </w:r>
      <w:hyperlink w:anchor="fig-pixel-spectra">
        <w:r>
          <w:rPr>
            <w:rStyle w:val="Hyperlink"/>
          </w:rPr>
          <w:t xml:space="preserve">Figure 6</w:t>
        </w:r>
      </w:hyperlink>
      <w:r>
        <w:t xml:space="preserve">). The difference between the processors was spatially organised rather than random. ACOLITE reflectance was lower than Sen2Cor reflectance over bright and sedimentary surfaces and over the open water of the east, and higher over dark and vegetated targets in the visible bands. Two structured features, the narrow channels between intertidal areas and a set of stripes in the north,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closer to zero (+0.0039 in B1; −0.0051 to −0.0092 in B2–B8A), which indicates a tail of strongly negative values; individual values ranged from −0.186 (B2) to +0.156 (B3). The negative values were largest in the open water of the east and north-east, where they increased from the blue to the near-infrared bands (mean</w:t>
      </w:r>
      <w:r>
        <w:t xml:space="preserve"> </w:t>
      </w:r>
      <ns5:oMath>
        <ns5:r>
          <ns5:rPr>
            <ns5:sty ns5:val="p"/>
          </ns5:rPr>
          <ns5:t>Δ</ns5:t>
        </ns5:r>
        <ns5:r>
          <ns5:t>ρ</ns5:t>
        </ns5:r>
      </ns5:oMath>
      <w:r>
        <w:t xml:space="preserve"> </w:t>
      </w:r>
      <w:r>
        <w:t xml:space="preserve">east of 369 km easting: −0.015 in B1, −0.037 in B3, −0.057 in B5 and −0.059 in B8). Over the intertidal complex the mean was smaller and also became more negative with wavelength (−0.005 in B1 to −0.028 in B8). These regional summaries were delimited by eye and are not stratified statistics.</w:t>
      </w:r>
    </w:p>
    <w:p>
      <w:pPr>
        <w:pStyle w:val="BodyText"/>
      </w:pPr>
      <w:r>
        <w:t xml:space="preserve">The narrow channels that cut between the intertidal flats had a sign of</w:t>
      </w:r>
      <w:r>
        <w:t xml:space="preserve"> </w:t>
      </w:r>
      <ns5:oMath>
        <ns5:r>
          <ns5:rPr>
            <ns5:sty ns5:val="p"/>
          </ns5:rPr>
          <ns5:t>Δ</ns5:t>
        </ns5:r>
        <ns5:r>
          <ns5:t>ρ</ns5:t>
        </ns5:r>
      </ns5:oMath>
      <w:r>
        <w:t xml:space="preserve"> </w:t>
      </w:r>
      <w:r>
        <w:t xml:space="preserve">opposite to that of the flats. The flats were mostly negative, whereas the channels appeared as thin, continuous lines of positive difference. The lines were faint in B1–B4 and conspicuous from B5 to B8A, and they were also present in B8, a native 10 m band, so resampling alone is unlikely to explain them. They were assessed visually, and their size was not quantified. We offer three untested explanations: Sen2Cor can return negative reflectance over dark water (as at target T2 below) where dark-spectrum fitting returns positive values; ACOLITE was run without adjacency correction and the channels are narrow and bordered by bright sediment; and suspended sediment, tide state or shallow bottom reflectance may be attributed differently to aerosol and surface by each processor. Distinguishing among them requires a delineated channel layer and the separate maps of each product. Until then, channel reflectance from either product should not be used quantitatively.</w:t>
      </w:r>
    </w:p>
    <w:p>
      <w:pPr>
        <w:pStyle w:val="BodyText"/>
      </w:pPr>
      <w:r>
        <w:t xml:space="preserve">The northernmost part of every map contained vertical stripes of positive</w:t>
      </w:r>
      <w:r>
        <w:t xml:space="preserve"> </w:t>
      </w:r>
      <ns5:oMath>
        <ns5:r>
          <ns5:rPr>
            <ns5:sty ns5:val="p"/>
          </ns5:rPr>
          <ns5:t>Δ</ns5:t>
        </ns5:r>
        <ns5:r>
          <ns5:t>ρ</ns5:t>
        </ns5:r>
      </ns5:oMath>
      <w:r>
        <w:t xml:space="preserve">. Two main stripes, each about 2 km wide and centred near 341 and 346 km easting, had a mean</w:t>
      </w:r>
      <w:r>
        <w:t xml:space="preserve"> </w:t>
      </w:r>
      <ns5:oMath>
        <ns5:r>
          <ns5:rPr>
            <ns5:sty ns5:val="p"/>
          </ns5:rPr>
          <ns5:t>Δ</ns5:t>
        </ns5:r>
        <ns5:r>
          <ns5:t>ρ</ns5:t>
        </ns5:r>
      </ns5:oMath>
      <w:r>
        <w:t xml:space="preserve"> </w:t>
      </w:r>
      <w:r>
        <w:t xml:space="preserve">of +0.014 to +0.029 in B4, B5 and B8 over the northernmost 3 km, against −0.003 to −0.009 in the neighbouring bins (+0.017 to +0.024 in B1, against +0.003 to +0.005). The stripes were therefore of similar amplitude in all bands, an increase of roughly +0.015 to +0.035 relative to their surroundings, which suggests an additive offset unrelated to the surface. Their origin was not determined. Candidate explanations are aerosol estimates that vary at a scale of a few kilometres (although the ACOLITE tiles of 6 km are wider than the stripes), thin cirrus aligned with the satellite track (cirrus covered 6.2% of the scene and no mask was applied), and an artefact linked to the detector geometry of the MSI. Cells within the stripes should be treated as an atmospheric-correction artefact and not used for quantitative comparison between processors.</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2986927"/>
                  <ns1:effectExtent b="0" l="0" r="0" t="0"/>
                  <ns1:docPr descr="" title="" id="63" name="Picture"/>
                  <ns2:graphic>
                    <ns2:graphicData uri="http://schemas.openxmlformats.org/drawingml/2006/picture">
                      <ns3:pic>
                        <ns3:nvPicPr>
                          <ns3:cNvPr descr="figures/CorrectionDifferenceMaps_Fig005_SCI113R2.png" id="64" name="Picture"/>
                          <ns3:cNvPicPr>
                            <ns2:picLocks noChangeArrowheads="1" noChangeAspect="1"/>
                          </ns3:cNvPicPr>
                        </ns3:nvPicPr>
                        <ns3:blipFill>
                          <ns2:blip ns4:embed="rId62"/>
                          <ns2:stretch>
                            <ns2:fillRect/>
                          </ns2:stretch>
                        </ns3:blipFill>
                        <ns3:spPr bwMode="auto">
                          <ns2:xfrm>
                            <ns2:off x="0" y="0"/>
                            <ns2:ext cx="5943600" cy="298692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5"/>
        </w:tc>
      </w:tr>
    </w:tbl>
    <w:bookmarkEnd w:id="66"/>
    <w:p>
      <w:pPr>
        <w:pStyle w:val="BodyText"/>
      </w:pPr>
      <w:r>
        <w:t xml:space="preserve">The six targets illustrate the same contrast (</w:t>
      </w:r>
      <w:hyperlink w:anchor="fig-pixel-spectra">
        <w:r>
          <w:rPr>
            <w:rStyle w:val="Hyperlink"/>
          </w:rPr>
          <w:t xml:space="preserve">Figure 6</w:t>
        </w:r>
      </w:hyperlink>
      <w:r>
        <w:t xml:space="preserve">). At the three targets over bright or sedimentary surfaces (T1, T4, T6), ACOLITE reflectance was lower than Sen2Cor reflectance in all nine bands and the spectra had similar shapes; the differences were largest over the terrestrial soil T1 (−0.043 in B1 to −0.084 in B5 and B8, or 10–22% of the Sen2Cor value), followed by the intertidal sediment T4 (−0.020 to −0.049) and the underwater sand T6 (−0.013 to −0.048). The sign was reversed at the three darker targets (T2, T3, T5), where ACOLITE was higher in the visible bands. Over water (T2), Sen2Cor reflectance was negative from B4 to B8A (−0.021 to −0.032), whereas ACOLITE reflectance was positive in all bands (0.017–0.079). At the seagrass target T3, ACOLITE was higher by 0.037–0.045 in B1–B4 and lower by 0.003–0.018 in B6–B8A, and both products showed the red-edge increase; its near-infrared reflectance of about 0.19 and the unknown tide state mean that T3 may have been emergent vegetation. At the darkest targets the difference between processors (up to 0.055) was of the same order as the reflectance itself. The positive difference at the water target T2 contrasts with the negative difference over the open water of the east, so disagreement over water was not uniform across the scene. Each class is a single target (nine cells) and no independent reference exists for this date, so these comparisons describe the disagreement between the processors and do not show which product is more accurate.</w:t>
      </w:r>
    </w:p>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70"/>
        </w:tc>
      </w:tr>
    </w:tbl>
    <w:bookmarkEnd w:id="71"/>
    <w:bookmarkEnd w:id="72"/>
    <w:bookmarkStart w:id="83" w:name="Xf66c924567a05e80de7324818f6200c8b06e4d7"/>
    <w:p>
      <w:pPr>
        <w:pStyle w:val="Heading2"/>
      </w:pPr>
      <w:r>
        <w:t xml:space="preserve">4.3 Persistence and variability of the processor difference across dates</w:t>
      </w:r>
    </w:p>
    <w:p>
      <w:pPr>
        <w:pStyle w:val="FirstParagraph"/>
      </w:pPr>
      <w:r>
        <w:t xml:space="preserve">Across 22 acquisitions, ACOLITE reflectance was lower than Sen2Cor reflectance over most of the intertidal area, and the offset was larger and more variable in the near-infrared than in the visible (</w:t>
      </w:r>
      <w:hyperlink w:anchor="fig-deltarho-maps">
        <w:r>
          <w:rPr>
            <w:rStyle w:val="Hyperlink"/>
          </w:rPr>
          <w:t xml:space="preserve">Figure 7</w:t>
        </w:r>
      </w:hyperlink>
      <w:r>
        <w:t xml:space="preserve">,</w:t>
      </w:r>
      <w:r>
        <w:t xml:space="preserve"> </w:t>
      </w:r>
      <w:hyperlink w:anchor="fig-deltarho-seasonality">
        <w:r>
          <w:rPr>
            <w:rStyle w:val="Hyperlink"/>
          </w:rPr>
          <w:t xml:space="preserve">Figure 8</w:t>
        </w:r>
      </w:hyperlink>
      <w:r>
        <w:t xml:space="preserve">). The median</w:t>
      </w:r>
      <w:r>
        <w:t xml:space="preserve"> </w:t>
      </w:r>
      <ns5:oMath>
        <ns5:r>
          <ns5:rPr>
            <ns5:sty ns5:val="p"/>
          </ns5:rPr>
          <ns5:t>Δ</ns5:t>
        </ns5:r>
        <ns5:r>
          <ns5:t>ρ</ns5:t>
        </ns5:r>
      </ns5:oMath>
      <w:r>
        <w:t xml:space="preserve"> </w:t>
      </w:r>
      <w:r>
        <w:t xml:space="preserve">was negative in 96.1% (B2), 93.6% (B3), 94.2% (B4) and 97.2% (B8) of pixels. Its spatial median was close to</w:t>
      </w:r>
      <w:r>
        <w:t xml:space="preserve"> </w:t>
      </w:r>
      <ns5:oMath>
        <ns5:r>
          <ns5:rPr>
            <ns5:sty ns5:val="p"/>
          </ns5:rPr>
          <ns5:t>−</ns5:t>
        </ns5:r>
        <ns5:r>
          <ns5:t>0.009</ns5:t>
        </ns5:r>
      </ns5:oMath>
      <w:r>
        <w:t xml:space="preserve"> </w:t>
      </w:r>
      <w:r>
        <w:t xml:space="preserve">in the visible bands (B2 −0.0093, B3 −0.0087, B4 −0.0088) and</w:t>
      </w:r>
      <w:r>
        <w:t xml:space="preserve"> </w:t>
      </w:r>
      <ns5:oMath>
        <ns5:r>
          <ns5:rPr>
            <ns5:sty ns5:val="p"/>
          </ns5:rPr>
          <ns5:t>−</ns5:t>
        </ns5:r>
        <ns5:r>
          <ns5:t>0.016</ns5:t>
        </ns5:r>
      </ns5:oMath>
      <w:r>
        <w:t xml:space="preserve"> </w:t>
      </w:r>
      <w:r>
        <w:t xml:space="preserve">in B8 (−0.0162). The offset was spatially structured: the most negative values (5th percentile of pixels: −0.029 to −0.031 in the visible bands and −0.039 in B8) occurred on the central and eastern flats and along the channel margins, and were most extensive in B8, whereas the north-western flats were close to zero. Pixels with positive median</w:t>
      </w:r>
      <w:r>
        <w:t xml:space="preserve"> </w:t>
      </w:r>
      <ns5:oMath>
        <ns5:r>
          <ns5:rPr>
            <ns5:sty ns5:val="p"/>
          </ns5:rPr>
          <ns5:t>Δ</ns5:t>
        </ns5:r>
        <ns5:r>
          <ns5:t>ρ</ns5:t>
        </ns5:r>
      </ns5:oMath>
      <w:r>
        <w:t xml:space="preserve"> </w:t>
      </w:r>
      <w:r>
        <w:t xml:space="preserve">were a small minority and were most evident along the eastern margin in the visible bands. These maps describe the typical difference between processors for this site; the data contain no independent reference, and they do not show which product was closer to the true reflectance.</w:t>
      </w:r>
    </w:p>
    <w:bookmarkStart w:id="77" w:name="cell-fig-deltarho-maps"/>
    <w:tbl>
      <w:tblPr>
        <w:tblStyle w:val="Table"/>
        <w:tblW w:type="pct" w:w="5000"/>
        <w:tblLayout w:type="fixed"/>
        <w:tblLook w:firstRow="0" w:lastRow="0" w:firstColumn="0" w:lastColumn="0" w:noHBand="0" w:noVBand="0" w:val="0000"/>
      </w:tblPr>
      <w:tblGrid>
        <w:gridCol w:w="7920"/>
      </w:tblGrid>
      <w:tr>
        <w:tc>
          <w:tcPr/>
          <w:bookmarkStart w:id="76" w:name="fig-deltarho-maps"/>
          <w:p>
            <w:pPr>
              <w:pStyle w:val="Compact"/>
              <w:jc w:val="center"/>
            </w:pPr>
            <w:r>
              <w:drawing>
                <ns1:inline>
                  <ns1:extent cx="5943600" cy="2953922"/>
                  <ns1:effectExtent b="0" l="0" r="0" t="0"/>
                  <ns1:docPr descr="" title="" id="74" name="Picture"/>
                  <ns2:graphic>
                    <ns2:graphicData uri="http://schemas.openxmlformats.org/drawingml/2006/picture">
                      <ns3:pic>
                        <ns3:nvPicPr>
                          <ns3:cNvPr descr="figures/DeltaRhoMedianSdMaps_Fig007.png" id="75" name="Picture"/>
                          <ns3:cNvPicPr>
                            <ns2:picLocks noChangeArrowheads="1" noChangeAspect="1"/>
                          </ns3:cNvPicPr>
                        </ns3:nvPicPr>
                        <ns3:blipFill>
                          <ns2:blip ns4:embed="rId73"/>
                          <ns2:stretch>
                            <ns2:fillRect/>
                          </ns2:stretch>
                        </ns3:blipFill>
                        <ns3:spPr bwMode="auto">
                          <ns2:xfrm>
                            <ns2:off x="0" y="0"/>
                            <ns2:ext cx="5943600" cy="295392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7: Across-date median and variability of the difference in surface reflectance between ACOLITE and Sen2Cor within the intertidal polygon. The top row shows the per-pixel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over 22 matched acquisitions (6 January 2025 to 27 March 2026) for B2 (492 nm), B3 (559 nm), B4 (665 nm) and B8 (833 nm); blue indicates lower and red higher ACOLITE reflectance, and the scale is centred on zero and saturated at ±0.045. The bottom row shows the per-pixel sample standard deviation of</w:t>
            </w:r>
            <w:r>
              <w:t xml:space="preserve"> </w:t>
            </w:r>
            <ns5:oMath>
              <ns5:r>
                <ns5:rPr>
                  <ns5:sty ns5:val="p"/>
                </ns5:rPr>
                <ns5:t>Δ</ns5:t>
              </ns5:r>
              <ns5:r>
                <ns5:t>ρ</ns5:t>
              </ns5:r>
            </ns5:oMath>
            <w:r>
              <w:t xml:space="preserve"> </w:t>
            </w:r>
            <w:r>
              <w:t xml:space="preserve">across dates, saturated at 0.035. Pixels were included on a date only if they were inside the intertidal polygon and not flagged by the Sen2Cor scene classification; the number of valid dates ranged from 5 to 22 among pixels (21 or 22 for the middle 90%). Coordinates are in km (WGS 84 / UTM zone 28N). Both statistics are descriptive of the difference between processors and confound atmosphere, tide and exposure, sensor platform and illumination geometry.</w:t>
            </w:r>
          </w:p>
          <w:bookmarkEnd w:id="76"/>
        </w:tc>
      </w:tr>
    </w:tbl>
    <w:bookmarkEnd w:id="77"/>
    <w:p>
      <w:pPr>
        <w:pStyle w:val="BodyText"/>
      </w:pPr>
      <w:r>
        <w:t xml:space="preserve">The variability of</w:t>
      </w:r>
      <w:r>
        <w:t xml:space="preserve"> </w:t>
      </w:r>
      <ns5:oMath>
        <ns5:r>
          <ns5:rPr>
            <ns5:sty ns5:val="p"/>
          </ns5:rPr>
          <ns5:t>Δ</ns5:t>
        </ns5:r>
        <ns5:r>
          <ns5:t>ρ</ns5:t>
        </ns5:r>
      </ns5:oMath>
      <w:r>
        <w:t xml:space="preserve"> </w:t>
      </w:r>
      <w:r>
        <w:t xml:space="preserve">among dates was of the same order as its median offset. The per-pixel SD of</w:t>
      </w:r>
      <w:r>
        <w:t xml:space="preserve"> </w:t>
      </w:r>
      <ns5:oMath>
        <ns5:r>
          <ns5:rPr>
            <ns5:sty ns5:val="p"/>
          </ns5:rPr>
          <ns5:t>Δ</ns5:t>
        </ns5:r>
        <ns5:r>
          <ns5:t>ρ</ns5:t>
        </ns5:r>
      </ns5:oMath>
      <w:r>
        <w:t xml:space="preserve"> </w:t>
      </w:r>
      <w:r>
        <w:t xml:space="preserve">had a spatial median of 0.0118 (B2), 0.0113 (B3), 0.0102 (B4) and 0.0124 (B8), and was as large as, or larger than, the median offset itself in the visible bands, so that in the visible bands the sign of</w:t>
      </w:r>
      <w:r>
        <w:t xml:space="preserve"> </w:t>
      </w:r>
      <ns5:oMath>
        <ns5:r>
          <ns5:rPr>
            <ns5:sty ns5:val="p"/>
          </ns5:rPr>
          <ns5:t>Δ</ns5:t>
        </ns5:r>
        <ns5:r>
          <ns5:t>ρ</ns5:t>
        </ns5:r>
      </ns5:oMath>
      <w:r>
        <w:t xml:space="preserve"> </w:t>
      </w:r>
      <w:r>
        <w:t xml:space="preserve">at a given pixel was not reliably negative on every date. The SD was lowest on the north-western flats and highest on the eastern and south-eastern margins and in the central flats, and varied less among bands than the median did; between the 5th and 95th percentiles of pixels it ranged from 0.0085 to 0.0179 in B2 and from 0.0064 to 0.0189 in B8. Because the SD changed little with wavelength while the median offset was nearly twice as large in B8 as in the visible bands, the offset in the near-infrared was proportionally more persistent than that in the visible. Where valid dates were few, the median and SD rest on fewer observations (the minimum was 5 dates), but such pixels were rare. The areas of greatest SD coincide partly with those where the scene classification and tide state are most likely to change from date to date, which we did not test.</w:t>
      </w:r>
    </w:p>
    <w:p>
      <w:pPr>
        <w:pStyle w:val="BodyText"/>
      </w:pPr>
      <w:r>
        <w:t xml:space="preserve">The temporal pattern was irregular rather than seasonal (</w:t>
      </w:r>
      <w:hyperlink w:anchor="fig-deltarho-seasonality">
        <w:r>
          <w:rPr>
            <w:rStyle w:val="Hyperlink"/>
          </w:rPr>
          <w:t xml:space="preserve">Figure 8</w:t>
        </w:r>
      </w:hyperlink>
      <w:r>
        <w:t xml:space="preserve">). The median of the per-date spatial medians was negative in every band (B2 −0.0109, B3 −0.0088, B4 −0.0092, B8 −0.0160). In B2, B3 and B4,</w:t>
      </w:r>
      <w:r>
        <w:t xml:space="preserve"> </w:t>
      </w:r>
      <ns5:oMath>
        <ns5:r>
          <ns5:rPr>
            <ns5:sty ns5:val="p"/>
          </ns5:rPr>
          <ns5:t>Δ</ns5:t>
        </ns5:r>
        <ns5:r>
          <ns5:t>ρ</ns5:t>
        </ns5:r>
      </ns5:oMath>
      <w:r>
        <w:t xml:space="preserve"> </w:t>
      </w:r>
      <w:r>
        <w:t xml:space="preserve">was near zero or slightly positive on a few dates between April and June 2025 (B2 positive on four dates, B3 on four and B4 on three; maximum +0.0115 in B2 on 15 June 2025), and returned to −0.005 to −0.02 in the later part of 2025 and in 2026. In B8, the per-date median was negative on all 22 dates (−0.0434 to −0.0019), and was more negative on 29 August, 13 September and 28 September 2025 (−0.028, −0.033 and −0.028) than in April–June 2025 (−0.0039 to −0.0176). Because the record covers one year, these differences cannot be attributed to a seasonal cycle. Two features argue against interpreting them as seasonal. First, 22 March 2025 was a pronounced excursion in all four bands (per-date median −0.039 in B2, −0.036 in B3, −0.035 in B4 and −0.043 in B8), whereas the adjacent dates were much closer to zero (B8: −0.023 on 17 March and −0.008 on 6 April 2025); and second, B8 changed from −0.028 on 7 March 2026 to −0.002 on 27 March 2026, 20 days apart, whereas the same calendar date in 2025 gave −0.016. The spatial IQR of</w:t>
      </w:r>
      <w:r>
        <w:t xml:space="preserve"> </w:t>
      </w:r>
      <ns5:oMath>
        <ns5:r>
          <ns5:rPr>
            <ns5:sty ns5:val="p"/>
          </ns5:rPr>
          <ns5:t>Δ</ns5:t>
        </ns5:r>
        <ns5:r>
          <ns5:t>ρ</ns5:t>
        </ns5:r>
      </ns5:oMath>
      <w:r>
        <w:t xml:space="preserve"> </w:t>
      </w:r>
      <w:r>
        <w:t xml:space="preserve">within a date (median 0.0132 in B2, 0.0139 in B3, 0.0116 in B4 and 0.0196 in B8; range 0.0040–0.0374 over bands and dates) was generally comparable to or larger than the change in the median between neighbouring dates, so that within a scene the processors differed more among pixels than the date-to-date shifts in their average.</w:t>
      </w:r>
    </w:p>
    <w:bookmarkStart w:id="82" w:name="cell-fig-deltarho-seasonality"/>
    <w:tbl>
      <w:tblPr>
        <w:tblStyle w:val="Table"/>
        <w:tblW w:type="pct" w:w="5000"/>
        <w:tblLayout w:type="fixed"/>
        <w:tblLook w:firstRow="0" w:lastRow="0" w:firstColumn="0" w:lastColumn="0" w:noHBand="0" w:noVBand="0" w:val="0000"/>
      </w:tblPr>
      <w:tblGrid>
        <w:gridCol w:w="7920"/>
      </w:tblGrid>
      <w:tr>
        <w:tc>
          <w:tcPr/>
          <w:bookmarkStart w:id="81" w:name="fig-deltarho-seasonality"/>
          <w:p>
            <w:pPr>
              <w:pStyle w:val="Compact"/>
              <w:jc w:val="center"/>
            </w:pPr>
            <w:r>
              <w:drawing>
                <ns1:inline>
                  <ns1:extent cx="5943600" cy="4221853"/>
                  <ns1:effectExtent b="0" l="0" r="0" t="0"/>
                  <ns1:docPr descr="" title="" id="79" name="Picture"/>
                  <ns2:graphic>
                    <ns2:graphicData uri="http://schemas.openxmlformats.org/drawingml/2006/picture">
                      <ns3:pic>
                        <ns3:nvPicPr>
                          <ns3:cNvPr descr="figures/DeltaRhoSeasonality_Fig008.png" id="80" name="Picture"/>
                          <ns3:cNvPicPr>
                            <ns2:picLocks noChangeArrowheads="1" noChangeAspect="1"/>
                          </ns3:cNvPicPr>
                        </ns3:nvPicPr>
                        <ns3:blipFill>
                          <ns2:blip ns4:embed="rId78"/>
                          <ns2:stretch>
                            <ns2:fillRect/>
                          </ns2:stretch>
                        </ns3:blipFill>
                        <ns3:spPr bwMode="auto">
                          <ns2:xfrm>
                            <ns2:off x="0" y="0"/>
                            <ns2:ext cx="5943600" cy="422185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8: Temporal variation of the difference in surface reflectance between ACOLITE and Sen2Cor in the intertidal polygon. Points and lines show the spatial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each of 22 matched acquisitions (6 January 2025 to 27 March 2026) in B2 (blue), B3 (green), B4 (red) and B8 (near-infrared). Shading is the interquartile range across pixels within each date, so it describes spatial spread within a scene and not uncertainty of the median. Lines connect consecutive dates without smoothing, and the dashed line marks zero. The record spans a single year with irregular spacing, and date is confounded with atmospheric state, tide and exposure, sensor platform and illumination geometry; the pattern is therefore not an estimate of seasonality.</w:t>
            </w:r>
          </w:p>
          <w:bookmarkEnd w:id="81"/>
        </w:tc>
      </w:tr>
    </w:tbl>
    <w:bookmarkEnd w:id="82"/>
    <w:p>
      <w:pPr>
        <w:pStyle w:val="BodyText"/>
      </w:pPr>
      <w:r>
        <w:t xml:space="preserve">Four explanations for the date-to-date variation are consistent with the data but were not tested. Atmospheric state, in particular aerosol load and dust events, which may affect the two aerosol-correction approaches differently, could produce the excursions (the 22 March 2025 anomaly is the clearest candidate, but no aerosol record was examined). The tide state at overpass changes the proportion of the polygon that is exposed, submerged or covered by thin water, which alters the target for which dark-spectrum fitting and Sen2Cor’s land-based correction are each appropriate. Differences among Sentinel-2A, 2B and 2C in spectral response and calibration, and differences in sun and view geometry among dates, may contribute; the platform was not balanced across the record (11 acquisitions by 2B, 8 by 2C and 3 by 2A in the matched set), and median</w:t>
      </w:r>
      <w:r>
        <w:t xml:space="preserve"> </w:t>
      </w:r>
      <ns5:oMath>
        <ns5:r>
          <ns5:rPr>
            <ns5:sty ns5:val="p"/>
          </ns5:rPr>
          <ns5:t>Δ</ns5:t>
        </ns5:r>
        <ns5:r>
          <ns5:t>ρ</ns5:t>
        </ns5:r>
      </ns5:oMath>
      <w:r>
        <w:t xml:space="preserve"> </w:t>
      </w:r>
      <w:r>
        <w:t xml:space="preserve">did not separate cleanly by platform in either B2 or B8, but 3 dates are too few to assess 2A. Finally, residual cirrus or cloud-edge pixels not removed by the scene classification would affect individual dates. Resolving among these explanations requires aerosol and tide records for each acquisition and a reference measurement on more than one date. Until then, the result supports only a limited conclusion: the two processors disagree by a small, mostly negative and date-variable offset over the intertidal flats, and a time series of reflectance from either product should be interpreted with the knowledge that the choice of processor alone changes reflectance by roughly 0.01 to 0.02 over these flats.</w:t>
      </w:r>
    </w:p>
    <w:p>
      <w:r>
        <w:pict>
          <ns6:rect style="width:0;height:1.5pt" ns7:hralign="center" ns7:hrstd="t" ns7:hr="t"/>
        </w:pict>
      </w:r>
    </w:p>
    <w:bookmarkEnd w:id="83"/>
    <w:bookmarkEnd w:id="84"/>
    <w:bookmarkStart w:id="155"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85"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85"/>
          <w:p/>
        </w:tc>
      </w:tr>
    </w:tbl>
    <w:bookmarkStart w:id="154" w:name="refs"/>
    <w:bookmarkStart w:id="87" w:name="ref-Barbier2011Value"/>
    <w:p>
      <w:pPr>
        <w:pStyle w:val="Bibliography"/>
      </w:pPr>
      <w:bookmarkStart w:id="158"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58"/>
    </w:p>
    <w:bookmarkEnd w:id="87"/>
    <w:bookmarkStart w:id="89" w:name="ref-Bui2022Evaluation"/>
    <w:p>
      <w:pPr>
        <w:pStyle w:val="Bibliography"/>
      </w:pPr>
      <w:bookmarkStart w:id="181"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81"/>
    </w:p>
    <w:bookmarkEnd w:id="89"/>
    <w:bookmarkStart w:id="91" w:name="ref-Davies2023Spectral"/>
    <w:p>
      <w:pPr>
        <w:pStyle w:val="Bibliography"/>
      </w:pPr>
      <w:bookmarkStart w:id="182"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82"/>
    </w:p>
    <w:bookmarkEnd w:id="91"/>
    <w:bookmarkStart w:id="93"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93"/>
    <w:bookmarkStart w:id="95" w:name="ref-Davies2024Trajectories"/>
    <w:p>
      <w:pPr>
        <w:pStyle w:val="Bibliography"/>
      </w:pPr>
      <w:bookmarkStart w:id="184" w:name="bibref_29"/>
      <w:bookmarkStart w:id="183"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83"/>
      <w:bookmarkEnd w:id="184"/>
    </w:p>
    <w:bookmarkEnd w:id="95"/>
    <w:bookmarkStart w:id="97" w:name="ref-deFouw2016Drought"/>
    <w:p>
      <w:pPr>
        <w:pStyle w:val="Bibliography"/>
      </w:pPr>
      <w:bookmarkStart w:id="168"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68"/>
    </w:p>
    <w:bookmarkEnd w:id="97"/>
    <w:bookmarkStart w:id="99" w:name="ref-Doxani2023ACIX"/>
    <w:p>
      <w:pPr>
        <w:pStyle w:val="Bibliography"/>
      </w:pPr>
      <w:bookmarkStart w:id="176"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76"/>
    </w:p>
    <w:bookmarkEnd w:id="99"/>
    <w:bookmarkStart w:id="101" w:name="ref-Duffy2019Observing"/>
    <w:p>
      <w:pPr>
        <w:pStyle w:val="Bibliography"/>
      </w:pPr>
      <w:bookmarkStart w:id="163"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63"/>
    </w:p>
    <w:bookmarkEnd w:id="101"/>
    <w:bookmarkStart w:id="103" w:name="ref-Dunic2021Declines"/>
    <w:p>
      <w:pPr>
        <w:pStyle w:val="Bibliography"/>
      </w:pPr>
      <w:bookmarkStart w:id="162"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62"/>
    </w:p>
    <w:bookmarkEnd w:id="103"/>
    <w:bookmarkStart w:id="105" w:name="ref-ElHacen2020LongTerm"/>
    <w:p>
      <w:pPr>
        <w:pStyle w:val="Bibliography"/>
      </w:pPr>
      <w:bookmarkStart w:id="167"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67"/>
    </w:p>
    <w:bookmarkEnd w:id="105"/>
    <w:bookmarkStart w:id="107" w:name="ref-ESA2021Sen2CorATBD"/>
    <w:p>
      <w:pPr>
        <w:pStyle w:val="Bibliography"/>
      </w:pPr>
      <w:bookmarkStart w:id="178"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78"/>
    </w:p>
    <w:bookmarkEnd w:id="107"/>
    <w:bookmarkStart w:id="109"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09"/>
    <w:bookmarkStart w:id="111" w:name="ref-Fourqurean2012Carbon"/>
    <w:p>
      <w:pPr>
        <w:pStyle w:val="Bibliography"/>
      </w:pPr>
      <w:bookmarkStart w:id="160"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60"/>
    </w:p>
    <w:bookmarkEnd w:id="111"/>
    <w:bookmarkStart w:id="113" w:name="ref-Friese2016ParticleSize"/>
    <w:p>
      <w:pPr>
        <w:pStyle w:val="Bibliography"/>
      </w:pPr>
      <w:bookmarkStart w:id="173"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73"/>
    </w:p>
    <w:bookmarkEnd w:id="113"/>
    <w:bookmarkStart w:id="115" w:name="ref-Friese2017Provenance"/>
    <w:p>
      <w:pPr>
        <w:pStyle w:val="Bibliography"/>
      </w:pPr>
      <w:bookmarkStart w:id="172"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72"/>
    </w:p>
    <w:bookmarkEnd w:id="115"/>
    <w:bookmarkStart w:id="117" w:name="ref-Kaufman2002Aerosols"/>
    <w:p>
      <w:pPr>
        <w:pStyle w:val="Bibliography"/>
      </w:pPr>
      <w:bookmarkStart w:id="175" w:name="bibref_20"/>
      <w:r>
        <w:t xml:space="preserve">Kaufman, Y.J., Tanré, D., Boucher, O., 2002. A satellite view of aerosols in the climate system. Nature 419, 215–223.</w:t>
      </w:r>
      <w:r>
        <w:t xml:space="preserve"> </w:t>
      </w:r>
      <w:r>
        <w:t xml:space="preserve">https://doi.org/10.1038/nature01091</w:t>
      </w:r>
      <w:bookmarkEnd w:id="175"/>
    </w:p>
    <w:bookmarkEnd w:id="117"/>
    <w:bookmarkStart w:id="119" w:name="ref-Knippertz2012Dust"/>
    <w:p>
      <w:pPr>
        <w:pStyle w:val="Bibliography"/>
      </w:pPr>
      <w:bookmarkStart w:id="170"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70"/>
    </w:p>
    <w:bookmarkEnd w:id="119"/>
    <w:bookmarkStart w:id="121" w:name="ref-Lyons2013TimeSeries"/>
    <w:p>
      <w:pPr>
        <w:pStyle w:val="Bibliography"/>
      </w:pPr>
      <w:bookmarkStart w:id="185"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85"/>
    </w:p>
    <w:bookmarkEnd w:id="121"/>
    <w:bookmarkStart w:id="123" w:name="ref-MainKnorn2017Sen2Cor"/>
    <w:p>
      <w:pPr>
        <w:pStyle w:val="Bibliography"/>
      </w:pPr>
      <w:bookmarkStart w:id="177"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77"/>
    </w:p>
    <w:bookmarkEnd w:id="123"/>
    <w:bookmarkStart w:id="125" w:name="ref-Moulin2001Dust"/>
    <w:p>
      <w:pPr>
        <w:pStyle w:val="Bibliography"/>
      </w:pPr>
      <w:bookmarkStart w:id="179"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9"/>
    </w:p>
    <w:bookmarkEnd w:id="125"/>
    <w:bookmarkStart w:id="127" w:name="ref-Nordlund2016SeagrassServices"/>
    <w:p>
      <w:pPr>
        <w:pStyle w:val="Bibliography"/>
      </w:pPr>
      <w:bookmarkStart w:id="159"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9"/>
    </w:p>
    <w:bookmarkEnd w:id="127"/>
    <w:bookmarkStart w:id="129" w:name="ref-Orth2006Crisis"/>
    <w:p>
      <w:pPr>
        <w:pStyle w:val="Bibliography"/>
      </w:pPr>
      <w:bookmarkStart w:id="156"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56"/>
    </w:p>
    <w:bookmarkEnd w:id="129"/>
    <w:bookmarkStart w:id="130" w:name="ref-ould1993wind"/>
    <w:p>
      <w:pPr>
        <w:pStyle w:val="Bibliography"/>
      </w:pPr>
      <w:bookmarkStart w:id="169" w:name="bibref_14"/>
      <w:r>
        <w:t xml:space="preserve">Ould Dedah, S., 1993. Wind, surface water temperature, surface salinity and pollution in the area of the banc d’arguin, mauritania. Hydrobiologia 258, 9–19.</w:t>
      </w:r>
      <w:bookmarkEnd w:id="169"/>
    </w:p>
    <w:bookmarkEnd w:id="130"/>
    <w:bookmarkStart w:id="132" w:name="ref-Pottier2021Mapping"/>
    <w:p>
      <w:pPr>
        <w:pStyle w:val="Bibliography"/>
      </w:pPr>
      <w:bookmarkStart w:id="165"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65"/>
    </w:p>
    <w:bookmarkEnd w:id="132"/>
    <w:bookmarkStart w:id="134" w:name="ref-Roelfsema2014Multitemporal"/>
    <w:p>
      <w:pPr>
        <w:pStyle w:val="Bibliography"/>
      </w:pPr>
      <w:bookmarkStart w:id="186"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86"/>
    </w:p>
    <w:bookmarkEnd w:id="134"/>
    <w:bookmarkStart w:id="136" w:name="ref-Senghor2017SeasonalCycle"/>
    <w:p>
      <w:pPr>
        <w:pStyle w:val="Bibliography"/>
      </w:pPr>
      <w:bookmarkStart w:id="171"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71"/>
    </w:p>
    <w:bookmarkEnd w:id="136"/>
    <w:bookmarkStart w:id="138" w:name="ref-Song2001Atmospheric"/>
    <w:p>
      <w:pPr>
        <w:pStyle w:val="Bibliography"/>
      </w:pPr>
      <w:bookmarkStart w:id="174"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74"/>
    </w:p>
    <w:bookmarkEnd w:id="138"/>
    <w:bookmarkStart w:id="140" w:name="ref-Unsworth2019Challenges"/>
    <w:p>
      <w:pPr>
        <w:pStyle w:val="Bibliography"/>
      </w:pPr>
      <w:bookmarkStart w:id="161"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61"/>
    </w:p>
    <w:bookmarkEnd w:id="140"/>
    <w:bookmarkStart w:id="142" w:name="ref-vanderHeide2012Symbiosis"/>
    <w:p>
      <w:pPr>
        <w:pStyle w:val="Bibliography"/>
      </w:pPr>
      <w:bookmarkStart w:id="166"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66"/>
    </w:p>
    <w:bookmarkEnd w:id="142"/>
    <w:bookmarkStart w:id="144" w:name="ref-Vanhellemont2019DSF"/>
    <w:p>
      <w:pPr>
        <w:pStyle w:val="Bibliography"/>
      </w:pPr>
      <w:bookmarkStart w:id="188"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88"/>
    </w:p>
    <w:bookmarkEnd w:id="144"/>
    <w:bookmarkStart w:id="146"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46"/>
    <w:bookmarkStart w:id="148" w:name="ref-Warren2019Assessment"/>
    <w:p>
      <w:pPr>
        <w:pStyle w:val="Bibliography"/>
      </w:pPr>
      <w:bookmarkStart w:id="180"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80"/>
    </w:p>
    <w:bookmarkEnd w:id="148"/>
    <w:bookmarkStart w:id="150" w:name="ref-Waycott2009Loss"/>
    <w:p>
      <w:pPr>
        <w:pStyle w:val="Bibliography"/>
      </w:pPr>
      <w:bookmarkStart w:id="157"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57"/>
    </w:p>
    <w:bookmarkEnd w:id="150"/>
    <w:bookmarkStart w:id="151" w:name="ref-Wehrli1985Extraterrestrial"/>
    <w:p>
      <w:pPr>
        <w:pStyle w:val="Bibliography"/>
      </w:pPr>
      <w:bookmarkStart w:id="187" w:name="bibref_32"/>
      <w:r>
        <w:t xml:space="preserve">Wehrli, C., 1985. Extraterrestrial solar spectrum (Publication No. 615). Physikalisch-Meteorologisches Observatorium Davos; World Radiation Center, Davos Dorf, Switzerland.</w:t>
      </w:r>
      <w:bookmarkEnd w:id="187"/>
    </w:p>
    <w:bookmarkEnd w:id="151"/>
    <w:bookmarkStart w:id="153" w:name="ref-Wolff1993Banc"/>
    <w:p>
      <w:pPr>
        <w:pStyle w:val="Bibliography"/>
      </w:pPr>
      <w:bookmarkStart w:id="164"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64"/>
    </w:p>
    <w:bookmarkEnd w:id="153"/>
    <w:bookmarkEnd w:id="154"/>
    <w:bookmarkEnd w:id="155"/>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73" Target="media/rId73.png" /><ns0:Relationship Type="http://schemas.openxmlformats.org/officeDocument/2006/relationships/image" Id="rId78" Target="media/rId78.png" /><ns0:Relationship Type="http://schemas.openxmlformats.org/officeDocument/2006/relationships/image" Id="rId40" Target="media/rId40.png" /><ns0:Relationship Type="http://schemas.openxmlformats.org/officeDocument/2006/relationships/image" Id="rId51" Target="media/rId51.png" /><ns0:Relationship Type="http://schemas.openxmlformats.org/officeDocument/2006/relationships/image" Id="rId56" Target="media/rId56.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52" Target="https://doi.org/10.1007/BF00006198" TargetMode="External" /><Relationship Type="http://schemas.openxmlformats.org/officeDocument/2006/relationships/hyperlink" Id="rId139" Target="https://doi.org/10.1007/s13280-018-1115-y" TargetMode="External" /><Relationship Type="http://schemas.openxmlformats.org/officeDocument/2006/relationships/hyperlink" Id="rId137" Target="https://doi.org/10.1016/S0034-4257(00)00169-3" TargetMode="External" /><Relationship Type="http://schemas.openxmlformats.org/officeDocument/2006/relationships/hyperlink" Id="rId112" Target="https://doi.org/10.1016/j.aeolia.2016.04.005" TargetMode="External" /><Relationship Type="http://schemas.openxmlformats.org/officeDocument/2006/relationships/hyperlink" Id="rId96" Target="https://doi.org/10.1016/j.cub.2016.02.023" TargetMode="External" /><Relationship Type="http://schemas.openxmlformats.org/officeDocument/2006/relationships/hyperlink" Id="rId120" Target="https://doi.org/10.1016/j.ecss.2013.01.015" TargetMode="External" /><Relationship Type="http://schemas.openxmlformats.org/officeDocument/2006/relationships/hyperlink" Id="rId104" Target="https://doi.org/10.1016/j.gecco.2020.e01364" TargetMode="External" /><Relationship Type="http://schemas.openxmlformats.org/officeDocument/2006/relationships/hyperlink" Id="rId131" Target="https://doi.org/10.1016/j.jag.2021.102419" TargetMode="External" /><Relationship Type="http://schemas.openxmlformats.org/officeDocument/2006/relationships/hyperlink" Id="rId133" Target="https://doi.org/10.1016/j.rse.2014.05.001" TargetMode="External" /><Relationship Type="http://schemas.openxmlformats.org/officeDocument/2006/relationships/hyperlink" Id="rId145" Target="https://doi.org/10.1016/j.rse.2018.07.015" TargetMode="External" /><Relationship Type="http://schemas.openxmlformats.org/officeDocument/2006/relationships/hyperlink" Id="rId143" Target="https://doi.org/10.1016/j.rse.2019.03.010" TargetMode="External" /><Relationship Type="http://schemas.openxmlformats.org/officeDocument/2006/relationships/hyperlink" Id="rId147" Target="https://doi.org/10.1016/j.rse.2019.03.018" TargetMode="External" /><Relationship Type="http://schemas.openxmlformats.org/officeDocument/2006/relationships/hyperlink" Id="rId98" Target="https://doi.org/10.1016/j.rse.2022.113412" TargetMode="External" /><Relationship Type="http://schemas.openxmlformats.org/officeDocument/2006/relationships/hyperlink" Id="rId90" Target="https://doi.org/10.1016/j.rse.2023.113554" TargetMode="External" /><Relationship Type="http://schemas.openxmlformats.org/officeDocument/2006/relationships/hyperlink" Id="rId94" Target="https://doi.org/10.1016/j.rse.2024.114340" TargetMode="External" /><Relationship Type="http://schemas.openxmlformats.org/officeDocument/2006/relationships/hyperlink" Id="rId124" Target="https://doi.org/10.1029/2000GL011803" TargetMode="External" /><Relationship Type="http://schemas.openxmlformats.org/officeDocument/2006/relationships/hyperlink" Id="rId118" Target="https://doi.org/10.1029/2011RG000362" TargetMode="External" /><Relationship Type="http://schemas.openxmlformats.org/officeDocument/2006/relationships/hyperlink" Id="rId116" Target="https://doi.org/10.1038/nature01091" TargetMode="External" /><Relationship Type="http://schemas.openxmlformats.org/officeDocument/2006/relationships/hyperlink" Id="rId110" Target="https://doi.org/10.1038/ngeo1477" TargetMode="External" /><Relationship Type="http://schemas.openxmlformats.org/officeDocument/2006/relationships/hyperlink" Id="rId92" Target="https://doi.org/10.1038/s43247-024-01543-z" TargetMode="External" /><Relationship Type="http://schemas.openxmlformats.org/officeDocument/2006/relationships/hyperlink" Id="rId149" Target="https://doi.org/10.1073/pnas.0905620106" TargetMode="External" /><Relationship Type="http://schemas.openxmlformats.org/officeDocument/2006/relationships/hyperlink" Id="rId102" Target="https://doi.org/10.1111/gcb.15684" TargetMode="External" /><Relationship Type="http://schemas.openxmlformats.org/officeDocument/2006/relationships/hyperlink" Id="rId108" Target="https://doi.org/10.1111/j.1467-9868.2007.00593.x" TargetMode="External" /><Relationship Type="http://schemas.openxmlformats.org/officeDocument/2006/relationships/hyperlink" Id="rId122" Target="https://doi.org/10.1117/12.2278218" TargetMode="External" /><Relationship Type="http://schemas.openxmlformats.org/officeDocument/2006/relationships/hyperlink" Id="rId141" Target="https://doi.org/10.1126/science.1219973" TargetMode="External" /><Relationship Type="http://schemas.openxmlformats.org/officeDocument/2006/relationships/hyperlink" Id="rId126" Target="https://doi.org/10.1371/journal.pone.0163091" TargetMode="External" /><Relationship Type="http://schemas.openxmlformats.org/officeDocument/2006/relationships/hyperlink" Id="rId128" Target="https://doi.org/10.1641/0006-3568(2006)56[987:AGCFSE]2.0.CO;2" TargetMode="External" /><Relationship Type="http://schemas.openxmlformats.org/officeDocument/2006/relationships/hyperlink" Id="rId86" Target="https://doi.org/10.1890/10-1510.1" TargetMode="External" /><Relationship Type="http://schemas.openxmlformats.org/officeDocument/2006/relationships/hyperlink" Id="rId100" Target="https://doi.org/10.3389/fmars.2019.00317" TargetMode="External" /><Relationship Type="http://schemas.openxmlformats.org/officeDocument/2006/relationships/hyperlink" Id="rId88" Target="https://doi.org/10.3390/rs14051099" TargetMode="External" /><Relationship Type="http://schemas.openxmlformats.org/officeDocument/2006/relationships/hyperlink" Id="rId114" Target="https://doi.org/10.5194/acp-17-10163-2017" TargetMode="External" /><Relationship Type="http://schemas.openxmlformats.org/officeDocument/2006/relationships/hyperlink" Id="rId135" Target="https://doi.org/10.5194/acp-17-8395-2017" TargetMode="External" /><Relationship Type="http://schemas.openxmlformats.org/officeDocument/2006/relationships/hyperlink" Id="rId106"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2026-10-16T18:15:25Z</dcterms:created>
  <dcterms:modified xsi:type="dcterms:W3CDTF">2026-10-16T18:15:25Z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