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40.png" ContentType="image/png"/>
  <Override PartName="/word/media/rId50.png" ContentType="image/png"/>
  <Override PartName="/word/media/rId55.png" ContentType="image/png"/>
  <Override PartName="/word/media/rId35.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2026-10-15</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49"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six stations (AC01, AC02 and AC05–AC08) were sampled at two sites about 22 km apart (</w:t>
      </w:r>
      <w:hyperlink w:anchor="fig-study-area">
        <w:r>
          <w:rPr>
            <w:rStyle w:val="Hyperlink"/>
          </w:rPr>
          <w:t xml:space="preserve">Figure 1</w:t>
        </w:r>
      </w:hyperlink>
      <w:r>
        <w:t xml:space="preserve">): two on dry coastal sand (AC01–AC02),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287863"/>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The main panel shows the intertidal area of Banc d’Arguin with the nearshore (AC01–AC02) and offshore (AC05–AC08) station groups; the inset locates the park on the West African coast. The two enlarged panels show the nearshore and offshore stations at a common scale. Station colours are used in all subsequent figures.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2793024"/>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2793024"/>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six validation stations. (A) Average ASD reflectance spectra, 400–900 nm. (B) The same spectra convolved to the nine Sentinel-2B MSI bands B1–B8A. Line colour identifies the surface class; the two spectra of each of the dry-sand and seagrass classes are from separate stations.</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54 paired values per processor (six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With only six clusters these intervals are unstable and probably too narrow; they are given as a description of station-to-station variability and not as a formal test of a difference between processors.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Two analytical choices were varied to test the robustness of the comparison: (i) extraction of both products on a common 10 m grid, using nearest-neighbour and bilinear sampling; and (ii) replacement of the single pixel by the mean of the 3 × 3 pixels (30 m) centred on each station. Coefficients of determination (</w:t>
      </w:r>
      <ns5:oMath>
        <ns5:sSup>
          <ns5:e>
            <ns5:r>
              <ns5:t>R</ns5:t>
            </ns5:r>
          </ns5:e>
          <ns5:sup>
            <ns5:r>
              <ns5:t>2</ns5:t>
            </ns5:r>
          </ns5:sup>
        </ns5:sSup>
      </ns5:oMath>
      <w:r>
        <w:t xml:space="preserve">) were computed but are not used to rank the processors, because they mainly reflect the spectral contrast among surfaces and are insensitive to a constant offset.</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27 March 2026 scene were compared pixel by pixel for the nine bands B1–B8A, which span the spectral range of the field measurements. Comparisons were made on the 10 m ACOLITE grid of the study area (3,763 × 1,974 pixels, WGS 84 / UTM zone 28N). Sen2Cor reflectance was resampled to this grid by bilinear interpolation from its native 10, 20 or 60 m resolution, and the Sen2Cor scene classification layer (SCL) by nearest-neighbour assignment. Digital numbers were converted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Pixels were retained when the Sen2Cor digital number was positive, the ACOLITE value was valid, and the SCL class was not no-data, saturated or defective, cloud shadow, cloud, cirrus or snow/ice. Water, vegetation, bare-surface and other clear-sky classes were retained and no water-only mask was applied. Negative reflectance values were kept, because removing them would hide a feature of the products under comparison. For each band, the distribution of</w:t>
      </w:r>
      <w:r>
        <w:t xml:space="preserve"> </w:t>
      </w:r>
      <ns5:oMath>
        <ns5:r>
          <ns5:rPr>
            <ns5:sty ns5:val="p"/>
          </ns5:rPr>
          <ns5:t>Δ</ns5:t>
        </ns5:r>
        <ns5:r>
          <ns5:t>ρ</ns5:t>
        </ns5:r>
      </ns5:oMath>
      <w:r>
        <w:t xml:space="preserve"> </w:t>
      </w:r>
      <w:r>
        <w:t xml:space="preserve">was summarised by its mean, median, standard deviation and percentiles, and by the proportion of pixels with</w:t>
      </w:r>
      <w:r>
        <w:t xml:space="preserve"> </w:t>
      </w:r>
      <ns5:oMath>
        <ns5:r>
          <ns5:rPr>
            <ns5:sty ns5:val="p"/>
          </ns5:rPr>
          <ns5:t>|</ns5:t>
        </ns5:r>
        <ns5:r>
          <ns5:rPr>
            <ns5:sty ns5:val="p"/>
          </ns5:rPr>
          <ns5:t>Δ</ns5:t>
        </ns5:r>
        <ns5:r>
          <ns5:t>ρ</ns5:t>
        </ns5:r>
        <ns5:r>
          <ns5:rPr>
            <ns5:sty ns5:val="p"/>
          </ns5:rPr>
          <ns5:t>|</ns5:t>
        </ns5:r>
      </ns5:oMath>
      <w:r>
        <w:t xml:space="preserve"> </w:t>
      </w:r>
      <w:r>
        <w:t xml:space="preserve">above 0.01, 0.02, 0.05 and 0.10. To examine the spatial organisation of the differences, the most divergent 0.1% of pixels in each band (largest</w:t>
      </w:r>
      <w:r>
        <w:t xml:space="preserve"> </w:t>
      </w:r>
      <ns5:oMath>
        <ns5:r>
          <ns5:rPr>
            <ns5:sty ns5:val="p"/>
          </ns5:rPr>
          <ns5:t>|</ns5:t>
        </ns5:r>
        <ns5:r>
          <ns5:rPr>
            <ns5:sty ns5:val="p"/>
          </ns5:rPr>
          <ns5:t>Δ</ns5:t>
        </ns5:r>
        <ns5:r>
          <ns5:t>ρ</ns5:t>
        </ns5:r>
        <ns5:r>
          <ns5:rPr>
            <ns5:sty ns5:val="p"/>
          </ns5:rPr>
          <ns5:t>|</ns5:t>
        </ns5:r>
      </ns5:oMath>
      <w:r>
        <w:t xml:space="preserve">) were assigned to mutually exclusive strata: the intertidal zone (a polygon layer delineating the intertidal flats), SCL water, SCL vegetation and SCL bare surfaces outside that polygon, and other pixels. The share of each stratum in the scene and the exceedance rate within each stratum were also computed, so that the composition of the extreme pixels could be read against the area covered by each stratum. Dependence of</w:t>
      </w:r>
      <w:r>
        <w:t xml:space="preserve"> </w:t>
      </w:r>
      <ns5:oMath>
        <ns5:r>
          <ns5:rPr>
            <ns5:sty ns5:val="p"/>
          </ns5:rPr>
          <ns5:t>Δ</ns5:t>
        </ns5:r>
        <ns5:r>
          <ns5:t>ρ</ns5:t>
        </ns5:r>
      </ns5:oMath>
      <w:r>
        <w:t xml:space="preserve"> </w:t>
      </w:r>
      <w:r>
        <w:t xml:space="preserve">on surface brightness was examined by binning pixels according to Sen2Cor reflectance. As a check on resampling and edge effects, the analysis was repeated for the four native 10 m bands (B2, B3, B4 and B8) separately for SCL water and non-water pixels, after eroding the valid-pixel mask by one 10 m pixel.</w:t>
      </w:r>
    </w:p>
    <w:p>
      <w:pPr>
        <w:pStyle w:val="BodyText"/>
      </w:pPr>
      <w:r>
        <w:t xml:space="preserve">Six 3 × 3-pixel windows (30 × 30 m) were selected to illustrate paired spectral signatures. They were chosen by fixed rules applied to the image: the window of minimum Sen2Cor near-infrared (B8) reflectance among SCL water pixels (T1); the window of maximum Sen2Cor red (B4) reflectance among SCL water pixels (T2); the windows of minimum B8 and of maximum B4 reflectance within the intertidal polygon (T3 and T4); the window of maximum Sen2Cor NDVI among SCL vegetation pixels (T5); and the window of maximum B4 reflectance among SCL bare-surface pixels (T6). The window means of ACOLITE and Sen2Cor reflectance were compared band by band. The targets are image-derived strata and carry no field-verified habitat labels.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the comparison combines native resolutions.</w:t>
      </w:r>
    </w:p>
    <w:bookmarkEnd w:id="48"/>
    <w:bookmarkEnd w:id="49"/>
    <w:bookmarkStart w:id="73" w:name="results"/>
    <w:p>
      <w:pPr>
        <w:pStyle w:val="Heading1"/>
      </w:pPr>
      <w:r>
        <w:t xml:space="preserve">4. Results</w:t>
      </w:r>
    </w:p>
    <w:bookmarkStart w:id="60" w:name="match-ups-of-atmospheric-corrections"/>
    <w:p>
      <w:pPr>
        <w:pStyle w:val="Heading2"/>
      </w:pPr>
      <w:r>
        <w:t xml:space="preserve">4.1 Match-ups of atmospheric corrections</w:t>
      </w:r>
    </w:p>
    <w:p>
      <w:pPr>
        <w:pStyle w:val="FirstParagraph"/>
      </w:pPr>
      <w:r>
        <w:t xml:space="preserve">Both products reproduced the large reflectance contrast among surfaces (</w:t>
      </w:r>
      <w:hyperlink w:anchor="fig-matchup">
        <w:r>
          <w:rPr>
            <w:rStyle w:val="Hyperlink"/>
          </w:rPr>
          <w:t xml:space="preserve">Figure 3</w:t>
        </w:r>
      </w:hyperlink>
      <w:r>
        <w:t xml:space="preserve">), but ACOLITE was closer to the field reflectance. Over the 54 paired values, ACOLITE had an RMSD of 0.0417 (95% interval 0.0208–0.0618) and a mean bias of +0.0198 (−0.0005 to +0.0451), whereas Sen2Cor had an RMSD of 0.0656 (0.0345–0.0871) and a mean bias of +0.0499 (+0.0221 to +0.0778). The paired difference was</w:t>
      </w:r>
      <w:r>
        <w:t xml:space="preserve"> </w:t>
      </w:r>
      <ns5:oMath>
        <ns5:r>
          <ns5:rPr>
            <ns5:sty ns5:val="p"/>
          </ns5:rPr>
          <ns5:t>Δ</ns5:t>
        </ns5:r>
      </ns5:oMath>
      <w:r>
        <w:t xml:space="preserve">RMSD = +0.0239 (+0.0086 to +0.0467). The processor intervals overlapped, and with six stations the data do not support a formal test of a difference. Coefficients of determination were high for both products (Sen2Cor 0.94, ACOLITE 0.92) and were higher for the processor with the larger error, because</w:t>
      </w:r>
      <w:r>
        <w:t xml:space="preserve"> </w:t>
      </w:r>
      <ns5:oMath>
        <ns5:sSup>
          <ns5:e>
            <ns5:r>
              <ns5:t>R</ns5:t>
            </ns5:r>
          </ns5:e>
          <ns5:sup>
            <ns5:r>
              <ns5:t>2</ns5:t>
            </ns5:r>
          </ns5:sup>
        </ns5:sSup>
      </ns5:oMath>
      <w:r>
        <w:t xml:space="preserve"> </w:t>
      </w:r>
      <w:r>
        <w:t xml:space="preserve">follows the spectral contrast among surfaces and ignores the positive offset.</w:t>
      </w:r>
    </w:p>
    <w:bookmarkStart w:id="54" w:name="cell-fig-matchup"/>
    <w:tbl>
      <w:tblPr>
        <w:tblStyle w:val="Table"/>
        <w:tblW w:type="pct" w:w="5000"/>
        <w:tblLayout w:type="fixed"/>
        <w:tblLook w:firstRow="0" w:lastRow="0" w:firstColumn="0" w:lastColumn="0" w:noHBand="0" w:noVBand="0" w:val="0000"/>
      </w:tblPr>
      <w:tblGrid>
        <w:gridCol w:w="7920"/>
      </w:tblGrid>
      <w:tr>
        <w:tc>
          <w:tcPr/>
          <w:bookmarkStart w:id="53" w:name="fig-matchup"/>
          <w:p>
            <w:pPr>
              <w:pStyle w:val="Compact"/>
              <w:jc w:val="center"/>
            </w:pPr>
            <w:r>
              <w:drawing>
                <ns1:inline>
                  <ns1:extent cx="5943600" cy="3897307"/>
                  <ns1:effectExtent b="0" l="0" r="0" t="0"/>
                  <ns1:docPr descr="" title="" id="51" name="Picture"/>
                  <ns2:graphic>
                    <ns2:graphicData uri="http://schemas.openxmlformats.org/drawingml/2006/picture">
                      <ns3:pic>
                        <ns3:nvPicPr>
                          <ns3:cNvPr descr="figures/MatchupByBandAndSurface_Fig003.png" id="52" name="Picture"/>
                          <ns3:cNvPicPr>
                            <ns2:picLocks noChangeArrowheads="1" noChangeAspect="1"/>
                          </ns3:cNvPicPr>
                        </ns3:nvPicPr>
                        <ns3:blipFill>
                          <ns2:blip ns4:embed="rId50"/>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six stations and nine bands (54 values per panel). Point shape identifies the surface class and fill colour the band. The dashed line is the 1:1 line. RMSD and bias are given over all plotted values.</w:t>
            </w:r>
          </w:p>
          <w:bookmarkEnd w:id="53"/>
        </w:tc>
      </w:tr>
    </w:tbl>
    <w:bookmarkEnd w:id="54"/>
    <w:p>
      <w:pPr>
        <w:pStyle w:val="BodyText"/>
      </w:pPr>
      <w:r>
        <w:t xml:space="preserve">The difference between processors was expressed mainly as a bias. Sen2Cor reflectance was higher than the field reflectance in all nine bands (mean bias +0.024 in B1 to +0.071 in B5; band RMSD 0.030–0.081), whereas ACOLITE biases were smaller (+0.002 in B1 to +0.035 in B4; band RMSD 0.023–0.051) (</w:t>
      </w:r>
      <w:hyperlink w:anchor="fig-residuals">
        <w:r>
          <w:rPr>
            <w:rStyle w:val="Hyperlink"/>
          </w:rPr>
          <w:t xml:space="preserve">Figure 4</w:t>
        </w:r>
      </w:hyperlink>
      <w:r>
        <w:t xml:space="preserve">). ACOLITE had the lower RMSD at five of the six stations; Sen2Cor had the lower RMSD only at AC07 (0.0126 versus 0.0219). The contrast was concentrated at the brightest surface. Over white sand (AC06), Sen2Cor had an RMSD of 0.0950 and a bias of +0.0900, against 0.0229 and −0.0044 for ACOLITE; omitting AC06 reduced</w:t>
      </w:r>
      <w:r>
        <w:t xml:space="preserve"> </w:t>
      </w:r>
      <ns5:oMath>
        <ns5:r>
          <ns5:rPr>
            <ns5:sty ns5:val="p"/>
          </ns5:rPr>
          <ns5:t>Δ</ns5:t>
        </ns5:r>
      </ns5:oMath>
      <w:r>
        <w:t xml:space="preserve">RMSD from +0.0239 to +0.0135, whereas omitting any other station gave +0.0248 to +0.0279. Both processors were positively biased over dry sand (Sen2Cor +0.072; ACOLITE +0.051), the largest bias at any station being at AC02 (+0.098 and +0.076, respectively). Over the two seagrass stations, RMSD was 0.0331 for ACOLITE and 0.0403 for Sen2Cor. At these stations the mean ACOLITE residual was positive in B1–B5 (+0.011 to +0.046) and negative in B6–B8A (−0.015 to −0.024), whereas the mean Sen2Cor residual was positive in B1–B5 (+0.014 to +0.054) and between −0.009 and +0.007 in B6–B8A. Values for each surface class are given in</w:t>
      </w:r>
      <w:r>
        <w:t xml:space="preserve"> </w:t>
      </w:r>
      <w:hyperlink w:anchor="tbl-s2-surface">
        <w:r>
          <w:rPr>
            <w:rStyle w:val="Hyperlink"/>
          </w:rPr>
          <w:t xml:space="preserve">Table 1</w:t>
        </w:r>
      </w:hyperlink>
      <w:r>
        <w:t xml:space="preserve">; each class is represented by one or two stations, so these values are descriptive. The causes of the positive bias were not tested. Adjacency from bright neighbouring surfaces, the tidal state and surface moisture at the time of the overpass, the difference between the ASD footprint and the 10–60 m pixels, and the resampled 60 m B1 band are plausible contributors.</w:t>
      </w:r>
    </w:p>
    <w:bookmarkStart w:id="59" w:name="cell-fig-residuals"/>
    <w:tbl>
      <w:tblPr>
        <w:tblStyle w:val="Table"/>
        <w:tblW w:type="pct" w:w="5000"/>
        <w:tblLayout w:type="fixed"/>
        <w:tblLook w:firstRow="0" w:lastRow="0" w:firstColumn="0" w:lastColumn="0" w:noHBand="0" w:noVBand="0" w:val="0000"/>
      </w:tblPr>
      <w:tblGrid>
        <w:gridCol w:w="7920"/>
      </w:tblGrid>
      <w:tr>
        <w:tc>
          <w:tcPr/>
          <w:bookmarkStart w:id="58" w:name="fig-residuals"/>
          <w:p>
            <w:pPr>
              <w:pStyle w:val="Compact"/>
              <w:jc w:val="center"/>
            </w:pPr>
            <w:r>
              <w:drawing>
                <ns1:inline>
                  <ns1:extent cx="5943600" cy="3897307"/>
                  <ns1:effectExtent b="0" l="0" r="0" t="0"/>
                  <ns1:docPr descr="" title="" id="56" name="Picture"/>
                  <ns2:graphic>
                    <ns2:graphicData uri="http://schemas.openxmlformats.org/drawingml/2006/picture">
                      <ns3:pic>
                        <ns3:nvPicPr>
                          <ns3:cNvPr descr="figures/ResidualBoxplotsByBand_Fig004.png" id="57" name="Picture"/>
                          <ns3:cNvPicPr>
                            <ns2:picLocks noChangeArrowheads="1" noChangeAspect="1"/>
                          </ns3:cNvPicPr>
                        </ns3:nvPicPr>
                        <ns3:blipFill>
                          <ns2:blip ns4:embed="rId55"/>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8"/>
        </w:tc>
      </w:tr>
    </w:tbl>
    <w:bookmarkEnd w:id="59"/>
    <w:p>
      <w:pPr>
        <w:pStyle w:val="BodyText"/>
      </w:pPr>
      <w:r>
        <w:t xml:space="preserve">Spectral shape was preserved at most stations. The median spectral angle between the satellite and field spectra was 2.59° for ACOLITE and 2.83° for Sen2Cor. Five stations had angles below 4° for both processors, whereas AC08 departed from this pattern (12.6° for ACOLITE; 13.7° for Sen2Cor): satellite reflectance in B3 was 0.148–0.169 against a field value of 0.086, while B8A agreed closely (0.240–0.256 against 0.248).</w:t>
      </w:r>
    </w:p>
    <w:bookmarkEnd w:id="60"/>
    <w:bookmarkStart w:id="61" w:name="X303d2b14c236b9d953bb95a4ca513de570d2236"/>
    <w:p>
      <w:pPr>
        <w:pStyle w:val="Heading2"/>
      </w:pPr>
      <w:r>
        <w:t xml:space="preserve">4.2 Sensitivity of the match-up to analytical choices</w:t>
      </w:r>
    </w:p>
    <w:p>
      <w:pPr>
        <w:pStyle w:val="FirstParagraph"/>
      </w:pPr>
      <w:r>
        <w:t xml:space="preserve">Extraction on a common 10 m grid left the result for ACOLITE unchanged (RMSD 0.0417 with nearest-neighbour and bilinear sampling) and gave an RMSD for Sen2Cor of 0.0656 with nearest-neighbour and 0.0666 with bilinear sampling. Using the mean of 3 × 3 pixels gave an RMSD of 0.0423 for ACOLITE and 0.0649 (nearest neighbour) and 0.0622 (bilinear) for Sen2Cor. The sign of</w:t>
      </w:r>
      <w:r>
        <w:t xml:space="preserve"> </w:t>
      </w:r>
      <ns5:oMath>
        <ns5:r>
          <ns5:rPr>
            <ns5:sty ns5:val="p"/>
          </ns5:rPr>
          <ns5:t>Δ</ns5:t>
        </ns5:r>
      </ns5:oMath>
      <w:r>
        <w:t xml:space="preserve">RMSD was positive in all variants (+0.0199 to +0.0249). These variants share the same six stations and therefore do not address the limited number of independent stations or the absence of an external validation data set.</w:t>
      </w:r>
    </w:p>
    <w:bookmarkEnd w:id="61"/>
    <w:bookmarkStart w:id="72" w:name="Xe1658e3d4fc87e85ccd7b229192050ec6ceaa96"/>
    <w:p>
      <w:pPr>
        <w:pStyle w:val="Heading2"/>
      </w:pPr>
      <w:r>
        <w:t xml:space="preserve">4.3 Pixel-wise comparison of Sen2Cor and ACOLITE reflectance</w:t>
      </w:r>
    </w:p>
    <w:p>
      <w:pPr>
        <w:pStyle w:val="FirstParagraph"/>
      </w:pPr>
      <w:r>
        <w:t xml:space="preserve">Approximately 7.31 million pixels per band were valid in both products. The scene-wide mean of</w:t>
      </w:r>
      <w:r>
        <w:t xml:space="preserve"> </w:t>
      </w:r>
      <ns5:oMath>
        <ns5:r>
          <ns5:rPr>
            <ns5:sty ns5:val="p"/>
          </ns5:rPr>
          <ns5:t>Δ</ns5:t>
        </ns5:r>
        <ns5:r>
          <ns5:t>ρ</ns5:t>
        </ns5:r>
      </ns5:oMath>
      <w:r>
        <w:t xml:space="preserve"> </w:t>
      </w:r>
      <w:r>
        <w:t xml:space="preserve">was slightly negative in every band, from −0.0009 (B8A) to −0.0089 (B5), and its standard deviation ranged from 0.0072 (B1) to 0.0147 (B5). Absolute differences exceeded 0.01 in 14.8% (B8A) to 33.0% (B2) of pixels, exceeded 0.05 in 0.03% (B1) to 2.4% (B5) of pixels, and exceeded 0.10 in no more than 0.015% of pixels in any band. The small scene-wide means conceal marked spatial structure (</w:t>
      </w:r>
      <w:hyperlink w:anchor="fig-pixel-maps">
        <w:r>
          <w:rPr>
            <w:rStyle w:val="Hyperlink"/>
          </w:rPr>
          <w:t xml:space="preserve">Figure 5</w:t>
        </w:r>
      </w:hyperlink>
      <w:r>
        <w:t xml:space="preserve">). In all bands the differences were spatially coherent rather than random, and were organised along coastlines, tidal channels and the margins of the intertidal flats, where narrow bands of positive</w:t>
      </w:r>
      <w:r>
        <w:t xml:space="preserve"> </w:t>
      </w:r>
      <ns5:oMath>
        <ns5:r>
          <ns5:rPr>
            <ns5:sty ns5:val="p"/>
          </ns5:rPr>
          <ns5:t>Δ</ns5:t>
        </ns5:r>
        <ns5:r>
          <ns5:t>ρ</ns5:t>
        </ns5:r>
      </ns5:oMath>
      <w:r>
        <w:t xml:space="preserve"> </w:t>
      </w:r>
      <w:r>
        <w:t xml:space="preserve">lay beside areas of negative</w:t>
      </w:r>
      <w:r>
        <w:t xml:space="preserve"> </w:t>
      </w:r>
      <ns5:oMath>
        <ns5:r>
          <ns5:rPr>
            <ns5:sty ns5:val="p"/>
          </ns5:rPr>
          <ns5:t>Δ</ns5:t>
        </ns5:r>
        <ns5:r>
          <ns5:t>ρ</ns5:t>
        </ns5:r>
      </ns5:oMath>
      <w:r>
        <w:t xml:space="preserve"> </w:t>
      </w:r>
      <w:r>
        <w:t xml:space="preserve">in the visible and near-infrared bands. Negative differences of largest magnitude occurred over extensive areas in the south and east of the scene, most clearly in B5.</w:t>
      </w:r>
    </w:p>
    <w:p>
      <w:pPr>
        <w:pStyle w:val="BodyText"/>
      </w:pPr>
      <w:r>
        <w:t xml:space="preserve">The composition of the largest differences reflected this pattern. In B1–B7, 69.2–91.9% of the most divergent 0.1% of pixels were SCL bare surfaces outside the intertidal polygon and 5.7–27.4% lay within it, although bare surfaces covered 16.2% of valid pixels, the intertidal polygon 33.1% and SCL water outside the polygon 50.7%. The within-stratum exceedance rate was accordingly 0.43–0.57% for bare surfaces and 0.005–0.083% for the water and intertidal strata. In B5, the mean</w:t>
      </w:r>
      <w:r>
        <w:t xml:space="preserve"> </w:t>
      </w:r>
      <ns5:oMath>
        <ns5:r>
          <ns5:rPr>
            <ns5:sty ns5:val="p"/>
          </ns5:rPr>
          <ns5:t>Δ</ns5:t>
        </ns5:r>
        <ns5:r>
          <ns5:t>ρ</ns5:t>
        </ns5:r>
      </ns5:oMath>
      <w:r>
        <w:t xml:space="preserve"> </w:t>
      </w:r>
      <w:r>
        <w:t xml:space="preserve">was −0.029 over bare surfaces, −0.009 over the intertidal polygon and −0.002 over SCL water. The sign of the difference depended on surface brightness. In B4, the mean</w:t>
      </w:r>
      <w:r>
        <w:t xml:space="preserve"> </w:t>
      </w:r>
      <ns5:oMath>
        <ns5:r>
          <ns5:rPr>
            <ns5:sty ns5:val="p"/>
          </ns5:rPr>
          <ns5:t>Δ</ns5:t>
        </ns5:r>
        <ns5:r>
          <ns5:t>ρ</ns5:t>
        </ns5:r>
      </ns5:oMath>
      <w:r>
        <w:t xml:space="preserve"> </w:t>
      </w:r>
      <w:r>
        <w:t xml:space="preserve">was +0.032 where Sen2Cor reflectance was negative, +0.012 where it was between 0 and 0.01, and −0.012 where it exceeded 0.4. The corresponding values in B8 were +0.019, +0.005 and −0.024. Sen2Cor produced negative reflectance in 0.001% (B3) to 0.86% (B6) of pixels, equivalent to 62,529 pixels in B6, whereas ACOLITE produced at most four negative pixels in any band. When the valid-pixel mask was eroded by one pixel, the mean</w:t>
      </w:r>
      <w:r>
        <w:t xml:space="preserve"> </w:t>
      </w:r>
      <ns5:oMath>
        <ns5:r>
          <ns5:rPr>
            <ns5:sty ns5:val="p"/>
          </ns5:rPr>
          <ns5:t>Δ</ns5:t>
        </ns5:r>
        <ns5:r>
          <ns5:t>ρ</ns5:t>
        </ns5:r>
      </ns5:oMath>
      <w:r>
        <w:t xml:space="preserve"> </w:t>
      </w:r>
      <w:r>
        <w:t xml:space="preserve">of the four native 10 m bands remained negative for both SCL water (−0.0019 in B4 to −0.0069 in B2) and non-water pixels (−0.0060 in B3 and B4 to −0.0173 in B8).</w:t>
      </w:r>
    </w:p>
    <w:p>
      <w:pPr>
        <w:pStyle w:val="BodyText"/>
      </w:pPr>
      <w:r>
        <w:t xml:space="preserve">The paired spectra of the six target windows are shown in</w:t>
      </w:r>
      <w:r>
        <w:t xml:space="preserve"> </w:t>
      </w:r>
      <w:hyperlink w:anchor="fig-pixel-spectra">
        <w:r>
          <w:rPr>
            <w:rStyle w:val="Hyperlink"/>
          </w:rPr>
          <w:t xml:space="preserve">Figure 6</w:t>
        </w:r>
      </w:hyperlink>
      <w:r>
        <w:t xml:space="preserve">. Over the dark targets T1 (dark SCL water) and T3 (dark intertidal), ACOLITE reflectance exceeded Sen2Cor reflectance by 0.015–0.033 from B1 to B8A. Sen2Cor reflectance was negative at T1 in B4–B8A (down to −0.013 in B6) and at T3 in B6–B8A (down to −0.011 in B6), whereas ACOLITE reflectance was positive in all bands at both targets. Over the bright targets T2, T4 and T6, ACOLITE reflectance was lower than Sen2Cor reflectance in every band. The differences were largest in the red-edge and visible bands (T6, −0.153 in B5; T2, −0.121 in B2; T4, −0.086 in B5) and smallest in B1 for T4 (−0.008). The shapes of the two spectra were similar at these targets, with the same increase from blue to near-infrared. At the vegetation target T5, both products showed the red-edge increase and near-infrared plateau, with ACOLITE reflectance higher by 0.019–0.028 in B1–B4 and by 0.002–0.010 in B5–B8A (0.002 in B8). These comparisons describe the disagreement between the processors; because no independent reference is available at the pixel scale, they do not show which product is more accurate.</w:t>
      </w:r>
    </w:p>
    <w:bookmarkStart w:id="66" w:name="cell-fig-pixel-maps"/>
    <w:tbl>
      <w:tblPr>
        <w:tblStyle w:val="Table"/>
        <w:tblW w:type="pct" w:w="5000"/>
        <w:tblLayout w:type="fixed"/>
        <w:tblLook w:firstRow="0" w:lastRow="0" w:firstColumn="0" w:lastColumn="0" w:noHBand="0" w:noVBand="0" w:val="0000"/>
      </w:tblPr>
      <w:tblGrid>
        <w:gridCol w:w="7920"/>
      </w:tblGrid>
      <w:tr>
        <w:tc>
          <w:tcPr/>
          <w:bookmarkStart w:id="65" w:name="fig-pixel-maps"/>
          <w:p>
            <w:pPr>
              <w:pStyle w:val="Compact"/>
              <w:jc w:val="center"/>
            </w:pPr>
            <w:r>
              <w:drawing>
                <ns1:inline>
                  <ns1:extent cx="5943600" cy="3508126"/>
                  <ns1:effectExtent b="0" l="0" r="0" t="0"/>
                  <ns1:docPr descr="" title="" id="63" name="Picture"/>
                  <ns2:graphic>
                    <ns2:graphicData uri="http://schemas.openxmlformats.org/drawingml/2006/picture">
                      <ns3:pic>
                        <ns3:nvPicPr>
                          <ns3:cNvPr descr="figures/CorrectionDifferenceMaps_Fig005.png" id="64" name="Picture"/>
                          <ns3:cNvPicPr>
                            <ns2:picLocks noChangeArrowheads="1" noChangeAspect="1"/>
                          </ns3:cNvPicPr>
                        </ns3:nvPicPr>
                        <ns3:blipFill>
                          <ns2:blip ns4:embed="rId62"/>
                          <ns2:stretch>
                            <ns2:fillRect/>
                          </ns2:stretch>
                        </ns3:blipFill>
                        <ns3:spPr bwMode="auto">
                          <ns2:xfrm>
                            <ns2:off x="0" y="0"/>
                            <ns2:ext cx="5943600" cy="3508126"/>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for bands B1–B8A of the Sentinel-2B scene of 27 March 2026. All panels share one diverging colour scale centred on zero: blue indicates lower and red higher ACOLITE reflectance, and values beyond ±0.06 are saturated. Maps are displayed as 50 m block means of the 10 m differences. The last panel locates the six target windows (T1–T6) over the intertidal flats (beige); coordinates are in km (WGS 84 / UTM zone 28N).</w:t>
            </w:r>
          </w:p>
          <w:bookmarkEnd w:id="65"/>
        </w:tc>
      </w:tr>
    </w:tbl>
    <w:bookmarkEnd w:id="66"/>
    <w:bookmarkStart w:id="71" w:name="cell-fig-pixel-spectra"/>
    <w:tbl>
      <w:tblPr>
        <w:tblStyle w:val="Table"/>
        <w:tblW w:type="pct" w:w="5000"/>
        <w:tblLayout w:type="fixed"/>
        <w:tblLook w:firstRow="0" w:lastRow="0" w:firstColumn="0" w:lastColumn="0" w:noHBand="0" w:noVBand="0" w:val="0000"/>
      </w:tblPr>
      <w:tblGrid>
        <w:gridCol w:w="7920"/>
      </w:tblGrid>
      <w:tr>
        <w:tc>
          <w:tcPr/>
          <w:bookmarkStart w:id="70" w:name="fig-pixel-spectra"/>
          <w:p>
            <w:pPr>
              <w:pStyle w:val="Compact"/>
              <w:jc w:val="center"/>
            </w:pPr>
            <w:r>
              <w:drawing>
                <ns1:inline>
                  <ns1:extent cx="5943600" cy="4612409"/>
                  <ns1:effectExtent b="0" l="0" r="0" t="0"/>
                  <ns1:docPr descr="" title="" id="68" name="Picture"/>
                  <ns2:graphic>
                    <ns2:graphicData uri="http://schemas.openxmlformats.org/drawingml/2006/picture">
                      <ns3:pic>
                        <ns3:nvPicPr>
                          <ns3:cNvPr descr="figures/TargetSpectralSignatures_Fig006.png" id="69" name="Picture"/>
                          <ns3:cNvPicPr>
                            <ns2:picLocks noChangeArrowheads="1" noChangeAspect="1"/>
                          </ns3:cNvPicPr>
                        </ns3:nvPicPr>
                        <ns3:blipFill>
                          <ns2:blip ns4:embed="rId67"/>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bands B1–B8A for six 3 × 3-pixel target windows (T1–T6; locations in</w:t>
            </w:r>
            <w:r>
              <w:t xml:space="preserve"> </w:t>
            </w:r>
            <w:hyperlink w:anchor="fig-pixel-maps">
              <w:r>
                <w:rPr>
                  <w:rStyle w:val="Hyperlink"/>
                </w:rPr>
                <w:t xml:space="preserve">Figure 5</w:t>
              </w:r>
            </w:hyperlink>
            <w:r>
              <w:t xml:space="preserve">). Targets were selected from the image at extreme Sen2Cor values, as described in Methods. The vertical axis differs among panels, and the dotted line marks zero reflectance. *T2 is classified as water by the Sen2Cor scene classification but has high reflectance.</w:t>
            </w:r>
          </w:p>
          <w:bookmarkEnd w:id="70"/>
        </w:tc>
      </w:tr>
    </w:tbl>
    <w:bookmarkEnd w:id="71"/>
    <w:p>
      <w:r>
        <w:pict>
          <ns6:rect style="width:0;height:1.5pt" ns7:hralign="center" ns7:hrstd="t" ns7:hr="t"/>
        </w:pict>
      </w:r>
    </w:p>
    <w:bookmarkEnd w:id="72"/>
    <w:bookmarkEnd w:id="73"/>
    <w:bookmarkStart w:id="144"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74" w:name="tbl-s2-surface"/>
          <w:p>
            <w:pPr>
              <w:jc w:val="center"/>
            </w:pPr>
            <w:pPr>
              <w:jc w:val="left"/>
              <w:spacing w:before="200"/>
              <w:pStyle w:val="ImageCaption"/>
            </w:pPr>
            <w:r>
              <w:t xml:space="preserve">Table 1: Descriptive agreement by surface class for the six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74"/>
          <w:p/>
        </w:tc>
      </w:tr>
    </w:tbl>
    <w:bookmarkStart w:id="143" w:name="refs"/>
    <w:bookmarkStart w:id="76" w:name="ref-Barbier2011Value"/>
    <w:p>
      <w:pPr>
        <w:pStyle w:val="Bibliography"/>
      </w:pPr>
      <w:bookmarkStart w:id="147"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47"/>
    </w:p>
    <w:bookmarkEnd w:id="76"/>
    <w:bookmarkStart w:id="78" w:name="ref-Bui2022Evaluation"/>
    <w:p>
      <w:pPr>
        <w:pStyle w:val="Bibliography"/>
      </w:pPr>
      <w:bookmarkStart w:id="170"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70"/>
    </w:p>
    <w:bookmarkEnd w:id="78"/>
    <w:bookmarkStart w:id="80" w:name="ref-Davies2023Spectral"/>
    <w:p>
      <w:pPr>
        <w:pStyle w:val="Bibliography"/>
      </w:pPr>
      <w:bookmarkStart w:id="171"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71"/>
    </w:p>
    <w:bookmarkEnd w:id="80"/>
    <w:bookmarkStart w:id="82"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82"/>
    <w:bookmarkStart w:id="84" w:name="ref-Davies2024Trajectories"/>
    <w:p>
      <w:pPr>
        <w:pStyle w:val="Bibliography"/>
      </w:pPr>
      <w:bookmarkStart w:id="173" w:name="bibref_29"/>
      <w:bookmarkStart w:id="172"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72"/>
      <w:bookmarkEnd w:id="173"/>
    </w:p>
    <w:bookmarkEnd w:id="84"/>
    <w:bookmarkStart w:id="86" w:name="ref-deFouw2016Drought"/>
    <w:p>
      <w:pPr>
        <w:pStyle w:val="Bibliography"/>
      </w:pPr>
      <w:bookmarkStart w:id="157"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57"/>
    </w:p>
    <w:bookmarkEnd w:id="86"/>
    <w:bookmarkStart w:id="88" w:name="ref-Doxani2023ACIX"/>
    <w:p>
      <w:pPr>
        <w:pStyle w:val="Bibliography"/>
      </w:pPr>
      <w:bookmarkStart w:id="165"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65"/>
    </w:p>
    <w:bookmarkEnd w:id="88"/>
    <w:bookmarkStart w:id="90" w:name="ref-Duffy2019Observing"/>
    <w:p>
      <w:pPr>
        <w:pStyle w:val="Bibliography"/>
      </w:pPr>
      <w:bookmarkStart w:id="152"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52"/>
    </w:p>
    <w:bookmarkEnd w:id="90"/>
    <w:bookmarkStart w:id="92" w:name="ref-Dunic2021Declines"/>
    <w:p>
      <w:pPr>
        <w:pStyle w:val="Bibliography"/>
      </w:pPr>
      <w:bookmarkStart w:id="151"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51"/>
    </w:p>
    <w:bookmarkEnd w:id="92"/>
    <w:bookmarkStart w:id="94" w:name="ref-ElHacen2020LongTerm"/>
    <w:p>
      <w:pPr>
        <w:pStyle w:val="Bibliography"/>
      </w:pPr>
      <w:bookmarkStart w:id="156"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56"/>
    </w:p>
    <w:bookmarkEnd w:id="94"/>
    <w:bookmarkStart w:id="96" w:name="ref-ESA2021Sen2CorATBD"/>
    <w:p>
      <w:pPr>
        <w:pStyle w:val="Bibliography"/>
      </w:pPr>
      <w:bookmarkStart w:id="167"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67"/>
    </w:p>
    <w:bookmarkEnd w:id="96"/>
    <w:bookmarkStart w:id="98"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98"/>
    <w:bookmarkStart w:id="100" w:name="ref-Fourqurean2012Carbon"/>
    <w:p>
      <w:pPr>
        <w:pStyle w:val="Bibliography"/>
      </w:pPr>
      <w:bookmarkStart w:id="149"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49"/>
    </w:p>
    <w:bookmarkEnd w:id="100"/>
    <w:bookmarkStart w:id="102" w:name="ref-Friese2016ParticleSize"/>
    <w:p>
      <w:pPr>
        <w:pStyle w:val="Bibliography"/>
      </w:pPr>
      <w:bookmarkStart w:id="162"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62"/>
    </w:p>
    <w:bookmarkEnd w:id="102"/>
    <w:bookmarkStart w:id="104" w:name="ref-Friese2017Provenance"/>
    <w:p>
      <w:pPr>
        <w:pStyle w:val="Bibliography"/>
      </w:pPr>
      <w:bookmarkStart w:id="161"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61"/>
    </w:p>
    <w:bookmarkEnd w:id="104"/>
    <w:bookmarkStart w:id="106" w:name="ref-Kaufman2002Aerosols"/>
    <w:p>
      <w:pPr>
        <w:pStyle w:val="Bibliography"/>
      </w:pPr>
      <w:bookmarkStart w:id="164" w:name="bibref_20"/>
      <w:r>
        <w:t xml:space="preserve">Kaufman, Y.J., Tanré, D., Boucher, O., 2002. A satellite view of aerosols in the climate system. Nature 419, 215–223.</w:t>
      </w:r>
      <w:r>
        <w:t xml:space="preserve"> </w:t>
      </w:r>
      <w:r>
        <w:t xml:space="preserve">https://doi.org/10.1038/nature01091</w:t>
      </w:r>
      <w:bookmarkEnd w:id="164"/>
    </w:p>
    <w:bookmarkEnd w:id="106"/>
    <w:bookmarkStart w:id="108" w:name="ref-Knippertz2012Dust"/>
    <w:p>
      <w:pPr>
        <w:pStyle w:val="Bibliography"/>
      </w:pPr>
      <w:bookmarkStart w:id="159"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59"/>
    </w:p>
    <w:bookmarkEnd w:id="108"/>
    <w:bookmarkStart w:id="110" w:name="ref-Lyons2013TimeSeries"/>
    <w:p>
      <w:pPr>
        <w:pStyle w:val="Bibliography"/>
      </w:pPr>
      <w:bookmarkStart w:id="174"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74"/>
    </w:p>
    <w:bookmarkEnd w:id="110"/>
    <w:bookmarkStart w:id="112" w:name="ref-MainKnorn2017Sen2Cor"/>
    <w:p>
      <w:pPr>
        <w:pStyle w:val="Bibliography"/>
      </w:pPr>
      <w:bookmarkStart w:id="166"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66"/>
    </w:p>
    <w:bookmarkEnd w:id="112"/>
    <w:bookmarkStart w:id="114" w:name="ref-Moulin2001Dust"/>
    <w:p>
      <w:pPr>
        <w:pStyle w:val="Bibliography"/>
      </w:pPr>
      <w:bookmarkStart w:id="168"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68"/>
    </w:p>
    <w:bookmarkEnd w:id="114"/>
    <w:bookmarkStart w:id="116" w:name="ref-Nordlund2016SeagrassServices"/>
    <w:p>
      <w:pPr>
        <w:pStyle w:val="Bibliography"/>
      </w:pPr>
      <w:bookmarkStart w:id="148"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48"/>
    </w:p>
    <w:bookmarkEnd w:id="116"/>
    <w:bookmarkStart w:id="118" w:name="ref-Orth2006Crisis"/>
    <w:p>
      <w:pPr>
        <w:pStyle w:val="Bibliography"/>
      </w:pPr>
      <w:bookmarkStart w:id="145"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45"/>
    </w:p>
    <w:bookmarkEnd w:id="118"/>
    <w:bookmarkStart w:id="119" w:name="ref-ould1993wind"/>
    <w:p>
      <w:pPr>
        <w:pStyle w:val="Bibliography"/>
      </w:pPr>
      <w:bookmarkStart w:id="158" w:name="bibref_14"/>
      <w:r>
        <w:t xml:space="preserve">Ould Dedah, S., 1993. Wind, surface water temperature, surface salinity and pollution in the area of the banc d’arguin, mauritania. Hydrobiologia 258, 9–19.</w:t>
      </w:r>
      <w:bookmarkEnd w:id="158"/>
    </w:p>
    <w:bookmarkEnd w:id="119"/>
    <w:bookmarkStart w:id="121" w:name="ref-Pottier2021Mapping"/>
    <w:p>
      <w:pPr>
        <w:pStyle w:val="Bibliography"/>
      </w:pPr>
      <w:bookmarkStart w:id="154"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54"/>
    </w:p>
    <w:bookmarkEnd w:id="121"/>
    <w:bookmarkStart w:id="123" w:name="ref-Roelfsema2014Multitemporal"/>
    <w:p>
      <w:pPr>
        <w:pStyle w:val="Bibliography"/>
      </w:pPr>
      <w:bookmarkStart w:id="175"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75"/>
    </w:p>
    <w:bookmarkEnd w:id="123"/>
    <w:bookmarkStart w:id="125" w:name="ref-Senghor2017SeasonalCycle"/>
    <w:p>
      <w:pPr>
        <w:pStyle w:val="Bibliography"/>
      </w:pPr>
      <w:bookmarkStart w:id="160"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60"/>
    </w:p>
    <w:bookmarkEnd w:id="125"/>
    <w:bookmarkStart w:id="127" w:name="ref-Song2001Atmospheric"/>
    <w:p>
      <w:pPr>
        <w:pStyle w:val="Bibliography"/>
      </w:pPr>
      <w:bookmarkStart w:id="163"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63"/>
    </w:p>
    <w:bookmarkEnd w:id="127"/>
    <w:bookmarkStart w:id="129" w:name="ref-Unsworth2019Challenges"/>
    <w:p>
      <w:pPr>
        <w:pStyle w:val="Bibliography"/>
      </w:pPr>
      <w:bookmarkStart w:id="150"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50"/>
    </w:p>
    <w:bookmarkEnd w:id="129"/>
    <w:bookmarkStart w:id="131" w:name="ref-vanderHeide2012Symbiosis"/>
    <w:p>
      <w:pPr>
        <w:pStyle w:val="Bibliography"/>
      </w:pPr>
      <w:bookmarkStart w:id="155"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55"/>
    </w:p>
    <w:bookmarkEnd w:id="131"/>
    <w:bookmarkStart w:id="133" w:name="ref-Vanhellemont2019DSF"/>
    <w:p>
      <w:pPr>
        <w:pStyle w:val="Bibliography"/>
      </w:pPr>
      <w:bookmarkStart w:id="177"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77"/>
    </w:p>
    <w:bookmarkEnd w:id="133"/>
    <w:bookmarkStart w:id="135"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35"/>
    <w:bookmarkStart w:id="137" w:name="ref-Warren2019Assessment"/>
    <w:p>
      <w:pPr>
        <w:pStyle w:val="Bibliography"/>
      </w:pPr>
      <w:bookmarkStart w:id="169"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69"/>
    </w:p>
    <w:bookmarkEnd w:id="137"/>
    <w:bookmarkStart w:id="139" w:name="ref-Waycott2009Loss"/>
    <w:p>
      <w:pPr>
        <w:pStyle w:val="Bibliography"/>
      </w:pPr>
      <w:bookmarkStart w:id="146"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46"/>
    </w:p>
    <w:bookmarkEnd w:id="139"/>
    <w:bookmarkStart w:id="140" w:name="ref-Wehrli1985Extraterrestrial"/>
    <w:p>
      <w:pPr>
        <w:pStyle w:val="Bibliography"/>
      </w:pPr>
      <w:bookmarkStart w:id="176" w:name="bibref_32"/>
      <w:r>
        <w:t xml:space="preserve">Wehrli, C., 1985. Extraterrestrial solar spectrum (Publication No. 615). Physikalisch-Meteorologisches Observatorium Davos; World Radiation Center, Davos Dorf, Switzerland.</w:t>
      </w:r>
      <w:bookmarkEnd w:id="176"/>
    </w:p>
    <w:bookmarkEnd w:id="140"/>
    <w:bookmarkStart w:id="142" w:name="ref-Wolff1993Banc"/>
    <w:p>
      <w:pPr>
        <w:pStyle w:val="Bibliography"/>
      </w:pPr>
      <w:bookmarkStart w:id="153"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53"/>
    </w:p>
    <w:bookmarkEnd w:id="142"/>
    <w:bookmarkEnd w:id="143"/>
    <w:bookmarkEnd w:id="144"/>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2" Target="media/rId62.png" /><ns0:Relationship Type="http://schemas.openxmlformats.org/officeDocument/2006/relationships/image" Id="rId40" Target="media/rId40.png" /><ns0:Relationship Type="http://schemas.openxmlformats.org/officeDocument/2006/relationships/image" Id="rId50" Target="media/rId50.png" /><ns0:Relationship Type="http://schemas.openxmlformats.org/officeDocument/2006/relationships/image" Id="rId55" Target="media/rId55.png" /><ns0:Relationship Type="http://schemas.openxmlformats.org/officeDocument/2006/relationships/image" Id="rId35" Target="media/rId35.png" /><ns0:Relationship Type="http://schemas.openxmlformats.org/officeDocument/2006/relationships/image" Id="rId67" Target="media/rId67.png" /></ns0:Relationships>
</file>

<file path=word/_rels/footnotes.xml.rels><?xml version="1.0" encoding="UTF-8"?><Relationships xmlns="http://schemas.openxmlformats.org/package/2006/relationships"><Relationship Type="http://schemas.openxmlformats.org/officeDocument/2006/relationships/hyperlink" Id="rId141" Target="https://doi.org/10.1007/BF00006198" TargetMode="External" /><Relationship Type="http://schemas.openxmlformats.org/officeDocument/2006/relationships/hyperlink" Id="rId128" Target="https://doi.org/10.1007/s13280-018-1115-y" TargetMode="External" /><Relationship Type="http://schemas.openxmlformats.org/officeDocument/2006/relationships/hyperlink" Id="rId126" Target="https://doi.org/10.1016/S0034-4257(00)00169-3" TargetMode="External" /><Relationship Type="http://schemas.openxmlformats.org/officeDocument/2006/relationships/hyperlink" Id="rId101" Target="https://doi.org/10.1016/j.aeolia.2016.04.005" TargetMode="External" /><Relationship Type="http://schemas.openxmlformats.org/officeDocument/2006/relationships/hyperlink" Id="rId85" Target="https://doi.org/10.1016/j.cub.2016.02.023" TargetMode="External" /><Relationship Type="http://schemas.openxmlformats.org/officeDocument/2006/relationships/hyperlink" Id="rId109" Target="https://doi.org/10.1016/j.ecss.2013.01.015" TargetMode="External" /><Relationship Type="http://schemas.openxmlformats.org/officeDocument/2006/relationships/hyperlink" Id="rId93" Target="https://doi.org/10.1016/j.gecco.2020.e01364" TargetMode="External" /><Relationship Type="http://schemas.openxmlformats.org/officeDocument/2006/relationships/hyperlink" Id="rId120" Target="https://doi.org/10.1016/j.jag.2021.102419" TargetMode="External" /><Relationship Type="http://schemas.openxmlformats.org/officeDocument/2006/relationships/hyperlink" Id="rId122" Target="https://doi.org/10.1016/j.rse.2014.05.001" TargetMode="External" /><Relationship Type="http://schemas.openxmlformats.org/officeDocument/2006/relationships/hyperlink" Id="rId134" Target="https://doi.org/10.1016/j.rse.2018.07.015" TargetMode="External" /><Relationship Type="http://schemas.openxmlformats.org/officeDocument/2006/relationships/hyperlink" Id="rId132" Target="https://doi.org/10.1016/j.rse.2019.03.010" TargetMode="External" /><Relationship Type="http://schemas.openxmlformats.org/officeDocument/2006/relationships/hyperlink" Id="rId136" Target="https://doi.org/10.1016/j.rse.2019.03.018" TargetMode="External" /><Relationship Type="http://schemas.openxmlformats.org/officeDocument/2006/relationships/hyperlink" Id="rId87" Target="https://doi.org/10.1016/j.rse.2022.113412" TargetMode="External" /><Relationship Type="http://schemas.openxmlformats.org/officeDocument/2006/relationships/hyperlink" Id="rId79" Target="https://doi.org/10.1016/j.rse.2023.113554" TargetMode="External" /><Relationship Type="http://schemas.openxmlformats.org/officeDocument/2006/relationships/hyperlink" Id="rId83" Target="https://doi.org/10.1016/j.rse.2024.114340" TargetMode="External" /><Relationship Type="http://schemas.openxmlformats.org/officeDocument/2006/relationships/hyperlink" Id="rId113" Target="https://doi.org/10.1029/2000GL011803" TargetMode="External" /><Relationship Type="http://schemas.openxmlformats.org/officeDocument/2006/relationships/hyperlink" Id="rId107" Target="https://doi.org/10.1029/2011RG000362" TargetMode="External" /><Relationship Type="http://schemas.openxmlformats.org/officeDocument/2006/relationships/hyperlink" Id="rId105" Target="https://doi.org/10.1038/nature01091" TargetMode="External" /><Relationship Type="http://schemas.openxmlformats.org/officeDocument/2006/relationships/hyperlink" Id="rId99" Target="https://doi.org/10.1038/ngeo1477" TargetMode="External" /><Relationship Type="http://schemas.openxmlformats.org/officeDocument/2006/relationships/hyperlink" Id="rId81" Target="https://doi.org/10.1038/s43247-024-01543-z" TargetMode="External" /><Relationship Type="http://schemas.openxmlformats.org/officeDocument/2006/relationships/hyperlink" Id="rId138" Target="https://doi.org/10.1073/pnas.0905620106" TargetMode="External" /><Relationship Type="http://schemas.openxmlformats.org/officeDocument/2006/relationships/hyperlink" Id="rId91" Target="https://doi.org/10.1111/gcb.15684" TargetMode="External" /><Relationship Type="http://schemas.openxmlformats.org/officeDocument/2006/relationships/hyperlink" Id="rId97" Target="https://doi.org/10.1111/j.1467-9868.2007.00593.x" TargetMode="External" /><Relationship Type="http://schemas.openxmlformats.org/officeDocument/2006/relationships/hyperlink" Id="rId111" Target="https://doi.org/10.1117/12.2278218" TargetMode="External" /><Relationship Type="http://schemas.openxmlformats.org/officeDocument/2006/relationships/hyperlink" Id="rId130" Target="https://doi.org/10.1126/science.1219973" TargetMode="External" /><Relationship Type="http://schemas.openxmlformats.org/officeDocument/2006/relationships/hyperlink" Id="rId115" Target="https://doi.org/10.1371/journal.pone.0163091" TargetMode="External" /><Relationship Type="http://schemas.openxmlformats.org/officeDocument/2006/relationships/hyperlink" Id="rId117" Target="https://doi.org/10.1641/0006-3568(2006)56[987:AGCFSE]2.0.CO;2" TargetMode="External" /><Relationship Type="http://schemas.openxmlformats.org/officeDocument/2006/relationships/hyperlink" Id="rId75" Target="https://doi.org/10.1890/10-1510.1" TargetMode="External" /><Relationship Type="http://schemas.openxmlformats.org/officeDocument/2006/relationships/hyperlink" Id="rId89" Target="https://doi.org/10.3389/fmars.2019.00317" TargetMode="External" /><Relationship Type="http://schemas.openxmlformats.org/officeDocument/2006/relationships/hyperlink" Id="rId77" Target="https://doi.org/10.3390/rs14051099" TargetMode="External" /><Relationship Type="http://schemas.openxmlformats.org/officeDocument/2006/relationships/hyperlink" Id="rId103" Target="https://doi.org/10.5194/acp-17-10163-2017" TargetMode="External" /><Relationship Type="http://schemas.openxmlformats.org/officeDocument/2006/relationships/hyperlink" Id="rId124" Target="https://doi.org/10.5194/acp-17-8395-2017" TargetMode="External" /><Relationship Type="http://schemas.openxmlformats.org/officeDocument/2006/relationships/hyperlink" Id="rId95"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2026-10-15T08:16:50Z</dcterms:created>
  <dcterms:modified xsi:type="dcterms:W3CDTF">2026-10-15T08:16:50Z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2026-10-15</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