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2024-11-26</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36" w:name="materiel-methods"/>
    <w:p>
      <w:pPr>
        <w:pStyle w:val="Heading1"/>
      </w:pPr>
      <w:r>
        <w:t xml:space="preserve">2. Materiel &amp; Methods</w:t>
      </w:r>
    </w:p>
    <w:bookmarkStart w:id="27" w:name="study-sites"/>
    <w:p>
      <w:pPr>
        <w:pStyle w:val="Heading2"/>
      </w:pPr>
      <w:r>
        <w:t xml:space="preserve">2.1 Study sites</w:t>
      </w:r>
    </w:p>
    <w:p>
      <w:pPr>
        <w:pStyle w:val="FirstParagraph"/>
      </w:pPr>
      <w:r>
        <w:t xml:space="preserve">Field campaigns were conducted at three study sites in France and Spain. At each site, two locations were investigated</w:t>
      </w:r>
      <w:r>
        <w:t xml:space="preserve"> </w:t>
      </w:r>
      <w:hyperlink w:anchor="fig-location_sites">
        <w:r>
          <w:rPr>
            <w:rStyle w:val="Hyperlink"/>
          </w:rPr>
          <w:t xml:space="preserve">Figure 1</w:t>
        </w:r>
      </w:hyperlink>
      <w:r>
        <w:t xml:space="preserve">. The Aven &amp; Belon Estuary in South Brittany, France (</w:t>
      </w:r>
      <w:hyperlink w:anchor="fig-location_sites">
        <w:r>
          <w:rPr>
            <w:rStyle w:val="Hyperlink"/>
          </w:rPr>
          <w:t xml:space="preserve">Figure 1</w:t>
        </w:r>
      </w:hyperlink>
      <w:r>
        <w:t xml:space="preserve"> </w:t>
      </w:r>
      <w:r>
        <w:t xml:space="preserve">A), is a dynamic ria-type system hosting diverse habitats, including sandy tidal flats and subtidal zones with coarse, marine-origin sediments</w:t>
      </w:r>
      <w:r>
        <w:t xml:space="preserve"> </w:t>
      </w:r>
      <w:r>
        <w:t xml:space="preserve">(Castaing and Guilcher, 1995; Michel et al., 2021)</w:t>
      </w:r>
      <w:r>
        <w:t xml:space="preserve">. These habitats support key benthic species such as</w:t>
      </w:r>
      <w:r>
        <w:t xml:space="preserve"> </w:t>
      </w:r>
      <w:r>
        <w:rPr>
          <w:i/>
          <w:iCs/>
        </w:rPr>
        <w:t xml:space="preserve">Scrobicularia plana</w:t>
      </w:r>
      <w:r>
        <w:t xml:space="preserve">,</w:t>
      </w:r>
      <w:r>
        <w:t xml:space="preserve"> </w:t>
      </w:r>
      <w:r>
        <w:rPr>
          <w:i/>
          <w:iCs/>
        </w:rPr>
        <w:t xml:space="preserve">Cerastoderma edule</w:t>
      </w:r>
      <w:r>
        <w:t xml:space="preserve">, and</w:t>
      </w:r>
      <w:r>
        <w:t xml:space="preserve"> </w:t>
      </w:r>
      <w:r>
        <w:rPr>
          <w:i/>
          <w:iCs/>
        </w:rPr>
        <w:t xml:space="preserve">Tellina tenuis</w:t>
      </w:r>
      <w:r>
        <w:t xml:space="preserve">, which play essential roles in sediment bioturbation and nutrient cycling</w:t>
      </w:r>
      <w:r>
        <w:t xml:space="preserve"> </w:t>
      </w:r>
      <w:r>
        <w:t xml:space="preserve">(Blanchet et al., 2014; Tankoua et al., 2011)</w:t>
      </w:r>
      <w:r>
        <w:t xml:space="preserve">. The estuary serves as a nursery for juvenile fish and a feeding ground for migratory birds, with its ecological productivity driven by a mix of euryhaline and marine species adapted to salinity gradients</w:t>
      </w:r>
      <w:r>
        <w:t xml:space="preserve"> </w:t>
      </w:r>
      <w:r>
        <w:t xml:space="preserve">(Blanchet et al., 2014)</w:t>
      </w:r>
      <w:r>
        <w:t xml:space="preserve">. Oyster farming, particularly</w:t>
      </w:r>
      <w:r>
        <w:t xml:space="preserve"> </w:t>
      </w:r>
      <w:r>
        <w:rPr>
          <w:i/>
          <w:iCs/>
        </w:rPr>
        <w:t xml:space="preserve">Crassostrea gigas</w:t>
      </w:r>
      <w:r>
        <w:t xml:space="preserve">, is a dominant activity, altering sediment dynamics and local biodiversity</w:t>
      </w:r>
      <w:r>
        <w:t xml:space="preserve"> </w:t>
      </w:r>
      <w:r>
        <w:t xml:space="preserve">(Michel et al., 2021)</w:t>
      </w:r>
      <w:r>
        <w:t xml:space="preserve">. Despite its ecological richness, the estuary faces pressures from nutrient loading and physical alterations, with bioindicators like</w:t>
      </w:r>
      <w:r>
        <w:t xml:space="preserve"> </w:t>
      </w:r>
      <w:r>
        <w:rPr>
          <w:i/>
          <w:iCs/>
        </w:rPr>
        <w:t xml:space="preserve">S. plana</w:t>
      </w:r>
      <w:r>
        <w:t xml:space="preserve"> </w:t>
      </w:r>
      <w:r>
        <w:t xml:space="preserve">used to monitor the impacts of salinity, sediment quality, and pollution</w:t>
      </w:r>
      <w:r>
        <w:t xml:space="preserve"> </w:t>
      </w:r>
      <w:r>
        <w:t xml:space="preserve">(Tankoua et al., 2011)</w:t>
      </w:r>
      <w:r>
        <w:t xml:space="preserve">.</w:t>
      </w:r>
    </w:p>
    <w:p>
      <w:pPr>
        <w:pStyle w:val="BodyText"/>
      </w:pPr>
      <w:r>
        <w:t xml:space="preserve">The Ria d’Étel, located in Brittany, France, is a macrotidal estuary characterized by its unique hydrodynamics and biodiversity (</w:t>
      </w:r>
      <w:hyperlink w:anchor="fig-location_sites">
        <w:r>
          <w:rPr>
            <w:rStyle w:val="Hyperlink"/>
          </w:rPr>
          <w:t xml:space="preserve">Figure 1</w:t>
        </w:r>
      </w:hyperlink>
      <w:r>
        <w:t xml:space="preserve"> </w:t>
      </w:r>
      <w:r>
        <w:t xml:space="preserve">B). Influenced predominantly by tidal regimes, the estuary exhibits high-energy zones with strong currents reaching up to 2.5 m/s, shaping both sediment deposition and ecological habitats</w:t>
      </w:r>
      <w:r>
        <w:t xml:space="preserve"> </w:t>
      </w:r>
      <w:r>
        <w:t xml:space="preserve">(Portas et al., 2023)</w:t>
      </w:r>
      <w:r>
        <w:t xml:space="preserve">. The estuary supports diverse benthic communities, with sedimentary organic matter originating from both terrestrial inputs and marine sources, contributing to nutrient cycling and benthic fluxes</w:t>
      </w:r>
      <w:r>
        <w:t xml:space="preserve"> </w:t>
      </w:r>
      <w:r>
        <w:t xml:space="preserve">(Jeanneau et al., 2023)</w:t>
      </w:r>
      <w:r>
        <w:t xml:space="preserve">. Vegetation gradients transition from halophytic plants in saline zones to freshwater species upstream, reflecting the estuary’s salinity dynamics and ecological complexity</w:t>
      </w:r>
      <w:r>
        <w:t xml:space="preserve"> </w:t>
      </w:r>
      <w:r>
        <w:t xml:space="preserve">(Cianfaglione, 2021)</w:t>
      </w:r>
      <w:r>
        <w:t xml:space="preserve">. This estuary is also notable for its shellfish farming, with species like</w:t>
      </w:r>
      <w:r>
        <w:t xml:space="preserve"> </w:t>
      </w:r>
      <w:r>
        <w:rPr>
          <w:i/>
          <w:iCs/>
        </w:rPr>
        <w:t xml:space="preserve">Crassostrea gigas</w:t>
      </w:r>
      <w:r>
        <w:t xml:space="preserve"> </w:t>
      </w:r>
      <w:r>
        <w:t xml:space="preserve">cultivated extensively. The presence of filter-feeding organisms such as sponges (</w:t>
      </w:r>
      <w:r>
        <w:rPr>
          <w:i/>
          <w:iCs/>
        </w:rPr>
        <w:t xml:space="preserve">Hymeniacidon perlevis</w:t>
      </w:r>
      <w:r>
        <w:t xml:space="preserve">) enhances water quality by mitigating bacterial loads and promoting bioremediation</w:t>
      </w:r>
      <w:r>
        <w:t xml:space="preserve"> </w:t>
      </w:r>
      <w:r>
        <w:t xml:space="preserve">(Gentric and Sauleau, 2024)</w:t>
      </w:r>
      <w:r>
        <w:t xml:space="preserve">. However, the estuary faces environmental pressures, including nutrient enrichment from agricultural runoff and anthropogenic impacts on sedimentary processes.</w:t>
      </w:r>
    </w:p>
    <w:p>
      <w:pPr>
        <w:pStyle w:val="BodyText"/>
      </w:pPr>
      <w:r>
        <w:t xml:space="preserve">The Saja-Besaya Estuary, situated along the Cantabrian Sea in northern Spain, is characterized by the confluence of the Saja and Besaya rivers near Torrelavega (</w:t>
      </w:r>
      <w:hyperlink w:anchor="fig-location_sites">
        <w:r>
          <w:rPr>
            <w:rStyle w:val="Hyperlink"/>
          </w:rPr>
          <w:t xml:space="preserve">Figure 1</w:t>
        </w:r>
      </w:hyperlink>
      <w:r>
        <w:t xml:space="preserve"> </w:t>
      </w:r>
      <w:r>
        <w:t xml:space="preserve">C). The estuary, also known as San Martín de la Arena or Suances Estuary, has been subject to significant anthropogenic pressures, including industrial developments throughout the 20th century. These activities have led to contamination from mining, paper manufacturing, and carbonate discharges, classifying the estuary as highly polluted near its upper reaches</w:t>
      </w:r>
      <w:r>
        <w:t xml:space="preserve"> </w:t>
      </w:r>
      <w:r>
        <w:t xml:space="preserve">(Ortega et al., 2005)</w:t>
      </w:r>
      <w:r>
        <w:t xml:space="preserve">. This contamination impacts the estuarine ecosystem, including water quality and biodiversity, with minimal aquatic life and sparse riverbank vegetation in its lower sections</w:t>
      </w:r>
      <w:r>
        <w:t xml:space="preserve"> </w:t>
      </w:r>
      <w:r>
        <w:t xml:space="preserve">(Romero et al., 2008)</w:t>
      </w:r>
      <w:r>
        <w:t xml:space="preserve">.</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End w:id="27"/>
    <w:bookmarkStart w:id="34" w:name="sec-DroneFlights"/>
    <w:p>
      <w:pPr>
        <w:pStyle w:val="Heading2"/>
      </w:pPr>
      <w:r>
        <w:t xml:space="preserve">2.2 remote sensing data acquisition and pre-processing</w:t>
      </w:r>
    </w:p>
    <w:tbl>
      <w:tblPr>
        <w:tblStyle w:val="Table"/>
        <w:tblW w:type="pct" w:w="5000"/>
        <w:tblLayout w:type="fixed"/>
        <w:tblLook w:firstRow="0" w:lastRow="0" w:firstColumn="0" w:lastColumn="0" w:noHBand="0" w:noVBand="0" w:val="0000"/>
      </w:tblPr>
      <w:tblGrid>
        <w:gridCol w:w="7920"/>
      </w:tblGrid>
      <w:tr>
        <w:tc>
          <w:tcPr/>
          <w:bookmarkStart w:id="31" w:name="tbl-flights"/>
          <w:p>
            <w:pPr>
              <w:jc w:val="center"/>
            </w:pPr>
            <w:pPr>
              <w:jc w:val="start"/>
              <w:spacing w:before="200"/>
              <w:pStyle w:val="ImageCaption"/>
            </w:pPr>
            <w:r>
              <w:t xml:space="preserve">Table 1: List of drone flights, summarising the location, the date, and the total extent of each flight (in hectars).</w:t>
            </w:r>
          </w:p>
          <w:p>
            <w:pPr>
              <w:jc w:val="center"/>
            </w:pPr>
            <w:r>
              <w:drawing>
                <wp:inline>
                  <wp:extent cx="5943600" cy="2105911"/>
                  <wp:effectExtent b="0" l="0" r="0" t="0"/>
                  <wp:docPr descr="" title="" id="29" name="Picture"/>
                  <a:graphic>
                    <a:graphicData uri="http://schemas.openxmlformats.org/drawingml/2006/picture">
                      <pic:pic>
                        <pic:nvPicPr>
                          <pic:cNvPr descr="Figures/High_res/table_flights.png" id="30" name="Picture"/>
                          <pic:cNvPicPr>
                            <a:picLocks noChangeArrowheads="1" noChangeAspect="1"/>
                          </pic:cNvPicPr>
                        </pic:nvPicPr>
                        <pic:blipFill>
                          <a:blip r:embed="rId28"/>
                          <a:stretch>
                            <a:fillRect/>
                          </a:stretch>
                        </pic:blipFill>
                        <pic:spPr bwMode="auto">
                          <a:xfrm>
                            <a:off x="0" y="0"/>
                            <a:ext cx="5943600" cy="2105911"/>
                          </a:xfrm>
                          <a:prstGeom prst="rect">
                            <a:avLst/>
                          </a:prstGeom>
                          <a:noFill/>
                          <a:ln w="9525">
                            <a:noFill/>
                            <a:headEnd/>
                            <a:tailEnd/>
                          </a:ln>
                        </pic:spPr>
                      </pic:pic>
                    </a:graphicData>
                  </a:graphic>
                </wp:inline>
              </w:drawing>
            </w:r>
          </w:p>
          <w:bookmarkEnd w:id="31"/>
        </w:tc>
      </w:tr>
    </w:tbl>
    <w:p>
      <w:pPr>
        <w:pStyle w:val="BodyText"/>
      </w:pPr>
      <w:r>
        <w:t xml:space="preserve">A total of 6 drone flights were done spread in the 3 study sites. Each time, flights were done at an altitude of 120 m and at a speed of 10 m.s</w:t>
      </w:r>
      <w:r>
        <w:rPr>
          <w:vertAlign w:val="superscript"/>
        </w:rPr>
        <w:t xml:space="preserve">-1</w:t>
      </w:r>
      <w:r>
        <w:t xml:space="preserve"> </w:t>
      </w:r>
      <w:r>
        <w:t xml:space="preserve">(</w:t>
      </w:r>
      <w:hyperlink w:anchor="tbl-flights">
        <w:r>
          <w:rPr>
            <w:rStyle w:val="Hyperlink"/>
          </w:rPr>
          <w:t xml:space="preserve">Table 1</w:t>
        </w:r>
      </w:hyperlink>
      <w:r>
        <w:t xml:space="preserve">).</w:t>
      </w:r>
    </w:p>
    <w:bookmarkStart w:id="32" w:name="sec-photo"/>
    <w:p>
      <w:pPr>
        <w:pStyle w:val="Heading3"/>
      </w:pPr>
      <w:r>
        <w:t xml:space="preserve">2.2.1 Multispectral data</w:t>
      </w:r>
    </w:p>
    <w:p>
      <w:pPr>
        <w:pStyle w:val="FirstParagraph"/>
      </w:pPr>
      <w:r>
        <w:t xml:space="preserve">At each location, reflectance images with a resolution of 1.2 million pixels were captured using a DJI Matrice 300 quadcopter drone equipped with a Micasense RedEdge Dual MX multispectral camera. The camera recorded data across ten spectral bands, spanning from blue to near-infrared (NIR) wavelengths (444, 475, 531, 560, 650, 668, 705, 717, 740, and 840 nm) (). To ensure consistent lighting conditions, the drone’s flight trajectory was aligned to maintain a solar azimuth angle of 90 degrees. Image acquisition was carried out with an overlap of 70% between side-by-side images and 80% between successive images along the flight path. A downwelling light sensor (DLS2) was used to measure real-time irradiance, enabling the correction of reflectance values for variations in light intensity caused by cloud cover during the flight. The raw image data were subsequently calibrated to reflectance using a calibration panel with ~50% reflectivity, provided by the camera’s manufacturer. Images were processed using structure-from-motion photogrammetry software</w:t>
      </w:r>
      <w:r>
        <w:t xml:space="preserve"> </w:t>
      </w:r>
      <w:r>
        <w:t xml:space="preserve">(Agisoft, 2019)</w:t>
      </w:r>
      <w:r>
        <w:t xml:space="preserve"> </w:t>
      </w:r>
      <w:r>
        <w:t xml:space="preserve">to generate multispectral ortho-mosaics for each flight. The ortho-mosaicking workflow was consistent across all flights. Initially, key tie points were identified within each image and across overlapping images to create a sparse point cloud. This point cloud was refined by removing noisy points using a reprojection accuracy metric. Subsequently, a dense point cloud was generated using a structure-from-motion algorithm. A digital surface model (DSM) was then created through surface interpolation of the dense point cloud, which served as the basis for reconstructing the multispectral ortho-image</w:t>
      </w:r>
      <w:r>
        <w:t xml:space="preserve"> </w:t>
      </w:r>
      <w:r>
        <w:t xml:space="preserve">(Nebel et al., 2020)</w:t>
      </w:r>
      <w:r>
        <w:t xml:space="preserve">. The resolution of the multispectral ortho-mosaic obtained were 8 cm per pixel.</w:t>
      </w:r>
    </w:p>
    <w:bookmarkEnd w:id="32"/>
    <w:bookmarkStart w:id="33" w:name="lidar-data"/>
    <w:p>
      <w:pPr>
        <w:pStyle w:val="Heading3"/>
      </w:pPr>
      <w:r>
        <w:t xml:space="preserve">2.2.2 LiDAR data</w:t>
      </w:r>
    </w:p>
    <w:p>
      <w:pPr>
        <w:pStyle w:val="FirstParagraph"/>
      </w:pPr>
      <w:r>
        <w:t xml:space="preserve">LiDAR standing for Light Detection and Ranging uses lasers to measure distances by timing reflected pulses, creating detailed 3D maps of surfaces.</w:t>
      </w:r>
    </w:p>
    <w:p>
      <w:pPr>
        <w:pStyle w:val="BodyText"/>
      </w:pPr>
      <w:r>
        <w:t xml:space="preserve">Using the Matrice 300 Series Dual Gimbal Connector, a DJI Zenmuse L1 LiDAR and RGB sensor was mounted on the drone alongside a multispectral camera. This setup enabled the simultaneous capture of LiDAR point clouds, high-resolution RGB images, and multispectral images collected by the MicaSense RedEdge Dual MX during the same flight. The same processing workflow as</w:t>
      </w:r>
      <w:r>
        <w:t xml:space="preserve"> </w:t>
      </w:r>
      <w:hyperlink w:anchor="sec-photo">
        <w:r>
          <w:rPr>
            <w:rStyle w:val="Hyperlink"/>
          </w:rPr>
          <w:t xml:space="preserve">Section 2.2.1</w:t>
        </w:r>
      </w:hyperlink>
      <w:r>
        <w:t xml:space="preserve"> </w:t>
      </w:r>
      <w:r>
        <w:t xml:space="preserve">was applied to process LiDAR RGB images, resulting in ortho-mosaic with a resolution of 2.5 cm per pixel. Since the mapping focused solely on flat surfaces without dense vegetation, the LiDAR measured only a single return. Operating in repetitive scanning mode with a sampling rate of 240 kHz, the system achieved a point density of 350 points per square meter. The LiDAR point cloud was extracted and converted into LAS format using DJI Terra software. The LAS point cloud was then imported into Agisoft Metashape</w:t>
      </w:r>
      <w:r>
        <w:t xml:space="preserve"> </w:t>
      </w:r>
      <w:r>
        <w:t xml:space="preserve">(Agisoft, 2019)</w:t>
      </w:r>
      <w:r>
        <w:t xml:space="preserve"> </w:t>
      </w:r>
      <w:r>
        <w:t xml:space="preserve">to generate a DEM with a resolution of 2.5 cm.</w:t>
      </w:r>
    </w:p>
    <w:bookmarkEnd w:id="33"/>
    <w:bookmarkEnd w:id="34"/>
    <w:bookmarkStart w:id="35" w:name="scene-classification"/>
    <w:p>
      <w:pPr>
        <w:pStyle w:val="Heading2"/>
      </w:pPr>
      <w:r>
        <w:t xml:space="preserve">2.3 Scene classification</w:t>
      </w:r>
    </w:p>
    <w:p>
      <w:pPr>
        <w:pStyle w:val="FirstParagraph"/>
      </w:pPr>
      <w:r>
        <w:t xml:space="preserve">A neural network classification model (DISCOV;</w:t>
      </w:r>
      <w:r>
        <w:t xml:space="preserve"> </w:t>
      </w:r>
      <w:r>
        <w:t xml:space="preserve">Oiry et al. (2024b)</w:t>
      </w:r>
      <w:r>
        <w:t xml:space="preserve">;</w:t>
      </w:r>
      <w:r>
        <w:t xml:space="preserve"> </w:t>
      </w:r>
      <w:r>
        <w:t xml:space="preserve">Oiry et al. (2024a)</w:t>
      </w:r>
      <w:r>
        <w:t xml:space="preserve">), previously applied with success to Micasense reflectance data for mapping intertidal vegetation along the Portuguese and French Atlantic coasts, served as the baseline for this study. The training dataset of DISCOV v1.0</w:t>
      </w:r>
      <w:r>
        <w:t xml:space="preserve"> </w:t>
      </w:r>
      <w:r>
        <w:t xml:space="preserve">(Oiry et al., 2024a)</w:t>
      </w:r>
      <w:r>
        <w:t xml:space="preserve"> </w:t>
      </w:r>
      <w:r>
        <w:t xml:space="preserve">was updated in the current study, to file one of the weakness of this model. As shown by</w:t>
      </w:r>
      <w:r>
        <w:t xml:space="preserve"> </w:t>
      </w:r>
      <w:r>
        <w:t xml:space="preserve">Oiry et al. (2024b)</w:t>
      </w:r>
      <w:r>
        <w:t xml:space="preserve"> </w:t>
      </w:r>
      <w:r>
        <w:t xml:space="preserve">the DISCOV v1.0 model was trained using only 5771 Rhodophyceae pixel (3% of the training dataset), making that class among the least performing of the model (Sensitivity of 0.82). To fill this gap the original training dataset of DISCOV v1.0 was updated using new training pixel coming from flight performed in the current study (</w:t>
      </w:r>
      <w:hyperlink w:anchor="sec-DroneFlights">
        <w:r>
          <w:rPr>
            <w:rStyle w:val="Hyperlink"/>
          </w:rPr>
          <w:t xml:space="preserve">Section 2.2</w:t>
        </w:r>
      </w:hyperlink>
      <w:r>
        <w:t xml:space="preserve">)</w:t>
      </w:r>
    </w:p>
    <w:bookmarkEnd w:id="35"/>
    <w:bookmarkEnd w:id="36"/>
    <w:bookmarkStart w:id="37" w:name="results"/>
    <w:p>
      <w:pPr>
        <w:pStyle w:val="Heading1"/>
      </w:pPr>
      <w:r>
        <w:t xml:space="preserve">3. Results</w:t>
      </w:r>
    </w:p>
    <w:bookmarkEnd w:id="37"/>
    <w:bookmarkStart w:id="38" w:name="discussion"/>
    <w:p>
      <w:pPr>
        <w:pStyle w:val="Heading1"/>
      </w:pPr>
      <w:r>
        <w:t xml:space="preserve">4. Discussion</w:t>
      </w:r>
    </w:p>
    <w:bookmarkEnd w:id="38"/>
    <w:bookmarkStart w:id="39" w:name="conclusion"/>
    <w:p>
      <w:pPr>
        <w:pStyle w:val="Heading1"/>
      </w:pPr>
      <w:r>
        <w:t xml:space="preserve">5. Conclusion</w:t>
      </w:r>
    </w:p>
    <w:bookmarkEnd w:id="39"/>
    <w:bookmarkStart w:id="97" w:name="references"/>
    <w:p>
      <w:pPr>
        <w:pStyle w:val="Heading1"/>
      </w:pPr>
      <w:r>
        <w:t xml:space="preserve">6. References</w:t>
      </w:r>
    </w:p>
    <w:bookmarkStart w:id="96" w:name="refs"/>
    <w:bookmarkStart w:id="40"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40"/>
    <w:bookmarkStart w:id="42" w:name="ref-agisoft"/>
    <w:p>
      <w:pPr>
        <w:pStyle w:val="Bibliography"/>
      </w:pPr>
      <w:r>
        <w:t xml:space="preserve">Agisoft, 2019.</w:t>
      </w:r>
      <w:r>
        <w:t xml:space="preserve"> </w:t>
      </w:r>
      <w:hyperlink r:id="rId41">
        <w:r>
          <w:rPr>
            <w:rStyle w:val="Hyperlink"/>
          </w:rPr>
          <w:t xml:space="preserve">Agisoft metashape</w:t>
        </w:r>
      </w:hyperlink>
      <w:r>
        <w:t xml:space="preserve">.</w:t>
      </w:r>
    </w:p>
    <w:bookmarkEnd w:id="42"/>
    <w:bookmarkStart w:id="43" w:name="ref-barbier2011value"/>
    <w:p>
      <w:pPr>
        <w:pStyle w:val="Bibliography"/>
      </w:pPr>
      <w:r>
        <w:t xml:space="preserve">Barbier, E.B., Hacker, S.D., Kennedy, C., Koch, E.W., Stier, A.C., Silliman, B.R., 2011. The value of estuarine and coastal ecosystem services. Ecological monographs 81, 169–193.</w:t>
      </w:r>
    </w:p>
    <w:bookmarkEnd w:id="43"/>
    <w:bookmarkStart w:id="45" w:name="ref-Blanchet2014"/>
    <w:p>
      <w:pPr>
        <w:pStyle w:val="Bibliography"/>
      </w:pPr>
      <w:r>
        <w:t xml:space="preserve">Blanchet, H., Gouillieux, B., Alizier, S., others, 2014. Multiscale patterns in the diversity and organization of benthic intertidal fauna among french atlantic estuaries. Journal of Sea Research 90, 95–110.</w:t>
      </w:r>
      <w:r>
        <w:t xml:space="preserve"> </w:t>
      </w:r>
      <w:hyperlink r:id="rId44">
        <w:r>
          <w:rPr>
            <w:rStyle w:val="Hyperlink"/>
          </w:rPr>
          <w:t xml:space="preserve">https://doi.org/10.1016/j.seares.2014.02.014</w:t>
        </w:r>
      </w:hyperlink>
    </w:p>
    <w:bookmarkEnd w:id="45"/>
    <w:bookmarkStart w:id="46"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46"/>
    <w:bookmarkStart w:id="48" w:name="ref-Castaing1995"/>
    <w:p>
      <w:pPr>
        <w:pStyle w:val="Bibliography"/>
      </w:pPr>
      <w:r>
        <w:t xml:space="preserve">Castaing, P., Guilcher, A., 1995. Morphosedimentary evolution of ria-type estuaries. Earth Surface Processes and Landforms 20, 361–376.</w:t>
      </w:r>
      <w:r>
        <w:t xml:space="preserve"> </w:t>
      </w:r>
      <w:hyperlink r:id="rId47">
        <w:r>
          <w:rPr>
            <w:rStyle w:val="Hyperlink"/>
          </w:rPr>
          <w:t xml:space="preserve">https://doi.org/10.1002/esp.3290200408</w:t>
        </w:r>
      </w:hyperlink>
    </w:p>
    <w:bookmarkEnd w:id="48"/>
    <w:bookmarkStart w:id="50" w:name="ref-Cianfaglione2018"/>
    <w:p>
      <w:pPr>
        <w:pStyle w:val="Bibliography"/>
      </w:pPr>
      <w:r>
        <w:t xml:space="preserve">Cianfaglione, K., 2021. Plant landscape and models of french atlantic estuarine systems: Extended summary of the doctoral thesis. Transylvanian Review of Systematical and Ecological Research 23, 15–36.</w:t>
      </w:r>
      <w:r>
        <w:t xml:space="preserve"> </w:t>
      </w:r>
      <w:hyperlink r:id="rId49">
        <w:r>
          <w:rPr>
            <w:rStyle w:val="Hyperlink"/>
          </w:rPr>
          <w:t xml:space="preserve">https://doi.org/10.2478/trser-2021-0002</w:t>
        </w:r>
      </w:hyperlink>
    </w:p>
    <w:bookmarkEnd w:id="50"/>
    <w:bookmarkStart w:id="51"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51"/>
    <w:bookmarkStart w:id="52"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52"/>
    <w:bookmarkStart w:id="53"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53"/>
    <w:bookmarkStart w:id="55" w:name="ref-Gentric2024"/>
    <w:p>
      <w:pPr>
        <w:pStyle w:val="Bibliography"/>
      </w:pPr>
      <w:r>
        <w:t xml:space="preserve">Gentric, C., Sauleau, P., 2024. Bacterial load mitigation of the shellfish magallana gigas by the marine sponge hymeniacidon perlevis (montagu 1818). Regional Studies in Marine Science 75, 103564.</w:t>
      </w:r>
      <w:r>
        <w:t xml:space="preserve"> </w:t>
      </w:r>
      <w:hyperlink r:id="rId54">
        <w:r>
          <w:rPr>
            <w:rStyle w:val="Hyperlink"/>
          </w:rPr>
          <w:t xml:space="preserve">https://doi.org/10.1016/j.rsma.2024.103564</w:t>
        </w:r>
      </w:hyperlink>
    </w:p>
    <w:bookmarkEnd w:id="55"/>
    <w:bookmarkStart w:id="56"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56"/>
    <w:bookmarkStart w:id="57" w:name="ref-hall2019ocean"/>
    <w:p>
      <w:pPr>
        <w:pStyle w:val="Bibliography"/>
      </w:pPr>
      <w:r>
        <w:t xml:space="preserve">Hall-Spencer, J.M., Harvey, B.P., 2019. Ocean acidification impacts on coastal ecosystem services due to habitat degradation. Emerging Topics in Life Sciences 3, 197–206.</w:t>
      </w:r>
    </w:p>
    <w:bookmarkEnd w:id="57"/>
    <w:bookmarkStart w:id="58" w:name="ref-he2019climate"/>
    <w:p>
      <w:pPr>
        <w:pStyle w:val="Bibliography"/>
      </w:pPr>
      <w:r>
        <w:t xml:space="preserve">He, Q., Silliman, B.R., 2019. Climate change, human impacts, and coastal ecosystems in the anthropocene. Current Biology 29, R1021–R1035.</w:t>
      </w:r>
    </w:p>
    <w:bookmarkEnd w:id="58"/>
    <w:bookmarkStart w:id="60" w:name="ref-Jeanneau2023"/>
    <w:p>
      <w:pPr>
        <w:pStyle w:val="Bibliography"/>
      </w:pPr>
      <w:r>
        <w:t xml:space="preserve">Jeanneau, L., Jardé, E., Louis, J., Pannard, A., Liotaud, M., Andrieux-Loyer, F., Gruau, G., Caradec, F., Rabiller, E., Lebris, N., Laverman, A., 2023. How the origin of sedimentary organic matter impacts the benthic nutrient fluxes in shallow coastal mudflats. Comptes Rendus Géoscience 355, 237–258.</w:t>
      </w:r>
      <w:r>
        <w:t xml:space="preserve"> </w:t>
      </w:r>
      <w:hyperlink r:id="rId59">
        <w:r>
          <w:rPr>
            <w:rStyle w:val="Hyperlink"/>
          </w:rPr>
          <w:t xml:space="preserve">https://doi.org/10.5802/crgeos.228</w:t>
        </w:r>
      </w:hyperlink>
    </w:p>
    <w:bookmarkEnd w:id="60"/>
    <w:bookmarkStart w:id="61"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61"/>
    <w:bookmarkStart w:id="62"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62"/>
    <w:bookmarkStart w:id="63"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63"/>
    <w:bookmarkStart w:id="64" w:name="ref-liu2020ocean"/>
    <w:p>
      <w:pPr>
        <w:pStyle w:val="Bibliography"/>
      </w:pPr>
      <w:r>
        <w:t xml:space="preserve">Liu, C., Zou, D., Liu, Z., Ye, C., 2020. Ocean warming alters the responses to eutrophication in a commercially farmed seaweed, gracilariopsis lemaneiformis. Hydrobiologia 847, 879–893.</w:t>
      </w:r>
    </w:p>
    <w:bookmarkEnd w:id="64"/>
    <w:bookmarkStart w:id="65"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65"/>
    <w:bookmarkStart w:id="66"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66"/>
    <w:bookmarkStart w:id="68" w:name="ref-Michel2021"/>
    <w:p>
      <w:pPr>
        <w:pStyle w:val="Bibliography"/>
      </w:pPr>
      <w:r>
        <w:t xml:space="preserve">Michel, G., Le Bot, S., Lesourd, S., Lafite, R., 2021. Morpho-sedimentological and dynamic patterns in a ria type estuary: The belon estuary (south brittany, france). Journal of Maps 17, 389–400.</w:t>
      </w:r>
      <w:r>
        <w:t xml:space="preserve"> </w:t>
      </w:r>
      <w:hyperlink r:id="rId67">
        <w:r>
          <w:rPr>
            <w:rStyle w:val="Hyperlink"/>
          </w:rPr>
          <w:t xml:space="preserve">https://doi.org/10.1080/17445647.2021.1925170</w:t>
        </w:r>
      </w:hyperlink>
    </w:p>
    <w:bookmarkEnd w:id="68"/>
    <w:bookmarkStart w:id="69" w:name="ref-mukherjee2023coastal"/>
    <w:p>
      <w:pPr>
        <w:pStyle w:val="Bibliography"/>
      </w:pPr>
      <w:r>
        <w:t xml:space="preserve">Mukherjee, S., Ghosh, K.K., Chanda, A., 2023. Coastal pollution—an overview. Environmental Oceanography and Coastal Dynamics: Current Scenario and Future Trends 99–107.</w:t>
      </w:r>
    </w:p>
    <w:bookmarkEnd w:id="69"/>
    <w:bookmarkStart w:id="70" w:name="ref-nebel2020review"/>
    <w:p>
      <w:pPr>
        <w:pStyle w:val="Bibliography"/>
      </w:pPr>
      <w:r>
        <w:t xml:space="preserve">Nebel, S., Beege, M., Schneider, S., Rey, G.D., 2020. A review of photogrammetry and photorealistic 3D models in education from a psychological perspective, in: Frontiers in Education. Frontiers Media SA, p. 144.</w:t>
      </w:r>
    </w:p>
    <w:bookmarkEnd w:id="70"/>
    <w:bookmarkStart w:id="71" w:name="ref-nyberg2009flora"/>
    <w:p>
      <w:pPr>
        <w:pStyle w:val="Bibliography"/>
      </w:pPr>
      <w:r>
        <w:t xml:space="preserve">Nyberg, C.D., Thomsen, M.S., Wallentinus, I., 2009. Flora and fauna associated with the introduced red alga gracilaria vermiculophylla. European Journal of Phycology 44, 395–403.</w:t>
      </w:r>
    </w:p>
    <w:bookmarkEnd w:id="71"/>
    <w:bookmarkStart w:id="73" w:name="ref-oiry_2024_14218984"/>
    <w:p>
      <w:pPr>
        <w:pStyle w:val="Bibliography"/>
      </w:pPr>
      <w:r>
        <w:t xml:space="preserve">Oiry, S., Davies, B.F.R., Pierre, G., Laurent, B., 2024a.</w:t>
      </w:r>
      <w:r>
        <w:t xml:space="preserve"> </w:t>
      </w:r>
      <w:r>
        <w:t xml:space="preserve">DISCOV: Drone Intertidal Sediment Classification Of Vegetation</w:t>
      </w:r>
      <w:r>
        <w:t xml:space="preserve">.</w:t>
      </w:r>
      <w:r>
        <w:t xml:space="preserve"> </w:t>
      </w:r>
      <w:hyperlink r:id="rId72">
        <w:r>
          <w:rPr>
            <w:rStyle w:val="Hyperlink"/>
          </w:rPr>
          <w:t xml:space="preserve">https://doi.org/10.5281/zenodo.14218984</w:t>
        </w:r>
      </w:hyperlink>
    </w:p>
    <w:bookmarkEnd w:id="73"/>
    <w:bookmarkStart w:id="75" w:name="ref-rs16234383"/>
    <w:p>
      <w:pPr>
        <w:pStyle w:val="Bibliography"/>
      </w:pPr>
      <w:r>
        <w:t xml:space="preserve">Oiry, S., Davies, B.F.R., Sousa, A.I., Rosa, P., Zoffoli, M.L., Brunier, G., Gernez, P., Barillé, L., 2024b. Discriminating seagrasses from green macroalgae in european intertidal areas using high-resolution multispectral drone imagery. Remote Sensing 16.</w:t>
      </w:r>
      <w:r>
        <w:t xml:space="preserve"> </w:t>
      </w:r>
      <w:hyperlink r:id="rId74">
        <w:r>
          <w:rPr>
            <w:rStyle w:val="Hyperlink"/>
          </w:rPr>
          <w:t xml:space="preserve">https://doi.org/10.3390/rs16234383</w:t>
        </w:r>
      </w:hyperlink>
    </w:p>
    <w:bookmarkEnd w:id="75"/>
    <w:bookmarkStart w:id="76" w:name="ref-ortega2005fluxes"/>
    <w:p>
      <w:pPr>
        <w:pStyle w:val="Bibliography"/>
      </w:pPr>
      <w:r>
        <w:t xml:space="preserve">Ortega, T., Ponce, R., Forja, J., Gómez-Parra, A., 2005. Fluxes of dissolved inorganic carbon in three estuarine systems of the cantabrian sea (north of spain). Journal of Marine Systems 53, 125–142.</w:t>
      </w:r>
    </w:p>
    <w:bookmarkEnd w:id="76"/>
    <w:bookmarkStart w:id="78" w:name="ref-Portas2023"/>
    <w:p>
      <w:pPr>
        <w:pStyle w:val="Bibliography"/>
      </w:pPr>
      <w:r>
        <w:t xml:space="preserve">Portas, A., Carriot, N., Ortalo-Magné, A., Damblans, G., Thiébaut, M., Culioli, G., Quillien, N., Briand, J.-F., 2023. Impact of hydrodynamics on community structure and metabolic production of marine biofouling formed in a highly energetic estuary. Marine Environmental Research 192, 106241.</w:t>
      </w:r>
      <w:r>
        <w:t xml:space="preserve"> </w:t>
      </w:r>
      <w:hyperlink r:id="rId77">
        <w:r>
          <w:rPr>
            <w:rStyle w:val="Hyperlink"/>
          </w:rPr>
          <w:t xml:space="preserve">https://doi.org/10.1016/j.marenvres.2023.106241</w:t>
        </w:r>
      </w:hyperlink>
    </w:p>
    <w:bookmarkEnd w:id="78"/>
    <w:bookmarkStart w:id="79"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79"/>
    <w:bookmarkStart w:id="80"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80"/>
    <w:bookmarkStart w:id="81"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81"/>
    <w:bookmarkStart w:id="82" w:name="ref-roman2021using"/>
    <w:p>
      <w:pPr>
        <w:pStyle w:val="Bibliography"/>
      </w:pPr>
      <w:r>
        <w:t xml:space="preserve">Román, A., Tovar-Sánchez, A., Olivé, I., Navarro, G., 2021. Using a UAV-mounted multispectral camera for the monitoring of marine macrophytes. Frontiers in Marine Science 8, 722698.</w:t>
      </w:r>
    </w:p>
    <w:bookmarkEnd w:id="82"/>
    <w:bookmarkStart w:id="83" w:name="ref-romero2008sintering"/>
    <w:p>
      <w:pPr>
        <w:pStyle w:val="Bibliography"/>
      </w:pPr>
      <w:r>
        <w:t xml:space="preserve">Romero, M., Andrés, A., Alonso, R., Viguri, J., Rincón, J.M., 2008. Sintering behaviour of ceramic bodies from contaminated marine sediments. Ceramics International 34, 1917–1924.</w:t>
      </w:r>
    </w:p>
    <w:bookmarkEnd w:id="83"/>
    <w:bookmarkStart w:id="84" w:name="ref-rueness2005life"/>
    <w:p>
      <w:pPr>
        <w:pStyle w:val="Bibliography"/>
      </w:pPr>
      <w:r>
        <w:t xml:space="preserve">Rueness, J., 2005. Life history and molecular sequences of gracilaria vermiculophylla (gracilariales, rhodophyta), a new introduction to european waters. Phycologia 44, 120–128.</w:t>
      </w:r>
    </w:p>
    <w:bookmarkEnd w:id="84"/>
    <w:bookmarkStart w:id="85"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85"/>
    <w:bookmarkStart w:id="86" w:name="ref-small2003global"/>
    <w:p>
      <w:pPr>
        <w:pStyle w:val="Bibliography"/>
      </w:pPr>
      <w:r>
        <w:t xml:space="preserve">Small, C., Nicholls, R.J., 2003. A global analysis of human settlement in coastal zones. Journal of coastal research 584–599.</w:t>
      </w:r>
    </w:p>
    <w:bookmarkEnd w:id="86"/>
    <w:bookmarkStart w:id="87"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87"/>
    <w:bookmarkStart w:id="89" w:name="ref-Tankoua2011"/>
    <w:p>
      <w:pPr>
        <w:pStyle w:val="Bibliography"/>
      </w:pPr>
      <w:r>
        <w: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w:t>
      </w:r>
      <w:r>
        <w:t xml:space="preserve"> </w:t>
      </w:r>
      <w:hyperlink r:id="rId88">
        <w:r>
          <w:rPr>
            <w:rStyle w:val="Hyperlink"/>
          </w:rPr>
          <w:t xml:space="preserve">https://doi.org/10.1007/s11356-011-0479-3</w:t>
        </w:r>
      </w:hyperlink>
    </w:p>
    <w:bookmarkEnd w:id="89"/>
    <w:bookmarkStart w:id="90"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90"/>
    <w:bookmarkStart w:id="91" w:name="ref-unsworth2022planetary"/>
    <w:p>
      <w:pPr>
        <w:pStyle w:val="Bibliography"/>
      </w:pPr>
      <w:r>
        <w:t xml:space="preserve">Unsworth, R.K., Cullen-Unsworth, L.C., Jones, B.L., Lilley, R.J., 2022. The planetary role of seagrass conservation. Science 377, 609–613.</w:t>
      </w:r>
    </w:p>
    <w:bookmarkEnd w:id="91"/>
    <w:bookmarkStart w:id="92"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92"/>
    <w:bookmarkStart w:id="93"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93"/>
    <w:bookmarkStart w:id="94"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94"/>
    <w:bookmarkStart w:id="95"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95"/>
    <w:bookmarkEnd w:id="96"/>
    <w:bookmarkEnd w:id="97"/>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47" Target="https://doi.org/10.1002/esp.3290200408" TargetMode="External" /><Relationship Type="http://schemas.openxmlformats.org/officeDocument/2006/relationships/hyperlink" Id="rId88" Target="https://doi.org/10.1007/s11356-011-0479-3" TargetMode="External" /><Relationship Type="http://schemas.openxmlformats.org/officeDocument/2006/relationships/hyperlink" Id="rId77" Target="https://doi.org/10.1016/j.marenvres.2023.106241" TargetMode="External" /><Relationship Type="http://schemas.openxmlformats.org/officeDocument/2006/relationships/hyperlink" Id="rId54" Target="https://doi.org/10.1016/j.rsma.2024.103564" TargetMode="External" /><Relationship Type="http://schemas.openxmlformats.org/officeDocument/2006/relationships/hyperlink" Id="rId44" Target="https://doi.org/10.1016/j.seares.2014.02.014" TargetMode="External" /><Relationship Type="http://schemas.openxmlformats.org/officeDocument/2006/relationships/hyperlink" Id="rId67" Target="https://doi.org/10.1080/17445647.2021.1925170" TargetMode="External" /><Relationship Type="http://schemas.openxmlformats.org/officeDocument/2006/relationships/hyperlink" Id="rId49" Target="https://doi.org/10.2478/trser-2021-0002" TargetMode="External" /><Relationship Type="http://schemas.openxmlformats.org/officeDocument/2006/relationships/hyperlink" Id="rId74" Target="https://doi.org/10.3390/rs16234383" TargetMode="External" /><Relationship Type="http://schemas.openxmlformats.org/officeDocument/2006/relationships/hyperlink" Id="rId72" Target="https://doi.org/10.5281/zenodo.14218984" TargetMode="External" /><Relationship Type="http://schemas.openxmlformats.org/officeDocument/2006/relationships/hyperlink" Id="rId59" Target="https://doi.org/10.5802/crgeos.228" TargetMode="External" /><Relationship Type="http://schemas.openxmlformats.org/officeDocument/2006/relationships/hyperlink" Id="rId41" Target="https://www.agisoft.com/"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esp.3290200408" TargetMode="External" /><Relationship Type="http://schemas.openxmlformats.org/officeDocument/2006/relationships/hyperlink" Id="rId88" Target="https://doi.org/10.1007/s11356-011-0479-3" TargetMode="External" /><Relationship Type="http://schemas.openxmlformats.org/officeDocument/2006/relationships/hyperlink" Id="rId77" Target="https://doi.org/10.1016/j.marenvres.2023.106241" TargetMode="External" /><Relationship Type="http://schemas.openxmlformats.org/officeDocument/2006/relationships/hyperlink" Id="rId54" Target="https://doi.org/10.1016/j.rsma.2024.103564" TargetMode="External" /><Relationship Type="http://schemas.openxmlformats.org/officeDocument/2006/relationships/hyperlink" Id="rId44" Target="https://doi.org/10.1016/j.seares.2014.02.014" TargetMode="External" /><Relationship Type="http://schemas.openxmlformats.org/officeDocument/2006/relationships/hyperlink" Id="rId67" Target="https://doi.org/10.1080/17445647.2021.1925170" TargetMode="External" /><Relationship Type="http://schemas.openxmlformats.org/officeDocument/2006/relationships/hyperlink" Id="rId49" Target="https://doi.org/10.2478/trser-2021-0002" TargetMode="External" /><Relationship Type="http://schemas.openxmlformats.org/officeDocument/2006/relationships/hyperlink" Id="rId74" Target="https://doi.org/10.3390/rs16234383" TargetMode="External" /><Relationship Type="http://schemas.openxmlformats.org/officeDocument/2006/relationships/hyperlink" Id="rId72" Target="https://doi.org/10.5281/zenodo.14218984" TargetMode="External" /><Relationship Type="http://schemas.openxmlformats.org/officeDocument/2006/relationships/hyperlink" Id="rId59" Target="https://doi.org/10.5802/crgeos.228" TargetMode="External" /><Relationship Type="http://schemas.openxmlformats.org/officeDocument/2006/relationships/hyperlink" Id="rId41" Target="https://www.agi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2024-11-26T16:44:17Z</dcterms:created>
  <dcterms:modified xsi:type="dcterms:W3CDTF">2024-11-26T16:44:17Z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2024-11-26</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