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2024-11-16</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35" w:name="introduction"/>
    <w:p>
      <w:pPr>
        <w:pStyle w:val="Heading1"/>
      </w:pPr>
      <w:r>
        <w:t xml:space="preserve">1. Introduction</w:t>
      </w:r>
    </w:p>
    <w:p>
      <w:pPr>
        <w:pStyle w:val="FirstParagraph"/>
      </w:pPr>
      <w:r>
        <w:t xml:space="preserve">Coastal ecosystems are among the most dynamic and productive environments on Earth, providing invaluable ecosystem services and supporting immense biodiversity. These ecosystems, spanning mangroves, salt marshes, seagrass meadows, and rocky intertidal zones, play a pivotal role in carbon sequestration, nutrient cycling, and shoreline stabilization. They also serve as critical habitats for numerous species, many of which are commercially or ecologically significant. Coastal areas are densely populated, with billions of people globally depending on their resources for livelihoods, fisheries, and tourism. However, coastal ecosystems face mounting pressures from human activities such as land reclamation, pollution, and overfishing, compounded by the impacts of climate change. Sea level rise, ocean acidification, and increasing storm intensity further exacerbate the vulnerability of these systems, threatening their resilience and the services they provide. Protecting and sustainably managing these ecosystems is therefore critical for maintaining global biodiversity and supporting human well-being.</w:t>
      </w:r>
    </w:p>
    <w:p>
      <w:pPr>
        <w:pStyle w:val="BodyText"/>
      </w:pPr>
      <w:r>
        <w:t xml:space="preserve">One of the significant threats to coastal ecosystems is biological invasions by non-native species, which can disrupt native biodiversity and alter ecosystem functions (</w:t>
      </w:r>
      <w:r>
        <w:t xml:space="preserve">Krueger-Hadfield (2018)</w:t>
      </w:r>
      <w:r>
        <w:t xml:space="preserve"> </w:t>
      </w:r>
      <w:r>
        <w:t xml:space="preserve">;</w:t>
      </w:r>
      <w:r>
        <w:t xml:space="preserve"> </w:t>
      </w:r>
      <w:r>
        <w:t xml:space="preserve">Capdevila et al. (2019)</w:t>
      </w:r>
      <w:r>
        <w:t xml:space="preserve"> </w:t>
      </w:r>
      <w:r>
        <w:t xml:space="preserve">;</w:t>
      </w:r>
      <w:r>
        <w:t xml:space="preserve">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 (</w:t>
      </w:r>
      <w:r>
        <w:t xml:space="preserve">Rueness (2005)</w:t>
      </w:r>
      <w:r>
        <w:t xml:space="preserve"> </w:t>
      </w:r>
      <w:r>
        <w:t xml:space="preserve">;</w:t>
      </w:r>
      <w:r>
        <w:t xml:space="preserve"> </w:t>
      </w:r>
      <w:r>
        <w:t xml:space="preserve">Weinberger et al. (2008)</w:t>
      </w:r>
      <w:r>
        <w:t xml:space="preserve"> </w:t>
      </w:r>
      <w:r>
        <w:t xml:space="preserve">;</w:t>
      </w:r>
      <w:r>
        <w:t xml:space="preserve"> </w:t>
      </w:r>
      <w:r>
        <w:t xml:space="preserve">Krueger-Hadfield et al. (2017)</w:t>
      </w:r>
      <w:r>
        <w:t xml:space="preserve">). Its success as an invader stems from its tolerance to a wide range of environmental stressors, including temperature (</w:t>
      </w:r>
      <w:r>
        <w:t xml:space="preserve">Sotka et al. (2018)</w:t>
      </w:r>
      <w:r>
        <w:t xml:space="preserve">), salinity (</w:t>
      </w:r>
      <w:r>
        <w:t xml:space="preserve">Weinberger et al. (2008)</w:t>
      </w:r>
      <w:r>
        <w:t xml:space="preserve">), and nutrient variability (</w:t>
      </w:r>
      <w:r>
        <w:t xml:space="preserve">Abreu et al. (2011)</w:t>
      </w:r>
      <w:r>
        <w:t xml:space="preserve">), as well as its ability to establish in soft sediment habitats traditionally devoid of macroalgae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 (</w:t>
      </w:r>
      <w:r>
        <w:t xml:space="preserve">Nyberg et al. (2009)</w:t>
      </w:r>
      <w:r>
        <w:t xml:space="preserve">), and disrupts trophic interactions (</w:t>
      </w:r>
      <w:r>
        <w:t xml:space="preserve">Ginneken et al. (2018)</w:t>
      </w:r>
      <w:r>
        <w:t xml:space="preserve">). In regions like the Baltic Sea and the eastern United States, it has been documented to negatively affect native fucoids and seagrasses (</w:t>
      </w:r>
      <w:r>
        <w:t xml:space="preserve">Van Katwijk (2003)</w:t>
      </w:r>
      <w:r>
        <w:t xml:space="preserve"> </w:t>
      </w:r>
      <w:r>
        <w:t xml:space="preserve">;</w:t>
      </w:r>
      <w:r>
        <w:t xml:space="preserve"> </w:t>
      </w:r>
      <w:r>
        <w:t xml:space="preserve">Thomsen et al. (2013)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 Among these technologies, drone-based remote sensing has emerged as a particularly promising tool for studying coastal environments. Equipped with high-resolution cameras and multispectral or hyperspectral sensors, drones can capture fine-scale spatial and spectral data, enabling researchers to identify and map vegetation, detect stress in plants, and monitor changes over time. Unlike traditional satellite imagery, drones provide the flexibility to operate in overcast conditions, achieve higher spatial resolution, and target specific areas of interest. For invasive species like G. vermiculophylla, drones equipped with multispectral sensors can differentiate it from native vegetation based on its unique spectral reflectance characteristics.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 Gracilaria vermiculophylla in intertidal zones. Bla bla what are we going to do ? bla bla .</w:t>
      </w:r>
    </w:p>
    <w:bookmarkStart w:id="34" w:name="refs"/>
    <w:bookmarkStart w:id="21"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21"/>
    <w:bookmarkStart w:id="22"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22"/>
    <w:bookmarkStart w:id="23"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23"/>
    <w:bookmarkStart w:id="24"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24"/>
    <w:bookmarkStart w:id="25"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25"/>
    <w:bookmarkStart w:id="26" w:name="ref-liu2020ocean"/>
    <w:p>
      <w:pPr>
        <w:pStyle w:val="Bibliography"/>
      </w:pPr>
      <w:r>
        <w:t xml:space="preserve">Liu, C., Zou, D., Liu, Z., Ye, C., 2020. Ocean warming alters the responses to eutrophication in a commercially farmed seaweed, gracilariopsis lemaneiformis. Hydrobiologia 847, 879–893.</w:t>
      </w:r>
    </w:p>
    <w:bookmarkEnd w:id="26"/>
    <w:bookmarkStart w:id="27" w:name="ref-nyberg2009flora"/>
    <w:p>
      <w:pPr>
        <w:pStyle w:val="Bibliography"/>
      </w:pPr>
      <w:r>
        <w:t xml:space="preserve">Nyberg, C.D., Thomsen, M.S., Wallentinus, I., 2009. Flora and fauna associated with the introduced red alga gracilaria vermiculophylla. European Journal of Phycology 44, 395–403.</w:t>
      </w:r>
    </w:p>
    <w:bookmarkEnd w:id="27"/>
    <w:bookmarkStart w:id="28"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28"/>
    <w:bookmarkStart w:id="29" w:name="ref-rueness2005life"/>
    <w:p>
      <w:pPr>
        <w:pStyle w:val="Bibliography"/>
      </w:pPr>
      <w:r>
        <w:t xml:space="preserve">Rueness, J., 2005. Life history and molecular sequences of gracilaria vermiculophylla (gracilariales, rhodophyta), a new introduction to european waters. Phycologia 44, 120–128.</w:t>
      </w:r>
    </w:p>
    <w:bookmarkEnd w:id="29"/>
    <w:bookmarkStart w:id="30"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30"/>
    <w:bookmarkStart w:id="31"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31"/>
    <w:bookmarkStart w:id="32"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32"/>
    <w:bookmarkStart w:id="33"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33"/>
    <w:bookmarkEnd w:id="34"/>
    <w:bookmarkEnd w:id="35"/>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2024-11-16T16:58:51Z</dcterms:created>
  <dcterms:modified xsi:type="dcterms:W3CDTF">2024-11-16T16:58:51Z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2024-11-16</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