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46.png" ContentType="image/png"/>
  <Override PartName="/word/media/rId58.png" ContentType="image/png"/>
  <Override PartName="/word/media/rId41.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Coucou - Monitoring the marine invasive alien species</w:t>
      </w:r>
      <w:r>
        <w:t xml:space="preserve"> </w:t>
      </w:r>
      <w:r>
        <w:rPr>
          <w:i/>
          <w:iCs/>
        </w:rPr>
        <w:t xml:space="preserve">Gracilaria vermiculophylla</w:t>
      </w:r>
      <w:r>
        <w:t xml:space="preserve"> </w:t>
      </w:r>
      <w:r>
        <w:t xml:space="preserve">using unmanned aerial vehicles</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2024-12-15</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 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40"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Digital Surface Model (DSM) with a resolution of 2.5 cm. From the DSM, the slope of each pixel based on a grid of 8 surrounding pixels were computed using the terrain function of the</w:t>
      </w:r>
      <w:r>
        <w:t xml:space="preserve"> </w:t>
      </w:r>
      <w:r>
        <w:t xml:space="preserve">‘terra’</w:t>
      </w:r>
      <w:r>
        <w:t xml:space="preserve"> </w:t>
      </w:r>
      <w:r>
        <w:t xml:space="preserve">package in R</w:t>
      </w:r>
      <w:r>
        <w:t xml:space="preserve"> </w:t>
      </w:r>
      <w:r>
        <w:t xml:space="preserve">(Hijmans, 2024)</w:t>
      </w:r>
      <w:r>
        <w:t xml:space="preserve">. The angle of the mudflat was categorized into three classes: Flat (angle &lt; 10°), Angled (10° ≤ angle ≤ 40°), and Vertical (angle &gt; 40°).</w:t>
      </w:r>
    </w:p>
    <w:bookmarkEnd w:id="33"/>
    <w:bookmarkEnd w:id="34"/>
    <w:bookmarkStart w:id="37"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 A total of 427000 pixels where added to the DISCOV training dataset compared to the version 1 (</w:t>
      </w:r>
      <w:hyperlink w:anchor="tbl-Update_training">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5" w:name="tbl-Update_training"/>
          <w:p>
            <w:pPr>
              <w:jc w:val="center"/>
            </w:pPr>
            <w:pPr>
              <w:jc w:val="start"/>
              <w:spacing w:before="200"/>
              <w:pStyle w:val="ImageCaption"/>
            </w:pPr>
            <w:r>
              <w:t xml:space="preserve">Table 2: Class of the Neural Network model, with the number of training pixels used to train that class and the differences with the training dataset of DISCOV v1.0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Training Pixels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with DISCOV v1.0</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Benthic Diatoms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Bacillariophyceae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x13.95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Chlorophyta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x5.4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Seagrass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Magnoliopsida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Brown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Phaeophyta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Rhodophyta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x46.55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Sediment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x1.24</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91,614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x1.09</w:t>
                  </w:r>
                </w:p>
              </w:tc>
            </w:tr>
          </w:tbl>
          <w:bookmarkEnd w:id="35"/>
        </w:tc>
      </w:tr>
    </w:tbl>
    <w:p>
      <w:pPr>
        <w:pStyle w:val="BodyText"/>
      </w:pPr>
      <w:r>
        <w:t xml:space="preserve">To validate the new version of the DISCOV model, a Shiny app was developed, enabling independent users to photo-interpret snapshots of the ortho-mosaic from each drone flight</w:t>
      </w:r>
      <w:r>
        <w:t xml:space="preserve"> </w:t>
      </w:r>
      <w:r>
        <w:t xml:space="preserve">(Chang et al., 2024; Simon, 2024)</w:t>
      </w:r>
      <w:r>
        <w:t xml:space="preserve">. Users could click on various parts of the snapshots to indicate the type of vegetation they believed was present. Using this method, 3 independent users contributed to creating a validation dataset of 6755 pixels across 79 snapshots distributed among the four drone flights</w:t>
      </w:r>
      <w:r>
        <w:t xml:space="preserve"> </w:t>
      </w:r>
      <w:hyperlink w:anchor="tbl-ValidationDataset">
        <w:r>
          <w:rPr>
            <w:rStyle w:val="Hyperlink"/>
          </w:rPr>
          <w:t xml:space="preserve">Table 3</w:t>
        </w:r>
      </w:hyperlink>
      <w:r>
        <w:t xml:space="preserve">. The validation dataset was then simplify into two classes: Presence of Absence of Red Algae.</w:t>
      </w:r>
    </w:p>
    <w:tbl>
      <w:tblPr>
        <w:tblStyle w:val="Table"/>
        <w:tblW w:type="pct" w:w="5000"/>
        <w:tblLayout w:type="fixed"/>
        <w:tblLook w:firstRow="0" w:lastRow="0" w:firstColumn="0" w:lastColumn="0" w:noHBand="0" w:noVBand="0" w:val="0000"/>
      </w:tblPr>
      <w:tblGrid>
        <w:gridCol w:w="7920"/>
      </w:tblGrid>
      <w:tr>
        <w:tc>
          <w:tcPr/>
          <w:bookmarkStart w:id="36" w:name="tbl-ValidationDataset"/>
          <w:p>
            <w:pPr>
              <w:jc w:val="center"/>
            </w:pPr>
            <w:pPr>
              <w:jc w:val="start"/>
              <w:spacing w:before="200"/>
              <w:pStyle w:val="ImageCaption"/>
            </w:pPr>
            <w:r>
              <w:t xml:space="preserve">Table 3: Presence and absence of red macroalgae for each drone flight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Cortiguera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Cudón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Notre-Dame De Tremor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1,536</w:t>
                  </w:r>
                </w:p>
              </w:tc>
            </w:tr>
            <w:tr>
              <w:trPr>
                <w:trHeight w:val="360"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Pont de Guilly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1,832</w:t>
                  </w:r>
                </w:p>
              </w:tc>
            </w:tr>
            <w:tr>
              <w:trPr>
                <w:trHeight w:val="360" w:hRule="auto"/>
              </w:trPr>
              body5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5,230</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1,525</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6,755</w:t>
                  </w:r>
                </w:p>
              </w:tc>
            </w:tr>
          </w:tbl>
          <w:bookmarkEnd w:id="36"/>
        </w:tc>
      </w:tr>
    </w:tbl>
    <w:bookmarkEnd w:id="37"/>
    <w:bookmarkStart w:id="39" w:name="X852478e0394e3510ff64c90d9aef5c8c81c6d46"/>
    <w:p>
      <w:pPr>
        <w:pStyle w:val="Heading2"/>
      </w:pPr>
      <w:r>
        <w:t xml:space="preserve">2.4 Historical Presence of</w:t>
      </w:r>
      <w:r>
        <w:t xml:space="preserve"> </w:t>
      </w:r>
      <w:r>
        <w:rPr>
          <w:i/>
          <w:iCs/>
        </w:rPr>
        <w:t xml:space="preserve">Gracilaria vermiculophylla</w:t>
      </w:r>
      <w:r>
        <w:t xml:space="preserve"> </w:t>
      </w:r>
      <w:r>
        <w:t xml:space="preserve">in the Bélon esturay</w:t>
      </w:r>
    </w:p>
    <w:p>
      <w:pPr>
        <w:pStyle w:val="FirstParagraph"/>
      </w:pPr>
      <w:r>
        <w:t xml:space="preserve">To assess the historical presence of</w:t>
      </w:r>
      <w:r>
        <w:t xml:space="preserve"> </w:t>
      </w:r>
      <w:r>
        <w:rPr>
          <w:i/>
          <w:iCs/>
        </w:rPr>
        <w:t xml:space="preserve">G. vermiculophylla</w:t>
      </w:r>
      <w:r>
        <w:t xml:space="preserve"> </w:t>
      </w:r>
      <w:r>
        <w:t xml:space="preserve">in the Bélon Estuary, aerial imagery from flight campaigns was obtained via the IGN platform</w:t>
      </w:r>
      <w:r>
        <w:t xml:space="preserve"> </w:t>
      </w:r>
      <w:r>
        <w:t xml:space="preserve">“Remonter Le Temps”</w:t>
      </w:r>
      <w:r>
        <w:t xml:space="preserve"> </w:t>
      </w:r>
      <w:r>
        <w:t xml:space="preserve">(IGN, 2024)</w:t>
      </w:r>
      <w:r>
        <w:t xml:space="preserve">. Nine images were selected between 1952 and 2012 from the IGN plateform and an additional one has been added for the year 2024 (</w:t>
      </w:r>
      <w:hyperlink w:anchor="tbl-IGNimg">
        <w:r>
          <w:rPr>
            <w:rStyle w:val="Hyperlink"/>
          </w:rPr>
          <w:t xml:space="preserve">Table 4</w:t>
        </w:r>
      </w:hyperlink>
      <w:r>
        <w:t xml:space="preserve">). Since most of the images retrieved from</w:t>
      </w:r>
      <w:r>
        <w:t xml:space="preserve"> </w:t>
      </w:r>
      <w:r>
        <w:t xml:space="preserve">“Remonter Le Temps”</w:t>
      </w:r>
      <w:r>
        <w:t xml:space="preserve"> </w:t>
      </w:r>
      <w:r>
        <w:t xml:space="preserve">were digitized versions of physical photographs, georeferencing were required.</w:t>
      </w:r>
    </w:p>
    <w:tbl>
      <w:tblPr>
        <w:tblStyle w:val="Table"/>
        <w:tblW w:type="pct" w:w="5000"/>
        <w:tblLayout w:type="fixed"/>
        <w:tblLook w:firstRow="0" w:lastRow="0" w:firstColumn="0" w:lastColumn="0" w:noHBand="0" w:noVBand="0" w:val="0000"/>
      </w:tblPr>
      <w:tblGrid>
        <w:gridCol w:w="7920"/>
      </w:tblGrid>
      <w:tr>
        <w:tc>
          <w:tcPr/>
          <w:bookmarkStart w:id="38" w:name="tbl-IGNimg"/>
          <w:p>
            <w:pPr>
              <w:jc w:val="center"/>
            </w:pPr>
            <w:pPr>
              <w:jc w:val="start"/>
              <w:spacing w:before="200"/>
              <w:pStyle w:val="ImageCaption"/>
            </w:pPr>
            <w:r>
              <w:t xml:space="preserve">Table 4: Images used to assess the historical presence of Gracilaria vermiculophylla in the Belon esturay. Images from the IGN data source have been retrieved from the</w:t>
            </w:r>
            <w:r>
              <w:t xml:space="preserve"> </w:t>
            </w:r>
            <w:r>
              <w:t xml:space="preserve">“Remonter Le Temps”</w:t>
            </w:r>
            <w:r>
              <w:t xml:space="preserve"> </w:t>
            </w:r>
            <w:r>
              <w:t xml:space="preserve">plateform</w:t>
            </w:r>
            <w:r>
              <w:t xml:space="preserve"> </w:t>
            </w:r>
            <w:r>
              <w:t xml:space="preserve">(IGN, 2024)</w:t>
            </w:r>
            <w:r>
              <w:t xml:space="preserve">. Drone flight have been performed by the team using a Mavic 3 Entreprise.</w:t>
            </w:r>
          </w:p>
          <w:tbl>
            <w:tblPr>
              <w:tblStyle w:val="Table"/>
              <w:tblW w:type="pct" w:w="5000"/>
              <w:tblLayout w:type="fixed"/>
              <w:tblLook w:firstRow="1" w:lastRow="0" w:firstColumn="0" w:lastColumn="0" w:noHBand="0" w:noVBand="0" w:val="0020"/>
            </w:tblPr>
            <w:tblGrid>
              <w:gridCol w:w="1357"/>
              <w:gridCol w:w="1923"/>
              <w:gridCol w:w="1584"/>
              <w:gridCol w:w="3054"/>
            </w:tblGrid>
            <w:tr>
              <w:trPr>
                <w:tblHeader w:val="on"/>
              </w:trPr>
              <w:tc>
                <w:tcPr/>
                <w:p>
                  <w:pPr>
                    <w:pStyle w:val="Compact"/>
                    <w:jc w:val="center"/>
                    <w:jc w:val="center"/>
                  </w:pPr>
                  <w:r>
                    <w:t xml:space="preserve">Date</w:t>
                  </w:r>
                </w:p>
              </w:tc>
              <w:tc>
                <w:tcPr/>
                <w:p>
                  <w:pPr>
                    <w:pStyle w:val="Compact"/>
                    <w:jc w:val="center"/>
                    <w:jc w:val="center"/>
                  </w:pPr>
                  <w:r>
                    <w:t xml:space="preserve">Type</w:t>
                  </w:r>
                </w:p>
              </w:tc>
              <w:tc>
                <w:tcPr/>
                <w:p>
                  <w:pPr>
                    <w:pStyle w:val="Compact"/>
                    <w:jc w:val="center"/>
                    <w:jc w:val="center"/>
                  </w:pPr>
                  <w:r>
                    <w:t xml:space="preserve">Data Source</w:t>
                  </w:r>
                </w:p>
              </w:tc>
              <w:tc>
                <w:tcPr/>
                <w:p>
                  <w:pPr>
                    <w:pStyle w:val="Compact"/>
                    <w:jc w:val="center"/>
                    <w:jc w:val="center"/>
                  </w:pPr>
                  <w:r>
                    <w:t xml:space="preserve">Resolution (cm per Pixel)</w:t>
                  </w:r>
                </w:p>
              </w:tc>
            </w:tr>
            <w:tr>
              <w:tc>
                <w:tcPr/>
                <w:p>
                  <w:pPr>
                    <w:pStyle w:val="Compact"/>
                    <w:jc w:val="center"/>
                    <w:jc w:val="center"/>
                  </w:pPr>
                  <w:r>
                    <w:t xml:space="preserve">1952-04-26</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10</w:t>
                  </w:r>
                </w:p>
              </w:tc>
            </w:tr>
            <w:tr>
              <w:tc>
                <w:tcPr/>
                <w:p>
                  <w:pPr>
                    <w:pStyle w:val="Compact"/>
                    <w:jc w:val="center"/>
                    <w:jc w:val="center"/>
                  </w:pPr>
                  <w:r>
                    <w:t xml:space="preserve">1958-04-22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90</w:t>
                  </w:r>
                </w:p>
              </w:tc>
            </w:tr>
            <w:tr>
              <w:tc>
                <w:tcPr/>
                <w:p>
                  <w:pPr>
                    <w:pStyle w:val="Compact"/>
                    <w:jc w:val="center"/>
                    <w:jc w:val="center"/>
                  </w:pPr>
                  <w:r>
                    <w:t xml:space="preserve">1976-07-?</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w:t>
                  </w:r>
                </w:p>
              </w:tc>
            </w:tr>
            <w:tr>
              <w:tc>
                <w:tcPr/>
                <w:p>
                  <w:pPr>
                    <w:pStyle w:val="Compact"/>
                    <w:jc w:val="center"/>
                    <w:jc w:val="center"/>
                  </w:pPr>
                  <w:r>
                    <w:t xml:space="preserve">1978-08-22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1982-08-11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1992-05-17</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70</w:t>
                  </w:r>
                </w:p>
              </w:tc>
            </w:tr>
            <w:tr>
              <w:tc>
                <w:tcPr/>
                <w:p>
                  <w:pPr>
                    <w:pStyle w:val="Compact"/>
                    <w:jc w:val="center"/>
                    <w:jc w:val="center"/>
                  </w:pPr>
                  <w:r>
                    <w:t xml:space="preserve">1997-04-11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64</w:t>
                  </w:r>
                </w:p>
              </w:tc>
            </w:tr>
            <w:tr>
              <w:tc>
                <w:tcPr/>
                <w:p>
                  <w:pPr>
                    <w:pStyle w:val="Compact"/>
                    <w:jc w:val="center"/>
                    <w:jc w:val="center"/>
                  </w:pPr>
                  <w:r>
                    <w:t xml:space="preserve">2012-07-24</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18</w:t>
                  </w:r>
                </w:p>
              </w:tc>
            </w:tr>
            <w:tr>
              <w:tc>
                <w:tcPr/>
                <w:p>
                  <w:pPr>
                    <w:pStyle w:val="Compact"/>
                    <w:jc w:val="center"/>
                    <w:jc w:val="center"/>
                  </w:pPr>
                  <w:r>
                    <w:t xml:space="preserve">2024-04-11</w:t>
                  </w:r>
                </w:p>
              </w:tc>
              <w:tc>
                <w:tcPr/>
                <w:p>
                  <w:pPr>
                    <w:pStyle w:val="Compact"/>
                    <w:jc w:val="center"/>
                    <w:jc w:val="center"/>
                  </w:pPr>
                  <w:r>
                    <w:t xml:space="preserve">True Color</w:t>
                  </w:r>
                </w:p>
              </w:tc>
              <w:tc>
                <w:tcPr/>
                <w:p>
                  <w:pPr>
                    <w:pStyle w:val="Compact"/>
                    <w:jc w:val="center"/>
                    <w:jc w:val="center"/>
                  </w:pPr>
                  <w:r>
                    <w:t xml:space="preserve">Drone Flight</w:t>
                  </w:r>
                </w:p>
              </w:tc>
              <w:tc>
                <w:tcPr/>
                <w:p>
                  <w:pPr>
                    <w:pStyle w:val="Compact"/>
                    <w:jc w:val="center"/>
                    <w:jc w:val="center"/>
                  </w:pPr>
                  <w:r>
                    <w:t xml:space="preserve">3</w:t>
                  </w:r>
                </w:p>
              </w:tc>
            </w:tr>
          </w:tbl>
          <w:bookmarkEnd w:id="38"/>
          <w:p/>
        </w:tc>
      </w:tr>
    </w:tbl>
    <w:p>
      <w:pPr>
        <w:pStyle w:val="BodyText"/>
      </w:pPr>
      <w:r>
        <w:t xml:space="preserve">For each date, polygons have been drawn around</w:t>
      </w:r>
      <w:r>
        <w:t xml:space="preserve"> </w:t>
      </w:r>
      <w:r>
        <w:rPr>
          <w:i/>
          <w:iCs/>
        </w:rPr>
        <w:t xml:space="preserve">G. vermiculophylla</w:t>
      </w:r>
      <w:r>
        <w:t xml:space="preserve"> </w:t>
      </w:r>
      <w:r>
        <w:t xml:space="preserve">patches by visually photo-interpreting on each images. These polygons were used to calculate the total area of the mudflat covered by macroalgae within a common extent of 30 hectares in Pont de Guilly, located in the Bélon Estuary, South Brittany, France.</w:t>
      </w:r>
    </w:p>
    <w:bookmarkEnd w:id="39"/>
    <w:bookmarkEnd w:id="40"/>
    <w:bookmarkStart w:id="64" w:name="results"/>
    <w:p>
      <w:pPr>
        <w:pStyle w:val="Heading1"/>
      </w:pPr>
      <w:r>
        <w:t xml:space="preserve">3. Results</w:t>
      </w:r>
    </w:p>
    <w:bookmarkStart w:id="51" w:name="historical-records-in-the-belon-estuary"/>
    <w:p>
      <w:pPr>
        <w:pStyle w:val="Heading2"/>
      </w:pPr>
      <w:r>
        <w:t xml:space="preserve">3.1 Historical records in the Belon estuary</w:t>
      </w:r>
    </w:p>
    <w:p>
      <w:pPr>
        <w:pStyle w:val="FirstParagraph"/>
      </w:pPr>
      <w:r>
        <w:t xml:space="preserve">A clear shift in sediment coloration over the paste 70 years were observed, closely aligned with the subsequent proliferation of the invasive red macroalga</w:t>
      </w:r>
      <w:r>
        <w:t xml:space="preserve"> </w:t>
      </w:r>
      <w:r>
        <w:rPr>
          <w:i/>
          <w:iCs/>
        </w:rPr>
        <w:t xml:space="preserve">Gracilaria vermiculophylla</w:t>
      </w:r>
      <w:r>
        <w:t xml:space="preserve"> </w:t>
      </w:r>
      <w:r>
        <w:t xml:space="preserve">(</w:t>
      </w:r>
      <w:hyperlink w:anchor="fig-HistoricalMap">
        <w:r>
          <w:rPr>
            <w:rStyle w:val="Hyperlink"/>
          </w:rPr>
          <w:t xml:space="preserve">Figure 2</w:t>
        </w:r>
      </w:hyperlink>
      <w:r>
        <w:t xml:space="preserve">). Before 1976, the sediments appeared relatively light, indicating no detectable presence of this species. Following its initial appearance in 1976, subtle darkening of the sediment became discernible, coinciding with the early establishment of</w:t>
      </w:r>
      <w:r>
        <w:t xml:space="preserve"> </w:t>
      </w:r>
      <w:r>
        <w:rPr>
          <w:i/>
          <w:iCs/>
        </w:rPr>
        <w:t xml:space="preserve">G. vermiculophylla</w:t>
      </w:r>
      <w:r>
        <w:t xml:space="preserve">. During the subsequent decades, the late 1970s through the 1990s, this darkening trend became more pronounced and widespread, reflecting an increasing spatial coverage and biomass of the algae. By the early 2000s, and especially by 2024, the sediment exhibited consistently darker tones, indicative of extensive and persistent colonization by</w:t>
      </w:r>
      <w:r>
        <w:t xml:space="preserve"> </w:t>
      </w:r>
      <w:r>
        <w:rPr>
          <w:i/>
          <w:iCs/>
        </w:rPr>
        <w:t xml:space="preserve">G. vermiculophylla</w:t>
      </w:r>
      <w:r>
        <w:t xml:space="preserve">.</w:t>
      </w:r>
    </w:p>
    <w:bookmarkStart w:id="45" w:name="cell-fig-HistoricalMap"/>
    <w:tbl>
      <w:tblPr>
        <w:tblStyle w:val="Table"/>
        <w:tblW w:type="pct" w:w="5000"/>
        <w:tblLayout w:type="fixed"/>
        <w:tblLook w:firstRow="0" w:lastRow="0" w:firstColumn="0" w:lastColumn="0" w:noHBand="0" w:noVBand="0" w:val="0000"/>
      </w:tblPr>
      <w:tblGrid>
        <w:gridCol w:w="7920"/>
      </w:tblGrid>
      <w:tr>
        <w:tc>
          <w:tcPr/>
          <w:bookmarkStart w:id="44" w:name="fig-HistoricalMap"/>
          <w:p>
            <w:pPr>
              <w:pStyle w:val="Compact"/>
              <w:jc w:val="center"/>
            </w:pPr>
            <w:r>
              <w:drawing>
                <wp:inline>
                  <wp:extent cx="5646420" cy="2549358"/>
                  <wp:effectExtent b="0" l="0" r="0" t="0"/>
                  <wp:docPr descr="" title="" id="42" name="Picture"/>
                  <a:graphic>
                    <a:graphicData uri="http://schemas.openxmlformats.org/drawingml/2006/picture">
                      <pic:pic>
                        <pic:nvPicPr>
                          <pic:cNvPr descr="./Figures/Low_res/Historical_maps.png" id="43" name="Picture"/>
                          <pic:cNvPicPr>
                            <a:picLocks noChangeArrowheads="1" noChangeAspect="1"/>
                          </pic:cNvPicPr>
                        </pic:nvPicPr>
                        <pic:blipFill>
                          <a:blip r:embed="rId41"/>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4"/>
        </w:tc>
      </w:tr>
    </w:tbl>
    <w:bookmarkEnd w:id="45"/>
    <w:p>
      <w:pPr>
        <w:pStyle w:val="BodyText"/>
      </w:pPr>
      <w:r>
        <w:t xml:space="preserve">From the early recordings in the 1950s through the late 1970s,</w:t>
      </w:r>
      <w:r>
        <w:t xml:space="preserve"> </w:t>
      </w:r>
      <w:r>
        <w:rPr>
          <w:i/>
          <w:iCs/>
        </w:rPr>
        <w:t xml:space="preserve">Gracilaria vermiculophylla</w:t>
      </w:r>
      <w:r>
        <w:t xml:space="preserve"> </w:t>
      </w:r>
      <w:r>
        <w:t xml:space="preserve">coverage remained effectively at 0% (</w:t>
      </w:r>
      <w:hyperlink w:anchor="fig-HistoricalPlot">
        <w:r>
          <w:rPr>
            <w:rStyle w:val="Hyperlink"/>
          </w:rPr>
          <w:t xml:space="preserve">Figure 3</w:t>
        </w:r>
      </w:hyperlink>
      <w:r>
        <w:t xml:space="preserve">). Shortly after the introduction of</w:t>
      </w:r>
      <w:r>
        <w:t xml:space="preserve"> </w:t>
      </w:r>
      <w:r>
        <w:rPr>
          <w:i/>
          <w:iCs/>
        </w:rPr>
        <w:t xml:space="preserve">Crassostrea gigas</w:t>
      </w:r>
      <w:r>
        <w:t xml:space="preserve"> </w:t>
      </w:r>
      <w:r>
        <w:t xml:space="preserve">in the estuary (see vertical red dashed line in the figure), the first detectable presence of</w:t>
      </w:r>
      <w:r>
        <w:t xml:space="preserve"> </w:t>
      </w:r>
      <w:r>
        <w:rPr>
          <w:i/>
          <w:iCs/>
        </w:rPr>
        <w:t xml:space="preserve">G. vermiculophylla</w:t>
      </w:r>
      <w:r>
        <w:t xml:space="preserve"> </w:t>
      </w:r>
      <w:r>
        <w:t xml:space="preserve">emerged. By 1976, it covered 2.5% (0.7 ha) of the Pont du Guilly area, and by 1978 it had increased slightly to 3.0% (0.9 ha). From 1982 onward, coverage expanded more rapidly, increasing from 6.6% (2.0 ha) in 1982 to 14.7% (4.5 ha) in 1992 and nearly 30% (9.0 ha) by 1997. This upward trend continued into the 21st century, peaking at 43.8% (13.3 ha) in 2012. Although coverage fluctuated somewhat thereafter (40.6% in 2019 and 40.2% in 2024), it remained consistently high, indicating sustained and widespread colonization.</w:t>
      </w:r>
    </w:p>
    <w:bookmarkStart w:id="50" w:name="cell-fig-HistoricalPlot"/>
    <w:tbl>
      <w:tblPr>
        <w:tblStyle w:val="Table"/>
        <w:tblW w:type="pct" w:w="5000"/>
        <w:tblLayout w:type="fixed"/>
        <w:tblLook w:firstRow="0" w:lastRow="0" w:firstColumn="0" w:lastColumn="0" w:noHBand="0" w:noVBand="0" w:val="0000"/>
      </w:tblPr>
      <w:tblGrid>
        <w:gridCol w:w="7920"/>
      </w:tblGrid>
      <w:tr>
        <w:tc>
          <w:tcPr/>
          <w:bookmarkStart w:id="49" w:name="fig-HistoricalPlot"/>
          <w:p>
            <w:pPr>
              <w:pStyle w:val="Compact"/>
              <w:jc w:val="center"/>
            </w:pPr>
            <w:r>
              <w:drawing>
                <wp:inline>
                  <wp:extent cx="5646420" cy="3387852"/>
                  <wp:effectExtent b="0" l="0" r="0" t="0"/>
                  <wp:docPr descr="" title="" id="47" name="Picture"/>
                  <a:graphic>
                    <a:graphicData uri="http://schemas.openxmlformats.org/drawingml/2006/picture">
                      <pic:pic>
                        <pic:nvPicPr>
                          <pic:cNvPr descr="./Figures/Low_res/Cover_Gracillaria_vs_Time.png" id="48" name="Picture"/>
                          <pic:cNvPicPr>
                            <a:picLocks noChangeArrowheads="1" noChangeAspect="1"/>
                          </pic:cNvPicPr>
                        </pic:nvPicPr>
                        <pic:blipFill>
                          <a:blip r:embed="rId46"/>
                          <a:stretch>
                            <a:fillRect/>
                          </a:stretch>
                        </pic:blipFill>
                        <pic:spPr bwMode="auto">
                          <a:xfrm>
                            <a:off x="0" y="0"/>
                            <a:ext cx="5646420" cy="33878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Gracilaria vermiculophylla cover at Pont du Guilly in the Belon Estuary. The red vertical line indicates the date of Crassostrea gigas introduction in France</w:t>
            </w:r>
            <w:r>
              <w:t xml:space="preserve"> </w:t>
            </w:r>
            <w:r>
              <w:t xml:space="preserve">(Grizel and Heral, 1991)</w:t>
            </w:r>
            <w:r>
              <w:t xml:space="preserve">, while the golden line represents the date of the first documented mention of Gracilaria vermiculophylla invasion in France in the literature</w:t>
            </w:r>
            <w:r>
              <w:t xml:space="preserve"> </w:t>
            </w:r>
            <w:r>
              <w:t xml:space="preserve">(Rueness, 2005)</w:t>
            </w:r>
            <w:r>
              <w:t xml:space="preserve">.</w:t>
            </w:r>
          </w:p>
          <w:bookmarkEnd w:id="49"/>
        </w:tc>
      </w:tr>
    </w:tbl>
    <w:bookmarkEnd w:id="50"/>
    <w:bookmarkEnd w:id="51"/>
    <w:bookmarkStart w:id="52" w:name="spectral-description"/>
    <w:p>
      <w:pPr>
        <w:pStyle w:val="Heading2"/>
      </w:pPr>
      <w:r>
        <w:t xml:space="preserve">3.2 Spectral description</w:t>
      </w:r>
    </w:p>
    <w:bookmarkEnd w:id="52"/>
    <w:bookmarkStart w:id="63" w:name="spatial-distribution"/>
    <w:p>
      <w:pPr>
        <w:pStyle w:val="Heading2"/>
      </w:pPr>
      <w:r>
        <w:t xml:space="preserve">3.3 Spatial distribution</w:t>
      </w:r>
    </w:p>
    <w:p>
      <w:pPr>
        <w:pStyle w:val="FirstParagraph"/>
      </w:pPr>
      <w:r>
        <w:t xml:space="preserve">The classification map illustrates the diversity of benthic communities and substrates in the study area (</w:t>
      </w:r>
      <w:hyperlink w:anchor="fig-Belon">
        <w:r>
          <w:rPr>
            <w:rStyle w:val="Hyperlink"/>
          </w:rPr>
          <w:t xml:space="preserve">Figure 4</w:t>
        </w:r>
      </w:hyperlink>
      <w:r>
        <w:t xml:space="preserve"> </w:t>
      </w:r>
      <w:r>
        <w:t xml:space="preserve">A and B). Rhodophyceae (red) emerges as the dominant algal cover, forming extensive, continuous patches aligned with the mid-intertidal zones. In contrast, Bacillariophyceae (orange) and Chlorophyceae (green) exhibit more localized distributions, typically restricted to smaller, fragmented patches where specific microtopographic or hydrodynamic conditions favor their presence. Phaeophyceae (brown) is confined to limited patches, often found near transitional zones between sediment and water or in the upper intertidal area, where it is attached to rocky substrates. The water class (blue) delineates the main tidal channel, which meanders through the center of the area and influences the distribution of adjacent habitats. Across the for study sites the presence/absence of G. vermiculophylla were classified with a global accuracy of 91.1 %, a sensitivity of 96.5 % and a specificity of 71.5 %.</w:t>
      </w:r>
    </w:p>
    <w:p>
      <w:pPr>
        <w:pStyle w:val="BodyText"/>
      </w:pPr>
      <w:r>
        <w:t xml:space="preserve">The bathymetric map reveals a continuous gradient in elevation relative to mean sea level (</w:t>
      </w:r>
      <w:hyperlink w:anchor="fig-Belon">
        <w:r>
          <w:rPr>
            <w:rStyle w:val="Hyperlink"/>
          </w:rPr>
          <w:t xml:space="preserve">Figure 4</w:t>
        </w:r>
      </w:hyperlink>
      <w:r>
        <w:t xml:space="preserve"> </w:t>
      </w:r>
      <w:r>
        <w:t xml:space="preserve">C). A comparison of bathymetry and vegetation distribution highlights a clear elevation-driven pattern in algal presence. Higher intertidal zones, located above the deeper channel areas, are associated with more extensive algal communities. In contrast, lower intertidal zones closer to the channel consistently exhibit reduced macroalgal cover.</w:t>
      </w:r>
    </w:p>
    <w:bookmarkStart w:id="57" w:name="cell-fig-Belon"/>
    <w:tbl>
      <w:tblPr>
        <w:tblStyle w:val="Table"/>
        <w:tblW w:type="pct" w:w="5000"/>
        <w:tblLayout w:type="fixed"/>
        <w:tblLook w:firstRow="0" w:lastRow="0" w:firstColumn="0" w:lastColumn="0" w:noHBand="0" w:noVBand="0" w:val="0000"/>
      </w:tblPr>
      <w:tblGrid>
        <w:gridCol w:w="7920"/>
      </w:tblGrid>
      <w:tr>
        <w:tc>
          <w:tcPr/>
          <w:bookmarkStart w:id="56" w:name="fig-Belon"/>
          <w:p>
            <w:pPr>
              <w:pStyle w:val="Compact"/>
              <w:jc w:val="center"/>
            </w:pPr>
            <w:r>
              <w:drawing>
                <wp:inline>
                  <wp:extent cx="5646420" cy="7156425"/>
                  <wp:effectExtent b="0" l="0" r="0" t="0"/>
                  <wp:docPr descr="" title="" id="54" name="Picture"/>
                  <a:graphic>
                    <a:graphicData uri="http://schemas.openxmlformats.org/drawingml/2006/picture">
                      <pic:pic>
                        <pic:nvPicPr>
                          <pic:cNvPr descr="./Figures/Low_res/Belon_maps.png" id="55" name="Picture"/>
                          <pic:cNvPicPr>
                            <a:picLocks noChangeArrowheads="1" noChangeAspect="1"/>
                          </pic:cNvPicPr>
                        </pic:nvPicPr>
                        <pic:blipFill>
                          <a:blip r:embed="rId53"/>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DISCOV Prediction (A), RGB composition (B), Bathymetry (C) and mudflat angle (D) of the Bélon estuary site in Brttany, France. The total extent of this flight was 21 hectars with a resolution of 8 mm per pixel. Bathymetry is represented as the height above mean sea level.</w:t>
            </w:r>
          </w:p>
          <w:bookmarkEnd w:id="56"/>
        </w:tc>
      </w:tr>
    </w:tbl>
    <w:bookmarkEnd w:id="57"/>
    <w:p>
      <w:pPr>
        <w:pStyle w:val="BodyText"/>
      </w:pPr>
      <w:r>
        <w:t xml:space="preserve">Overall, the percent cover of</w:t>
      </w:r>
      <w:r>
        <w:t xml:space="preserve"> </w:t>
      </w:r>
      <w:r>
        <w:rPr>
          <w:i/>
          <w:iCs/>
        </w:rPr>
        <w:t xml:space="preserve">Gracilaria vermiculophylla</w:t>
      </w:r>
      <w:r>
        <w:t xml:space="preserve"> </w:t>
      </w:r>
      <w:r>
        <w:t xml:space="preserve">increases with bathymetry, as shown by the general relationship (</w:t>
      </w:r>
      <w:hyperlink w:anchor="fig-Gam_Slope">
        <w:r>
          <w:rPr>
            <w:rStyle w:val="Hyperlink"/>
          </w:rPr>
          <w:t xml:space="preserve">Figure 5</w:t>
        </w:r>
      </w:hyperlink>
      <w:r>
        <w:t xml:space="preserve">, black line), which rises from approximately 16% at the lowest elevation to about 30% at the highest elevation. This indicates a consistent positive association between bathymetry and algal cover.</w:t>
      </w:r>
    </w:p>
    <w:p>
      <w:pPr>
        <w:pStyle w:val="BodyText"/>
      </w:pPr>
      <w:r>
        <w:t xml:space="preserve">When accounting for slope, the flatter the slope, the higher the percent cover of</w:t>
      </w:r>
      <w:r>
        <w:t xml:space="preserve"> </w:t>
      </w:r>
      <w:r>
        <w:rPr>
          <w:i/>
          <w:iCs/>
        </w:rPr>
        <w:t xml:space="preserve">G. vermiculophylla</w:t>
      </w:r>
      <w:r>
        <w:t xml:space="preserve">. For flat slopes, the cover ranges from approximately 20% at the lowest elevation to nearly 38% at the highest elevation. In contrast, for angled slopes, the increase is less pronounced, ranging from around 16% to 32%. On steep slopes, the cover is the lowest, starting at about 15% and rising only slightly above 30% at the highest elevation (</w:t>
      </w:r>
      <w:hyperlink w:anchor="fig-Gam_Slope">
        <w:r>
          <w:rPr>
            <w:rStyle w:val="Hyperlink"/>
          </w:rPr>
          <w:t xml:space="preserve">Figure 5</w:t>
        </w:r>
      </w:hyperlink>
      <w:r>
        <w:t xml:space="preserve">). This demonstrates that slope modifies the relationship, with flatter slopes supporting a greater percent cover of the algae.</w:t>
      </w:r>
    </w:p>
    <w:bookmarkStart w:id="62" w:name="cell-fig-Gam_Slope"/>
    <w:tbl>
      <w:tblPr>
        <w:tblStyle w:val="Table"/>
        <w:tblW w:type="pct" w:w="5000"/>
        <w:tblLayout w:type="fixed"/>
        <w:tblLook w:firstRow="0" w:lastRow="0" w:firstColumn="0" w:lastColumn="0" w:noHBand="0" w:noVBand="0" w:val="0000"/>
      </w:tblPr>
      <w:tblGrid>
        <w:gridCol w:w="7920"/>
      </w:tblGrid>
      <w:tr>
        <w:tc>
          <w:tcPr/>
          <w:bookmarkStart w:id="61" w:name="fig-Gam_Slope"/>
          <w:p>
            <w:pPr>
              <w:pStyle w:val="Compact"/>
              <w:jc w:val="center"/>
            </w:pPr>
            <w:r>
              <w:drawing>
                <wp:inline>
                  <wp:extent cx="5646420" cy="2823210"/>
                  <wp:effectExtent b="0" l="0" r="0" t="0"/>
                  <wp:docPr descr="" title="" id="59" name="Picture"/>
                  <a:graphic>
                    <a:graphicData uri="http://schemas.openxmlformats.org/drawingml/2006/picture">
                      <pic:pic>
                        <pic:nvPicPr>
                          <pic:cNvPr descr="./Figures/Low_res/GAM_slope_cover.png" id="60" name="Picture"/>
                          <pic:cNvPicPr>
                            <a:picLocks noChangeArrowheads="1" noChangeAspect="1"/>
                          </pic:cNvPicPr>
                        </pic:nvPicPr>
                        <pic:blipFill>
                          <a:blip r:embed="rId58"/>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DISCOV Prediction (A), RGB composition (B) and Bathymetry (C) of the Bélon estuary site in Brttany, France. The total extent of this flight was 21 hectars with a resolution of 8 mm per pixel. Bathymetry is represented as the height above mean sea level.</w:t>
            </w:r>
          </w:p>
          <w:bookmarkEnd w:id="61"/>
        </w:tc>
      </w:tr>
    </w:tbl>
    <w:bookmarkEnd w:id="62"/>
    <w:bookmarkEnd w:id="63"/>
    <w:bookmarkEnd w:id="64"/>
    <w:bookmarkStart w:id="68" w:name="discussion"/>
    <w:p>
      <w:pPr>
        <w:pStyle w:val="Heading1"/>
      </w:pPr>
      <w:r>
        <w:t xml:space="preserve">4. Discussion</w:t>
      </w:r>
    </w:p>
    <w:bookmarkStart w:id="65"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w:t>
      </w:r>
      <w:r>
        <w:t xml:space="preserve"> </w:t>
      </w:r>
      <w:r>
        <w:rPr>
          <w:i/>
          <w:iCs/>
        </w:rPr>
        <w:t xml:space="preserve">G. vermiculophylla</w:t>
      </w:r>
      <w:r>
        <w:t xml:space="preserve"> </w:t>
      </w:r>
      <w:r>
        <w:t xml:space="preserve">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65"/>
    <w:bookmarkStart w:id="66"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66"/>
    <w:bookmarkStart w:id="67"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 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67"/>
    <w:bookmarkEnd w:id="68"/>
    <w:bookmarkStart w:id="69" w:name="conclusion"/>
    <w:p>
      <w:pPr>
        <w:pStyle w:val="Heading1"/>
      </w:pPr>
      <w:r>
        <w:t xml:space="preserve">5. Conclusion</w:t>
      </w:r>
    </w:p>
    <w:bookmarkEnd w:id="69"/>
    <w:bookmarkStart w:id="145" w:name="references"/>
    <w:p>
      <w:pPr>
        <w:pStyle w:val="Heading1"/>
      </w:pPr>
      <w:r>
        <w:t xml:space="preserve">6. References</w:t>
      </w:r>
    </w:p>
    <w:bookmarkStart w:id="144" w:name="refs"/>
    <w:bookmarkStart w:id="70"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70"/>
    <w:bookmarkStart w:id="72" w:name="ref-agisoft"/>
    <w:p>
      <w:pPr>
        <w:pStyle w:val="Bibliography"/>
      </w:pPr>
      <w:r>
        <w:t xml:space="preserve">Agisoft, 2019.</w:t>
      </w:r>
      <w:r>
        <w:t xml:space="preserve"> </w:t>
      </w:r>
      <w:hyperlink r:id="rId71">
        <w:r>
          <w:rPr>
            <w:rStyle w:val="Hyperlink"/>
          </w:rPr>
          <w:t xml:space="preserve">Agisoft metashape</w:t>
        </w:r>
      </w:hyperlink>
      <w:r>
        <w:t xml:space="preserve">.</w:t>
      </w:r>
    </w:p>
    <w:bookmarkEnd w:id="72"/>
    <w:bookmarkStart w:id="74"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73">
        <w:r>
          <w:rPr>
            <w:rStyle w:val="Hyperlink"/>
          </w:rPr>
          <w:t xml:space="preserve">https://doi.org/10.1016/j.seares.2014.02.014</w:t>
        </w:r>
      </w:hyperlink>
    </w:p>
    <w:bookmarkEnd w:id="74"/>
    <w:bookmarkStart w:id="75"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75"/>
    <w:bookmarkStart w:id="76"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76"/>
    <w:bookmarkStart w:id="78" w:name="ref-Castaing1995"/>
    <w:p>
      <w:pPr>
        <w:pStyle w:val="Bibliography"/>
      </w:pPr>
      <w:r>
        <w:t xml:space="preserve">Castaing, P., Guilcher, A., 1995. Morphosedimentary evolution of ria-type estuaries. Earth Surface Processes and Landforms 20, 361–376.</w:t>
      </w:r>
      <w:r>
        <w:t xml:space="preserve"> </w:t>
      </w:r>
      <w:hyperlink r:id="rId77">
        <w:r>
          <w:rPr>
            <w:rStyle w:val="Hyperlink"/>
          </w:rPr>
          <w:t xml:space="preserve">https://doi.org/10.1002/esp.3290200408</w:t>
        </w:r>
      </w:hyperlink>
    </w:p>
    <w:bookmarkEnd w:id="78"/>
    <w:bookmarkStart w:id="79"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79"/>
    <w:bookmarkStart w:id="81" w:name="ref-shinypck"/>
    <w:p>
      <w:pPr>
        <w:pStyle w:val="Bibliography"/>
      </w:pPr>
      <w:r>
        <w:t xml:space="preserve">Chang, W., Cheng, J., Allaire, J., Sievert, C., Schloerke, B., Xie, Y., Allen, J., McPherson, J., Dipert, A., Borges, B., 2024.</w:t>
      </w:r>
      <w:r>
        <w:t xml:space="preserve"> </w:t>
      </w:r>
      <w:hyperlink r:id="rId80">
        <w:r>
          <w:rPr>
            <w:rStyle w:val="Hyperlink"/>
          </w:rPr>
          <w:t xml:space="preserve">Shiny: Web application framework for r</w:t>
        </w:r>
      </w:hyperlink>
      <w:r>
        <w:t xml:space="preserve">.</w:t>
      </w:r>
    </w:p>
    <w:bookmarkEnd w:id="81"/>
    <w:bookmarkStart w:id="82"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82"/>
    <w:bookmarkStart w:id="83"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83"/>
    <w:bookmarkStart w:id="84"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84"/>
    <w:bookmarkStart w:id="85"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85"/>
    <w:bookmarkStart w:id="87"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86">
        <w:r>
          <w:rPr>
            <w:rStyle w:val="Hyperlink"/>
          </w:rPr>
          <w:t xml:space="preserve">https://doi.org/10.3390/rs14133124</w:t>
        </w:r>
      </w:hyperlink>
    </w:p>
    <w:bookmarkEnd w:id="87"/>
    <w:bookmarkStart w:id="89" w:name="ref-rs14020346"/>
    <w:p>
      <w:pPr>
        <w:pStyle w:val="Bibliography"/>
      </w:pPr>
      <w:r>
        <w:t xml:space="preserve">Douay, F., Verpoorter, C., Duong, G., Spilmont, N., Gevaert, F., 2022. New hyperspectral procedure to discriminate intertidal macroalgae. Remote Sensing 14.</w:t>
      </w:r>
      <w:r>
        <w:t xml:space="preserve"> </w:t>
      </w:r>
      <w:hyperlink r:id="rId88">
        <w:r>
          <w:rPr>
            <w:rStyle w:val="Hyperlink"/>
          </w:rPr>
          <w:t xml:space="preserve">https://doi.org/10.3390/rs14020346</w:t>
        </w:r>
      </w:hyperlink>
    </w:p>
    <w:bookmarkEnd w:id="89"/>
    <w:bookmarkStart w:id="90"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90"/>
    <w:bookmarkStart w:id="91"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91"/>
    <w:bookmarkStart w:id="92" w:name="ref-firth2024invasive"/>
    <w:p>
      <w:pPr>
        <w:pStyle w:val="Bibliography"/>
      </w:pPr>
      <w:r>
        <w:t xml:space="preserve">Firth, L.B., Foggo, A., Watts, T., Knights, A.M., DeAmicis, S., 2024. Invasive macroalgae in native seagrass beds: Vectors of spread and impacts. Annals of Botany 133, 41–50.</w:t>
      </w:r>
    </w:p>
    <w:bookmarkEnd w:id="92"/>
    <w:bookmarkStart w:id="93"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93"/>
    <w:bookmarkStart w:id="94" w:name="ref-grizel1991introduction"/>
    <w:p>
      <w:pPr>
        <w:pStyle w:val="Bibliography"/>
      </w:pPr>
      <w:r>
        <w:t xml:space="preserve">Grizel, H., Heral, M., 1991. Introduction into france of the japanese oyster (crassostrea gigas). ICES Journal of Marine Science 47, 399–403.</w:t>
      </w:r>
    </w:p>
    <w:bookmarkEnd w:id="94"/>
    <w:bookmarkStart w:id="95"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95"/>
    <w:bookmarkStart w:id="97" w:name="ref-terrapck"/>
    <w:p>
      <w:pPr>
        <w:pStyle w:val="Bibliography"/>
      </w:pPr>
      <w:r>
        <w:t xml:space="preserve">Hijmans, R.J., 2024.</w:t>
      </w:r>
      <w:r>
        <w:t xml:space="preserve"> </w:t>
      </w:r>
      <w:hyperlink r:id="rId96">
        <w:r>
          <w:rPr>
            <w:rStyle w:val="Hyperlink"/>
          </w:rPr>
          <w:t xml:space="preserve">Terra: Spatial data analysis</w:t>
        </w:r>
      </w:hyperlink>
      <w:r>
        <w:t xml:space="preserve">.</w:t>
      </w:r>
    </w:p>
    <w:bookmarkEnd w:id="97"/>
    <w:bookmarkStart w:id="98" w:name="ref-RemonterLeTempsIGN"/>
    <w:p>
      <w:pPr>
        <w:pStyle w:val="Bibliography"/>
      </w:pPr>
      <w:r>
        <w:t xml:space="preserve">IGN, 2024. Remonter le temps.</w:t>
      </w:r>
    </w:p>
    <w:bookmarkEnd w:id="98"/>
    <w:bookmarkStart w:id="99"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99"/>
    <w:bookmarkStart w:id="101"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100">
        <w:r>
          <w:rPr>
            <w:rStyle w:val="Hyperlink"/>
          </w:rPr>
          <w:t xml:space="preserve">https://doi.org/10.3390/d15020161</w:t>
        </w:r>
      </w:hyperlink>
    </w:p>
    <w:bookmarkEnd w:id="101"/>
    <w:bookmarkStart w:id="103"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102">
        <w:r>
          <w:rPr>
            <w:rStyle w:val="Hyperlink"/>
          </w:rPr>
          <w:t xml:space="preserve">https://doi.org/10.3390/rs11060704</w:t>
        </w:r>
      </w:hyperlink>
    </w:p>
    <w:bookmarkEnd w:id="103"/>
    <w:bookmarkStart w:id="105"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104">
        <w:r>
          <w:rPr>
            <w:rStyle w:val="Hyperlink"/>
          </w:rPr>
          <w:t xml:space="preserve">https://doi.org/10.3390/jmse11020367</w:t>
        </w:r>
      </w:hyperlink>
    </w:p>
    <w:bookmarkEnd w:id="105"/>
    <w:bookmarkStart w:id="107"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106">
        <w:r>
          <w:rPr>
            <w:rStyle w:val="Hyperlink"/>
          </w:rPr>
          <w:t xml:space="preserve">https://doi.org/10.1080/17445647.2021.1925170</w:t>
        </w:r>
      </w:hyperlink>
    </w:p>
    <w:bookmarkEnd w:id="107"/>
    <w:bookmarkStart w:id="108"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108"/>
    <w:bookmarkStart w:id="109" w:name="ref-nyberg2007introduced"/>
    <w:p>
      <w:pPr>
        <w:pStyle w:val="Bibliography"/>
      </w:pPr>
      <w:r>
        <w:t xml:space="preserve">Nyberg, C.D., 2007. Introduced marine macroalgae and habitat modifiers: Their ecological role and significant attributes. Department of Marine Ecology.</w:t>
      </w:r>
    </w:p>
    <w:bookmarkEnd w:id="109"/>
    <w:bookmarkStart w:id="110" w:name="ref-nyberg2009flora"/>
    <w:p>
      <w:pPr>
        <w:pStyle w:val="Bibliography"/>
      </w:pPr>
      <w:r>
        <w:t xml:space="preserve">Nyberg, C.D., Thomsen, M.S., Wallentinus, I., 2009. Flora and fauna associated with the introduced red alga gracilaria vermiculophylla. European Journal of Phycology 44, 395–403.</w:t>
      </w:r>
    </w:p>
    <w:bookmarkEnd w:id="110"/>
    <w:bookmarkStart w:id="111"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111"/>
    <w:bookmarkStart w:id="113"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112">
        <w:r>
          <w:rPr>
            <w:rStyle w:val="Hyperlink"/>
          </w:rPr>
          <w:t xml:space="preserve">https://doi.org/10.5281/zenodo.14218984</w:t>
        </w:r>
      </w:hyperlink>
    </w:p>
    <w:bookmarkEnd w:id="113"/>
    <w:bookmarkStart w:id="115"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114">
        <w:r>
          <w:rPr>
            <w:rStyle w:val="Hyperlink"/>
          </w:rPr>
          <w:t xml:space="preserve">https://doi.org/10.3390/rs16234383</w:t>
        </w:r>
      </w:hyperlink>
    </w:p>
    <w:bookmarkEnd w:id="115"/>
    <w:bookmarkStart w:id="116"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116"/>
    <w:bookmarkStart w:id="117"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117"/>
    <w:bookmarkStart w:id="119" w:name="ref-WoRMS303450"/>
    <w:p>
      <w:pPr>
        <w:pStyle w:val="Bibliography"/>
      </w:pPr>
      <w:r>
        <w:t xml:space="preserve">Papenfuss, G.F., 1967.</w:t>
      </w:r>
      <w:r>
        <w:t xml:space="preserve"> </w:t>
      </w:r>
      <w:hyperlink r:id="rId118">
        <w:r>
          <w:rPr>
            <w:rStyle w:val="Hyperlink"/>
          </w:rPr>
          <w:t xml:space="preserve">Notes on algal nomenclature - v. Various chlorophyceae and rhodophyceae</w:t>
        </w:r>
      </w:hyperlink>
      <w:r>
        <w:t xml:space="preserve">. Phykos 5, 95–105.</w:t>
      </w:r>
    </w:p>
    <w:bookmarkEnd w:id="119"/>
    <w:bookmarkStart w:id="120"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20"/>
    <w:bookmarkStart w:id="121"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21"/>
    <w:bookmarkStart w:id="122"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22"/>
    <w:bookmarkStart w:id="123"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23"/>
    <w:bookmarkStart w:id="124" w:name="ref-roman2021using"/>
    <w:p>
      <w:pPr>
        <w:pStyle w:val="Bibliography"/>
      </w:pPr>
      <w:r>
        <w:t xml:space="preserve">Román, A., Tovar-Sánchez, A., Olivé, I., Navarro, G., 2021. Using a UAV-mounted multispectral camera for the monitoring of marine macrophytes. Frontiers in Marine Science 8, 722698.</w:t>
      </w:r>
    </w:p>
    <w:bookmarkEnd w:id="124"/>
    <w:bookmarkStart w:id="125" w:name="ref-romero2008sintering"/>
    <w:p>
      <w:pPr>
        <w:pStyle w:val="Bibliography"/>
      </w:pPr>
      <w:r>
        <w:t xml:space="preserve">Romero, M., Andrés, A., Alonso, R., Viguri, J., Rincón, J.M., 2008. Sintering behaviour of ceramic bodies from contaminated marine sediments. Ceramics International 34, 1917–1924.</w:t>
      </w:r>
    </w:p>
    <w:bookmarkEnd w:id="125"/>
    <w:bookmarkStart w:id="126" w:name="ref-rueness2005life"/>
    <w:p>
      <w:pPr>
        <w:pStyle w:val="Bibliography"/>
      </w:pPr>
      <w:r>
        <w:t xml:space="preserve">Rueness, J., 2005. Life history and molecular sequences of gracilaria vermiculophylla (gracilariales, rhodophyta), a new introduction to european waters. Phycologia 44, 120–128.</w:t>
      </w:r>
    </w:p>
    <w:bookmarkEnd w:id="126"/>
    <w:bookmarkStart w:id="127"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27"/>
    <w:bookmarkStart w:id="129" w:name="ref-Simon2024ShinyApp"/>
    <w:p>
      <w:pPr>
        <w:pStyle w:val="Bibliography"/>
      </w:pPr>
      <w:r>
        <w:t xml:space="preserve">Simon, O., 2024.</w:t>
      </w:r>
      <w:r>
        <w:t xml:space="preserve"> </w:t>
      </w:r>
      <w:hyperlink r:id="rId128">
        <w:r>
          <w:rPr>
            <w:rStyle w:val="Hyperlink"/>
          </w:rPr>
          <w:t xml:space="preserve">Shiny app for validation dataset building</w:t>
        </w:r>
      </w:hyperlink>
      <w:r>
        <w:t xml:space="preserve">.</w:t>
      </w:r>
    </w:p>
    <w:bookmarkEnd w:id="129"/>
    <w:bookmarkStart w:id="130"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30"/>
    <w:bookmarkStart w:id="131"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31"/>
    <w:bookmarkStart w:id="133"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32">
        <w:r>
          <w:rPr>
            <w:rStyle w:val="Hyperlink"/>
          </w:rPr>
          <w:t xml:space="preserve">https://doi.org/10.1007/s11356-011-0479-3</w:t>
        </w:r>
      </w:hyperlink>
    </w:p>
    <w:bookmarkEnd w:id="133"/>
    <w:bookmarkStart w:id="134"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34"/>
    <w:bookmarkStart w:id="135"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35"/>
    <w:bookmarkStart w:id="136"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36"/>
    <w:bookmarkStart w:id="137"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37"/>
    <w:bookmarkStart w:id="138"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38"/>
    <w:bookmarkStart w:id="139"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39"/>
    <w:bookmarkStart w:id="140" w:name="ref-williams2007global"/>
    <w:p>
      <w:pPr>
        <w:pStyle w:val="Bibliography"/>
      </w:pPr>
      <w:r>
        <w:t xml:space="preserve">Williams, S.L., Smith, J.E., 2007. A global review of the distribution, taxonomy, and impacts of introduced seaweeds. Annu. Rev. Ecol. Evol. Syst. 38, 327–359.</w:t>
      </w:r>
    </w:p>
    <w:bookmarkEnd w:id="140"/>
    <w:bookmarkStart w:id="142"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41">
        <w:r>
          <w:rPr>
            <w:rStyle w:val="Hyperlink"/>
          </w:rPr>
          <w:t xml:space="preserve">https://doi.org/10.3390/d14121077</w:t>
        </w:r>
      </w:hyperlink>
    </w:p>
    <w:bookmarkEnd w:id="142"/>
    <w:bookmarkStart w:id="143"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43"/>
    <w:bookmarkEnd w:id="144"/>
    <w:bookmarkEnd w:id="145"/>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Coucou - Monitoring the marine invasive alien species Gracilaria vermiculophylla using unmanned aerial vehicles</dc:title>
  <dc:creator>Simon Oiry¹; Bede Ffinian Rowe Davies¹; Pierre Gernez¹; Laurent Barillé¹</dc:creator>
  <cp:keywords>Remote Sensing, Invasive species, Coastal Ecosystems, Biodiversity</cp:keywords>
  <dcterms:created xsi:type="dcterms:W3CDTF">2024-12-15T20:57:01Z</dcterms:created>
  <dcterms:modified xsi:type="dcterms:W3CDTF">2024-12-15T20:57:01Z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2024-12-15</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