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43.png" ContentType="image/png"/>
  <Override PartName="/word/media/rId60.png" ContentType="image/png"/>
  <Override PartName="/word/media/rId38.png" ContentType="image/png"/>
  <Override PartName="/word/media/rId49.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Coucou - Monitoring the marine invasive alien species</w:t>
      </w:r>
      <w:r>
        <w:t xml:space="preserve"> </w:t>
      </w:r>
      <w:r>
        <w:rPr>
          <w:i/>
          <w:iCs/>
        </w:rPr>
        <w:t xml:space="preserve">Gracilaria vermiculophylla</w:t>
      </w:r>
      <w:r>
        <w:t xml:space="preserve"> </w:t>
      </w:r>
      <w:r>
        <w:t xml:space="preserve">using unmanned aerial vehicles</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2024-12-16</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 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37"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1"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28" w:name="tbl-flights"/>
          <w:p>
            <w:pPr>
              <w:jc w:val="center"/>
            </w:pPr>
            <w:pPr>
              <w:jc w:val="start"/>
              <w:spacing w:before="200"/>
              <w:pStyle w:val="ImageCaption"/>
            </w:pPr>
            <w:r>
              <w:t xml:space="preserve">Table 1: List of drone flights, summarising the location, the date, and the total extent of each flight (in hectars).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Flight</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w:t>
                  </w:r>
                </w:p>
              </w:tc>
            </w:tr>
            <w:tr>
              <w:trPr>
                <w:trHeight w:val="360" w:hRule="auto"/>
              </w:trPr>
              body1
              <w:tc>
                <w:tcPr>
                  <w:vMerge w:val="restart"/>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vMerge w:val="restart"/>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Aven &amp; Belon</w:t>
                  </w:r>
                </w:p>
              </w:tc>
              <w:tc>
                <w:tcPr>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2024-04-11</w:t>
                  </w:r>
                </w:p>
              </w:tc>
              <w:tc>
                <w:tcPr>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w:t>
                  </w:r>
                </w:p>
              </w:tc>
            </w:tr>
            <w:tr>
              <w:trPr>
                <w:trHeight w:val="360" w:hRule="auto"/>
              </w:trPr>
              body2
              <w:tc>
                <w:tcPr>
                  <w:vMerge/>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du Guilly</w:t>
                  </w:r>
                </w:p>
              </w:tc>
              <w:tc>
                <w:tcPr>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2024-04-11</w:t>
                  </w:r>
                </w:p>
              </w:tc>
              <w:tc>
                <w:tcPr>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r>
            <w:tr>
              <w:trPr>
                <w:trHeight w:val="360" w:hRule="auto"/>
              </w:trPr>
              body3
              <w:tc>
                <w:tcPr>
                  <w:vMerge w:val="restart"/>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vMerge w:val="restart"/>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Saja Estuary</w:t>
                  </w:r>
                </w:p>
              </w:tc>
              <w:tc>
                <w:tcPr>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2024-06-25</w:t>
                  </w:r>
                </w:p>
              </w:tc>
              <w:tc>
                <w:tcPr>
                  <w:tcBorders>
                    <w:bottom w:val="single" w:sz="8" w:space="0" w:color="BEBEBE"/>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20.4</w:t>
                  </w:r>
                </w:p>
              </w:tc>
            </w:tr>
            <w:tr>
              <w:trPr>
                <w:trHeight w:val="360" w:hRule="auto"/>
              </w:trPr>
              body4
              <w:tc>
                <w:tcPr>
                  <w:vMerge/>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2024-06-25</w:t>
                  </w:r>
                </w:p>
              </w:tc>
              <w:tc>
                <w:tcPr>
                  <w:tcBorders>
                    <w:bottom w:val="single" w:sz="4" w:space="0" w:color="000000"/>
                    <w:top w:val="single" w:sz="8"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r>
          </w:tbl>
          <w:bookmarkEnd w:id="28"/>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29"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29"/>
    <w:bookmarkStart w:id="30"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Digital Surface Model (DSM) with a resolution of 2.5 cm. From the DSM, the slope of each pixel based on a grid of 8 surrounding pixels were computed using the terrain function of the</w:t>
      </w:r>
      <w:r>
        <w:t xml:space="preserve"> </w:t>
      </w:r>
      <w:r>
        <w:t xml:space="preserve">‘terra’</w:t>
      </w:r>
      <w:r>
        <w:t xml:space="preserve"> </w:t>
      </w:r>
      <w:r>
        <w:t xml:space="preserve">package in R</w:t>
      </w:r>
      <w:r>
        <w:t xml:space="preserve"> </w:t>
      </w:r>
      <w:r>
        <w:t xml:space="preserve">(Hijmans, 2024)</w:t>
      </w:r>
      <w:r>
        <w:t xml:space="preserve">. The angle of the mudflat was categorized into three classes: Flat (angle &lt; 10°), Angled (10° ≤ angle ≤ 40°), and Vertical (angle &gt; 40°).</w:t>
      </w:r>
    </w:p>
    <w:bookmarkEnd w:id="30"/>
    <w:bookmarkEnd w:id="31"/>
    <w:bookmarkStart w:id="34"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 A total of 427000 pixels where added to the DISCOV training dataset compared to the version 1 (</w:t>
      </w:r>
      <w:hyperlink w:anchor="tbl-Update_training">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2" w:name="tbl-Update_training"/>
          <w:p>
            <w:pPr>
              <w:jc w:val="center"/>
            </w:pPr>
            <w:pPr>
              <w:jc w:val="start"/>
              <w:spacing w:before="200"/>
              <w:pStyle w:val="ImageCaption"/>
            </w:pPr>
            <w:r>
              <w:t xml:space="preserve">Table 2: Class of the Neural Network model, with the number of training pixels used to train that class and the differences with the training dataset of DISCOV v1.0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Training Pixels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with DISCOV v1.0</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Benthic Diatoms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Bacillariophyceae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Chlorophyta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x5.4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Seagrass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Magnoliopsida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Brown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Phaeophyta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Rhodophyta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x46.55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Sediment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x1.24</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91,614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x1.09</w:t>
                  </w:r>
                </w:p>
              </w:tc>
            </w:tr>
          </w:tbl>
          <w:bookmarkEnd w:id="32"/>
        </w:tc>
      </w:tr>
    </w:tbl>
    <w:p>
      <w:pPr>
        <w:pStyle w:val="BodyText"/>
      </w:pPr>
      <w:r>
        <w:t xml:space="preserve">To validate the new version of the DISCOV model, a Shiny app was developed, enabling independent users to photo-interpret snapshots of the ortho-mosaic from each drone flight</w:t>
      </w:r>
      <w:r>
        <w:t xml:space="preserve"> </w:t>
      </w:r>
      <w:r>
        <w:t xml:space="preserve">(Chang et al., 2024; Simon, 2024)</w:t>
      </w:r>
      <w:r>
        <w:t xml:space="preserve">. Users could click on various parts of the snapshots to indicate the type of vegetation they believed was present. Using this method, 3 independent users contributed to creating a validation dataset of 6755 pixels across 79 snapshots distributed among the four drone flights</w:t>
      </w:r>
      <w:r>
        <w:t xml:space="preserve"> </w:t>
      </w:r>
      <w:hyperlink w:anchor="tbl-ValidationDataset">
        <w:r>
          <w:rPr>
            <w:rStyle w:val="Hyperlink"/>
          </w:rPr>
          <w:t xml:space="preserve">Table 3</w:t>
        </w:r>
      </w:hyperlink>
      <w:r>
        <w:t xml:space="preserve">. The validation dataset was then simplify into two classes: Presence of Absence of Red Algae.</w:t>
      </w:r>
    </w:p>
    <w:tbl>
      <w:tblPr>
        <w:tblStyle w:val="Table"/>
        <w:tblW w:type="pct" w:w="5000"/>
        <w:tblLayout w:type="fixed"/>
        <w:tblLook w:firstRow="0" w:lastRow="0" w:firstColumn="0" w:lastColumn="0" w:noHBand="0" w:noVBand="0" w:val="0000"/>
      </w:tblPr>
      <w:tblGrid>
        <w:gridCol w:w="7920"/>
      </w:tblGrid>
      <w:tr>
        <w:tc>
          <w:tcPr/>
          <w:bookmarkStart w:id="33" w:name="tbl-ValidationDataset"/>
          <w:p>
            <w:pPr>
              <w:jc w:val="center"/>
            </w:pPr>
            <w:pPr>
              <w:jc w:val="start"/>
              <w:spacing w:before="200"/>
              <w:pStyle w:val="ImageCaption"/>
            </w:pPr>
            <w:r>
              <w:t xml:space="preserve">Table 3: Presence and absence of red macroalgae for each drone flight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1,536</w:t>
                  </w:r>
                </w:p>
              </w:tc>
            </w:tr>
            <w:tr>
              <w:trPr>
                <w:trHeight w:val="360"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de Guilly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1,832</w:t>
                  </w:r>
                </w:p>
              </w:tc>
            </w:tr>
            <w:tr>
              <w:trPr>
                <w:trHeight w:val="360" w:hRule="auto"/>
              </w:trPr>
              body5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5,230</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1,525</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6,755</w:t>
                  </w:r>
                </w:p>
              </w:tc>
            </w:tr>
          </w:tbl>
          <w:bookmarkEnd w:id="33"/>
        </w:tc>
      </w:tr>
    </w:tbl>
    <w:bookmarkEnd w:id="34"/>
    <w:bookmarkStart w:id="36" w:name="X852478e0394e3510ff64c90d9aef5c8c81c6d46"/>
    <w:p>
      <w:pPr>
        <w:pStyle w:val="Heading2"/>
      </w:pPr>
      <w:r>
        <w:t xml:space="preserve">2.4 Historical Presence of</w:t>
      </w:r>
      <w:r>
        <w:t xml:space="preserve"> </w:t>
      </w:r>
      <w:r>
        <w:rPr>
          <w:i/>
          <w:iCs/>
        </w:rPr>
        <w:t xml:space="preserve">Gracilaria vermiculophylla</w:t>
      </w:r>
      <w:r>
        <w:t xml:space="preserve"> </w:t>
      </w:r>
      <w:r>
        <w:t xml:space="preserve">in the Bélon esturay</w:t>
      </w:r>
    </w:p>
    <w:p>
      <w:pPr>
        <w:pStyle w:val="FirstParagraph"/>
      </w:pPr>
      <w:r>
        <w:t xml:space="preserve">To assess the historical presence of</w:t>
      </w:r>
      <w:r>
        <w:t xml:space="preserve"> </w:t>
      </w:r>
      <w:r>
        <w:rPr>
          <w:i/>
          <w:iCs/>
        </w:rPr>
        <w:t xml:space="preserve">G. vermiculophylla</w:t>
      </w:r>
      <w:r>
        <w:t xml:space="preserve"> </w:t>
      </w:r>
      <w:r>
        <w:t xml:space="preserve">in the Bélon Estuary, aerial imagery from flight campaigns was obtained via the IGN platform</w:t>
      </w:r>
      <w:r>
        <w:t xml:space="preserve"> </w:t>
      </w:r>
      <w:r>
        <w:t xml:space="preserve">“Remonter Le Temps”</w:t>
      </w:r>
      <w:r>
        <w:t xml:space="preserve"> </w:t>
      </w:r>
      <w:r>
        <w:t xml:space="preserve">(IGN, 2024)</w:t>
      </w:r>
      <w:r>
        <w:t xml:space="preserve">. Nine images were selected between 1952 and 2012 from the IGN plateform and an additional one has been added for the year 2024 (</w:t>
      </w:r>
      <w:hyperlink w:anchor="tbl-IGNimg">
        <w:r>
          <w:rPr>
            <w:rStyle w:val="Hyperlink"/>
          </w:rPr>
          <w:t xml:space="preserve">Table 4</w:t>
        </w:r>
      </w:hyperlink>
      <w:r>
        <w:t xml:space="preserve">). Since most of the images retrieved from</w:t>
      </w:r>
      <w:r>
        <w:t xml:space="preserve"> </w:t>
      </w:r>
      <w:r>
        <w:t xml:space="preserve">“Remonter Le Temps”</w:t>
      </w:r>
      <w:r>
        <w:t xml:space="preserve"> </w:t>
      </w:r>
      <w:r>
        <w:t xml:space="preserve">were digitized versions of physical photographs, georeferencing were required.</w:t>
      </w:r>
    </w:p>
    <w:tbl>
      <w:tblPr>
        <w:tblStyle w:val="Table"/>
        <w:tblW w:type="pct" w:w="5000"/>
        <w:tblLayout w:type="fixed"/>
        <w:tblLook w:firstRow="0" w:lastRow="0" w:firstColumn="0" w:lastColumn="0" w:noHBand="0" w:noVBand="0" w:val="0000"/>
      </w:tblPr>
      <w:tblGrid>
        <w:gridCol w:w="7920"/>
      </w:tblGrid>
      <w:tr>
        <w:tc>
          <w:tcPr/>
          <w:bookmarkStart w:id="35" w:name="tbl-IGNimg"/>
          <w:p>
            <w:pPr>
              <w:jc w:val="center"/>
            </w:pPr>
            <w:pPr>
              <w:jc w:val="start"/>
              <w:spacing w:before="200"/>
              <w:pStyle w:val="ImageCaption"/>
            </w:pPr>
            <w:r>
              <w:t xml:space="preserve">Table 4: Images used to assess the historical presence of Gracilaria vermiculophylla in the Belon esturay. Images from the IGN data source have been retrieved from the</w:t>
            </w:r>
            <w:r>
              <w:t xml:space="preserve"> </w:t>
            </w:r>
            <w:r>
              <w:t xml:space="preserve">“Remonter Le Temps”</w:t>
            </w:r>
            <w:r>
              <w:t xml:space="preserve"> </w:t>
            </w:r>
            <w:r>
              <w:t xml:space="preserve">plateform</w:t>
            </w:r>
            <w:r>
              <w:t xml:space="preserve"> </w:t>
            </w:r>
            <w:r>
              <w:t xml:space="preserve">(IGN, 2024)</w:t>
            </w:r>
            <w:r>
              <w:t xml:space="preserve">. Drone flight have been performed by the team using a Mavic 3 Entreprise.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Resolution (cm per Pixel)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1952-04-26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and White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IGN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1958-04-22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and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and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1978-08-22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and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and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1992-05-17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True Color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1997-04-11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and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2012-07-24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True Color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2024-04-11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True Color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Drone Flight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bl>
          <w:bookmarkEnd w:id="35"/>
        </w:tc>
      </w:tr>
    </w:tbl>
    <w:p>
      <w:pPr>
        <w:pStyle w:val="BodyText"/>
      </w:pPr>
      <w:r>
        <w:t xml:space="preserve">For each date, polygons have been drawn around</w:t>
      </w:r>
      <w:r>
        <w:t xml:space="preserve"> </w:t>
      </w:r>
      <w:r>
        <w:rPr>
          <w:i/>
          <w:iCs/>
        </w:rPr>
        <w:t xml:space="preserve">G. vermiculophylla</w:t>
      </w:r>
      <w:r>
        <w:t xml:space="preserve"> </w:t>
      </w:r>
      <w:r>
        <w:t xml:space="preserve">patches by visually photo-interpreting on each images. These polygons were used to calculate the total area of the mudflat covered by macroalgae within a common extent of 30 hectares in Pont de Guilly, located in the Bélon Estuary, South Brittany, France.</w:t>
      </w:r>
    </w:p>
    <w:bookmarkEnd w:id="36"/>
    <w:bookmarkEnd w:id="37"/>
    <w:bookmarkStart w:id="66" w:name="results"/>
    <w:p>
      <w:pPr>
        <w:pStyle w:val="Heading1"/>
      </w:pPr>
      <w:r>
        <w:t xml:space="preserve">3. Results</w:t>
      </w:r>
    </w:p>
    <w:bookmarkStart w:id="48"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2" w:name="cell-fig-HistoricalMap"/>
    <w:tbl>
      <w:tblPr>
        <w:tblStyle w:val="Table"/>
        <w:tblW w:type="pct" w:w="5000"/>
        <w:tblLayout w:type="fixed"/>
        <w:tblLook w:firstRow="0" w:lastRow="0" w:firstColumn="0" w:lastColumn="0" w:noHBand="0" w:noVBand="0" w:val="0000"/>
      </w:tblPr>
      <w:tblGrid>
        <w:gridCol w:w="7920"/>
      </w:tblGrid>
      <w:tr>
        <w:tc>
          <w:tcPr/>
          <w:bookmarkStart w:id="41" w:name="fig-HistoricalMap"/>
          <w:p>
            <w:pPr>
              <w:pStyle w:val="Compact"/>
              <w:jc w:val="center"/>
            </w:pPr>
            <w:r>
              <w:drawing>
                <wp:inline>
                  <wp:extent cx="5646420" cy="2549358"/>
                  <wp:effectExtent b="0" l="0" r="0" t="0"/>
                  <wp:docPr descr="" title="" id="39" name="Picture"/>
                  <a:graphic>
                    <a:graphicData uri="http://schemas.openxmlformats.org/drawingml/2006/picture">
                      <pic:pic>
                        <pic:nvPicPr>
                          <pic:cNvPr descr="./Figures/Low_res/Historical_maps.png" id="40" name="Picture"/>
                          <pic:cNvPicPr>
                            <a:picLocks noChangeArrowheads="1" noChangeAspect="1"/>
                          </pic:cNvPicPr>
                        </pic:nvPicPr>
                        <pic:blipFill>
                          <a:blip r:embed="rId38"/>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1"/>
        </w:tc>
      </w:tr>
    </w:tbl>
    <w:bookmarkEnd w:id="42"/>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47" w:name="cell-fig-HistoricalPlot"/>
    <w:tbl>
      <w:tblPr>
        <w:tblStyle w:val="Table"/>
        <w:tblW w:type="pct" w:w="5000"/>
        <w:tblLayout w:type="fixed"/>
        <w:tblLook w:firstRow="0" w:lastRow="0" w:firstColumn="0" w:lastColumn="0" w:noHBand="0" w:noVBand="0" w:val="0000"/>
      </w:tblPr>
      <w:tblGrid>
        <w:gridCol w:w="7920"/>
      </w:tblGrid>
      <w:tr>
        <w:tc>
          <w:tcPr/>
          <w:bookmarkStart w:id="46" w:name="fig-HistoricalPlot"/>
          <w:p>
            <w:pPr>
              <w:pStyle w:val="Compact"/>
              <w:jc w:val="center"/>
            </w:pPr>
            <w:r>
              <w:drawing>
                <wp:inline>
                  <wp:extent cx="5646420" cy="3387852"/>
                  <wp:effectExtent b="0" l="0" r="0" t="0"/>
                  <wp:docPr descr="" title="" id="44" name="Picture"/>
                  <a:graphic>
                    <a:graphicData uri="http://schemas.openxmlformats.org/drawingml/2006/picture">
                      <pic:pic>
                        <pic:nvPicPr>
                          <pic:cNvPr descr="./Figures/Low_res/Cover_Gracillaria_vs_Time.png" id="45" name="Picture"/>
                          <pic:cNvPicPr>
                            <a:picLocks noChangeArrowheads="1" noChangeAspect="1"/>
                          </pic:cNvPicPr>
                        </pic:nvPicPr>
                        <pic:blipFill>
                          <a:blip r:embed="rId43"/>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6"/>
        </w:tc>
      </w:tr>
    </w:tbl>
    <w:bookmarkEnd w:id="47"/>
    <w:bookmarkEnd w:id="48"/>
    <w:bookmarkStart w:id="54" w:name="spectral-description"/>
    <w:p>
      <w:pPr>
        <w:pStyle w:val="Heading2"/>
      </w:pPr>
      <w:r>
        <w:t xml:space="preserve">3.2 Spectral description</w:t>
      </w:r>
    </w:p>
    <w:p>
      <w:pPr>
        <w:pStyle w:val="FirstParagraph"/>
      </w:pPr>
      <w:r>
        <w:t xml:space="preserve">The spectral signature of</w:t>
      </w:r>
      <w:r>
        <w:t xml:space="preserve"> </w:t>
      </w:r>
      <w:r>
        <w:rPr>
          <w:i/>
          <w:iCs/>
        </w:rPr>
        <w:t xml:space="preserve">Gracilaria vermiculophylla</w:t>
      </w:r>
      <w:r>
        <w:t xml:space="preserve"> </w:t>
      </w:r>
      <w:r>
        <w:t xml:space="preserve">was characterized by a wavy reflectance pattern in the visible region of the spectrum, between 500 and 700 nm (</w:t>
      </w:r>
      <w:hyperlink w:anchor="fig-SpecDescri">
        <w:r>
          <w:rPr>
            <w:rStyle w:val="Hyperlink"/>
          </w:rPr>
          <w:t xml:space="preserve">Figure 4</w:t>
        </w:r>
      </w:hyperlink>
      <w:r>
        <w:t xml:space="preserve"> </w:t>
      </w:r>
      <w:r>
        <w:t xml:space="preserve">A). This pattern was primarily driven by the presence of phycoerythrin and phycocyanin, which exhibited maximum absorption peaks at approximately 565 nm and 620 nm, respectively. An additional absorption feature around 495 nm was likely attributable to the presence of accessory carotenoid pigments. The most pronounced absorption peak occurred at 675 nm, corresponding to chlorophyll-a absorption. The second derivative analysis clearly highlighted the inflection points corresponding to the main absorption peaks at 495, 565, 620, and 675 nm, allowing for a more precise identification of the spectral contributions of these pigments (</w:t>
      </w:r>
      <w:hyperlink w:anchor="fig-SpecDescri">
        <w:r>
          <w:rPr>
            <w:rStyle w:val="Hyperlink"/>
          </w:rPr>
          <w:t xml:space="preserve">Figure 4</w:t>
        </w:r>
      </w:hyperlink>
      <w:r>
        <w:t xml:space="preserve"> </w:t>
      </w:r>
      <w:r>
        <w:t xml:space="preserve">B).</w:t>
      </w:r>
    </w:p>
    <w:bookmarkStart w:id="53" w:name="cell-fig-SpecDescri"/>
    <w:tbl>
      <w:tblPr>
        <w:tblStyle w:val="Table"/>
        <w:tblW w:type="pct" w:w="5000"/>
        <w:tblLayout w:type="fixed"/>
        <w:tblLook w:firstRow="0" w:lastRow="0" w:firstColumn="0" w:lastColumn="0" w:noHBand="0" w:noVBand="0" w:val="0000"/>
      </w:tblPr>
      <w:tblGrid>
        <w:gridCol w:w="7920"/>
      </w:tblGrid>
      <w:tr>
        <w:tc>
          <w:tcPr/>
          <w:bookmarkStart w:id="52" w:name="fig-SpecDescri"/>
          <w:p>
            <w:pPr>
              <w:pStyle w:val="Compact"/>
              <w:jc w:val="center"/>
            </w:pPr>
            <w:r>
              <w:drawing>
                <wp:inline>
                  <wp:extent cx="5646420" cy="2823210"/>
                  <wp:effectExtent b="0" l="0" r="0" t="0"/>
                  <wp:docPr descr="" title="" id="50" name="Picture"/>
                  <a:graphic>
                    <a:graphicData uri="http://schemas.openxmlformats.org/drawingml/2006/picture">
                      <pic:pic>
                        <pic:nvPicPr>
                          <pic:cNvPr descr="./Figures/Low_res/plot_spectral_signature.png" id="51" name="Picture"/>
                          <pic:cNvPicPr>
                            <a:picLocks noChangeArrowheads="1" noChangeAspect="1"/>
                          </pic:cNvPicPr>
                        </pic:nvPicPr>
                        <pic:blipFill>
                          <a:blip r:embed="rId49"/>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Hyperspectral signature of</w:t>
            </w:r>
            <w:r>
              <w:t xml:space="preserve"> </w:t>
            </w:r>
            <w:r>
              <w:rPr>
                <w:i/>
                <w:iCs/>
              </w:rPr>
              <w:t xml:space="preserve">Gracilaria vermiculophylla</w:t>
            </w:r>
            <w:r>
              <w:t xml:space="preserve"> </w:t>
            </w:r>
            <w:r>
              <w:t xml:space="preserve">(A) and its second derivative (B). The black line represents the average spectra, while the shaded ribbon indicates the standard deviation. Dashed lines mark the absorption maxima of Phycoerythrin, Phycocyanin, and Chlorophyll-a, shown in green, orange, and red, respectively.</w:t>
            </w:r>
          </w:p>
          <w:bookmarkEnd w:id="52"/>
        </w:tc>
      </w:tr>
    </w:tbl>
    <w:bookmarkEnd w:id="53"/>
    <w:bookmarkEnd w:id="54"/>
    <w:bookmarkStart w:id="65" w:name="spatial-distribution"/>
    <w:p>
      <w:pPr>
        <w:pStyle w:val="Heading2"/>
      </w:pPr>
      <w:r>
        <w:t xml:space="preserve">3.3 Spatial distribution</w:t>
      </w:r>
    </w:p>
    <w:p>
      <w:pPr>
        <w:pStyle w:val="FirstParagraph"/>
      </w:pPr>
      <w:r>
        <w:t xml:space="preserve">The classification map illustrates the diversity of benthic communities and substrates in the study area (</w:t>
      </w:r>
      <w:hyperlink w:anchor="fig-Belon">
        <w:r>
          <w:rPr>
            <w:rStyle w:val="Hyperlink"/>
          </w:rPr>
          <w:t xml:space="preserve">Figure 5</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 Across the for study sites the presence/absence of G. vermiculophylla were classified with a global accuracy of 91.1 %, a sensitivity of 96.5 % and a specificity of 71.5 %.</w:t>
      </w:r>
    </w:p>
    <w:p>
      <w:pPr>
        <w:pStyle w:val="BodyText"/>
      </w:pPr>
      <w:r>
        <w:t xml:space="preserve">The bathymetric map reveals a continuous gradient in elevation relative to mean sea level (</w:t>
      </w:r>
      <w:hyperlink w:anchor="fig-Belon">
        <w:r>
          <w:rPr>
            <w:rStyle w:val="Hyperlink"/>
          </w:rPr>
          <w:t xml:space="preserve">Figure 5</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9" w:name="cell-fig-Belon"/>
    <w:tbl>
      <w:tblPr>
        <w:tblStyle w:val="Table"/>
        <w:tblW w:type="pct" w:w="5000"/>
        <w:tblLayout w:type="fixed"/>
        <w:tblLook w:firstRow="0" w:lastRow="0" w:firstColumn="0" w:lastColumn="0" w:noHBand="0" w:noVBand="0" w:val="0000"/>
      </w:tblPr>
      <w:tblGrid>
        <w:gridCol w:w="7920"/>
      </w:tblGrid>
      <w:tr>
        <w:tc>
          <w:tcPr/>
          <w:bookmarkStart w:id="58" w:name="fig-Belon"/>
          <w:p>
            <w:pPr>
              <w:pStyle w:val="Compact"/>
              <w:jc w:val="center"/>
            </w:pPr>
            <w:r>
              <w:drawing>
                <wp:inline>
                  <wp:extent cx="5646420" cy="7156425"/>
                  <wp:effectExtent b="0" l="0" r="0" t="0"/>
                  <wp:docPr descr="" title="" id="56" name="Picture"/>
                  <a:graphic>
                    <a:graphicData uri="http://schemas.openxmlformats.org/drawingml/2006/picture">
                      <pic:pic>
                        <pic:nvPicPr>
                          <pic:cNvPr descr="./Figures/Low_res/Belon_maps.png" id="57" name="Picture"/>
                          <pic:cNvPicPr>
                            <a:picLocks noChangeArrowheads="1" noChangeAspect="1"/>
                          </pic:cNvPicPr>
                        </pic:nvPicPr>
                        <pic:blipFill>
                          <a:blip r:embed="rId55"/>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DISCOV Prediction (A), RGB composition (B), Bathymetry (C) and mudflat angle (D) of the Bélon estuary site in Brttany, France. The total extent of this flight was 21 hectars with a resolution of 8 mm per pixel. Bathymetry is represented as the height above mean sea level.</w:t>
            </w:r>
          </w:p>
          <w:bookmarkEnd w:id="58"/>
        </w:tc>
      </w:tr>
    </w:tbl>
    <w:bookmarkEnd w:id="59"/>
    <w:p>
      <w:pPr>
        <w:pStyle w:val="BodyText"/>
      </w:pPr>
      <w:r>
        <w:t xml:space="preserve">Overall, the percent cover of</w:t>
      </w:r>
      <w:r>
        <w:t xml:space="preserve"> </w:t>
      </w:r>
      <w:r>
        <w:rPr>
          <w:i/>
          <w:iCs/>
        </w:rPr>
        <w:t xml:space="preserve">Gracilaria vermiculophylla</w:t>
      </w:r>
      <w:r>
        <w:t xml:space="preserve"> </w:t>
      </w:r>
      <w:r>
        <w:t xml:space="preserve">increases with bathymetry, as shown by the general relationship (</w:t>
      </w:r>
      <w:hyperlink w:anchor="fig-Gam_Slope">
        <w:r>
          <w:rPr>
            <w:rStyle w:val="Hyperlink"/>
          </w:rPr>
          <w:t xml:space="preserve">Figure 6</w:t>
        </w:r>
      </w:hyperlink>
      <w:r>
        <w:t xml:space="preserve">, black line), which rises from approximately 16% at the lowest elevation to about 30% at the highest elevation. This indicates a consistent positive association between bathymetry and algal cover.</w:t>
      </w:r>
    </w:p>
    <w:p>
      <w:pPr>
        <w:pStyle w:val="BodyText"/>
      </w:pPr>
      <w:r>
        <w:t xml:space="preserve">When accounting for slope, the flatter the slope, the higher the percent cover of</w:t>
      </w:r>
      <w:r>
        <w:t xml:space="preserve"> </w:t>
      </w:r>
      <w:r>
        <w:rPr>
          <w:i/>
          <w:iCs/>
        </w:rPr>
        <w:t xml:space="preserve">G. vermiculophylla</w:t>
      </w:r>
      <w:r>
        <w:t xml:space="preserve">. For flat slopes, the cover ranges from approximately 20% at the lowest elevation to nearly 38% at the highest elevation. In contrast, for angled slopes, the increase is less pronounced, ranging from around 16% to 32%. On steep slopes, the cover is the lowest, starting at about 15% and rising only slightly above 30% at the highest elevation (</w:t>
      </w:r>
      <w:hyperlink w:anchor="fig-Gam_Slope">
        <w:r>
          <w:rPr>
            <w:rStyle w:val="Hyperlink"/>
          </w:rPr>
          <w:t xml:space="preserve">Figure 6</w:t>
        </w:r>
      </w:hyperlink>
      <w:r>
        <w:t xml:space="preserve">). This demonstrates that slope modifies the relationship, with flatter slopes supporting a greater percent cover of the algae.</w:t>
      </w:r>
    </w:p>
    <w:bookmarkStart w:id="64" w:name="cell-fig-Gam_Slope"/>
    <w:tbl>
      <w:tblPr>
        <w:tblStyle w:val="Table"/>
        <w:tblW w:type="pct" w:w="5000"/>
        <w:tblLayout w:type="fixed"/>
        <w:tblLook w:firstRow="0" w:lastRow="0" w:firstColumn="0" w:lastColumn="0" w:noHBand="0" w:noVBand="0" w:val="0000"/>
      </w:tblPr>
      <w:tblGrid>
        <w:gridCol w:w="7920"/>
      </w:tblGrid>
      <w:tr>
        <w:tc>
          <w:tcPr/>
          <w:bookmarkStart w:id="63" w:name="fig-Gam_Slope"/>
          <w:p>
            <w:pPr>
              <w:pStyle w:val="Compact"/>
              <w:jc w:val="center"/>
            </w:pPr>
            <w:r>
              <w:drawing>
                <wp:inline>
                  <wp:extent cx="5646420" cy="2823210"/>
                  <wp:effectExtent b="0" l="0" r="0" t="0"/>
                  <wp:docPr descr="" title="" id="61" name="Picture"/>
                  <a:graphic>
                    <a:graphicData uri="http://schemas.openxmlformats.org/drawingml/2006/picture">
                      <pic:pic>
                        <pic:nvPicPr>
                          <pic:cNvPr descr="./Figures/Low_res/GAM_slope_cover.png" id="62" name="Picture"/>
                          <pic:cNvPicPr>
                            <a:picLocks noChangeArrowheads="1" noChangeAspect="1"/>
                          </pic:cNvPicPr>
                        </pic:nvPicPr>
                        <pic:blipFill>
                          <a:blip r:embed="rId60"/>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DISCOV Prediction (A), RGB composition (B) and Bathymetry (C) of the Bélon estuary site in Brttany, France. The total extent of this flight was 21 hectars with a resolution of 8 mm per pixel. Bathymetry is represented as the height above mean sea level.</w:t>
            </w:r>
          </w:p>
          <w:bookmarkEnd w:id="63"/>
        </w:tc>
      </w:tr>
    </w:tbl>
    <w:bookmarkEnd w:id="64"/>
    <w:bookmarkEnd w:id="65"/>
    <w:bookmarkEnd w:id="66"/>
    <w:bookmarkStart w:id="70" w:name="discussion"/>
    <w:p>
      <w:pPr>
        <w:pStyle w:val="Heading1"/>
      </w:pPr>
      <w:r>
        <w:t xml:space="preserve">4. Discussion</w:t>
      </w:r>
    </w:p>
    <w:bookmarkStart w:id="67"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 of approximately one million pixels. This improved dataset allowed the model to achieve an accuracy of 91.1 %.</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w:t>
      </w:r>
      <w:r>
        <w:t xml:space="preserve"> </w:t>
      </w:r>
      <w:r>
        <w:rPr>
          <w:i/>
          <w:iCs/>
        </w:rPr>
        <w:t xml:space="preserve">G. vermiculophylla</w:t>
      </w:r>
      <w:r>
        <w:t xml:space="preserve"> </w:t>
      </w:r>
      <w:r>
        <w:t xml:space="preserve">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67"/>
    <w:bookmarkStart w:id="68"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68"/>
    <w:bookmarkStart w:id="69"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w:t>
      </w:r>
      <w:r>
        <w:t xml:space="preserve"> </w:t>
      </w:r>
      <w:r>
        <w:t xml:space="preserve">(Fourcade et al., 2014; Vilizzi et al., 2021)</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 its distribution is closely tied to specific topographical features, such as elevation and slope gradients. This relationship reveals how physical features of the mudflat can influence the extent and density of</w:t>
      </w:r>
      <w:r>
        <w:t xml:space="preserve"> </w:t>
      </w:r>
      <w:r>
        <w:rPr>
          <w:i/>
          <w:iCs/>
        </w:rPr>
        <w:t xml:space="preserve">Gracilaria vermiculophylla</w:t>
      </w:r>
      <w:r>
        <w:t xml:space="preserve"> </w:t>
      </w:r>
      <w:r>
        <w:t xml:space="preserve">mats. Understanding the drivers of the spatial distribution of the algae helps to anticipate the future development of this species and identify areas vulnerable to its invasion. Repeated monitoring of this type can further reveal phenological patterns, invasion dynamics, and local conspecific biological interactions—such as co-occurrence, displacement, or avoidance</w:t>
      </w:r>
      <w:r>
        <w:t xml:space="preserve"> </w:t>
      </w:r>
      <w:r>
        <w:t xml:space="preserve">(Arim et al., 2006; Godoy et al., 2009)</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w:t>
      </w:r>
      <w:r>
        <w:t xml:space="preserve"> </w:t>
      </w:r>
      <w:r>
        <w:t xml:space="preserve">(Chadwick et al., 2020; Zoffoli et al., 2023)</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algae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(Barillé et al., 2025; Nurdin et al., 2023)</w:t>
      </w:r>
      <w:r>
        <w:t xml:space="preserve">. However, while RGB sensors on readily available commercial drones can be used to perform accurate scene classification, their effectiveness for mapping invasive species has not yet been demonstrated</w:t>
      </w:r>
      <w:r>
        <w:t xml:space="preserve"> </w:t>
      </w:r>
      <w:r>
        <w:t xml:space="preserve">(Cheng et al., 2017; Kazakeviciute-Januskeviciene et al., 2020)</w:t>
      </w:r>
      <w:r>
        <w:t xml:space="preserve">. These drones are easy to deploy, can cover large areas when flying at speeds of 15 m s</w:t>
      </w:r>
      <w:r>
        <w:rPr>
          <w:vertAlign w:val="superscript"/>
        </w:rPr>
        <w:t xml:space="preserve">-1</w:t>
      </w:r>
      <w:r>
        <w:t xml:space="preserve"> </w:t>
      </w:r>
      <w:r>
        <w:t xml:space="preserve">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 A promising avenue for operational applications lies in testing machine learning techniques for coastal habitat mapping using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69"/>
    <w:bookmarkEnd w:id="70"/>
    <w:bookmarkStart w:id="71" w:name="conclusion"/>
    <w:p>
      <w:pPr>
        <w:pStyle w:val="Heading1"/>
      </w:pPr>
      <w:r>
        <w:t xml:space="preserve">5. Conclusion</w:t>
      </w:r>
    </w:p>
    <w:bookmarkEnd w:id="71"/>
    <w:bookmarkStart w:id="158" w:name="references"/>
    <w:p>
      <w:pPr>
        <w:pStyle w:val="Heading1"/>
      </w:pPr>
      <w:r>
        <w:t xml:space="preserve">6. References</w:t>
      </w:r>
    </w:p>
    <w:bookmarkStart w:id="157" w:name="refs"/>
    <w:bookmarkStart w:id="72"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72"/>
    <w:bookmarkStart w:id="74" w:name="ref-agisoft"/>
    <w:p>
      <w:pPr>
        <w:pStyle w:val="Bibliography"/>
      </w:pPr>
      <w:r>
        <w:t xml:space="preserve">Agisoft, 2019.</w:t>
      </w:r>
      <w:r>
        <w:t xml:space="preserve"> </w:t>
      </w:r>
      <w:hyperlink r:id="rId73">
        <w:r>
          <w:rPr>
            <w:rStyle w:val="Hyperlink"/>
          </w:rPr>
          <w:t xml:space="preserve">Agisoft metashape</w:t>
        </w:r>
      </w:hyperlink>
      <w:r>
        <w:t xml:space="preserve">.</w:t>
      </w:r>
    </w:p>
    <w:bookmarkEnd w:id="74"/>
    <w:bookmarkStart w:id="75" w:name="ref-arim2006spread"/>
    <w:p>
      <w:pPr>
        <w:pStyle w:val="Bibliography"/>
      </w:pPr>
      <w:r>
        <w:t xml:space="preserve">Arim, M., Abades, S.R., Neill, P.E., Lima, M., Marquet, P.A., 2006. Spread dynamics of invasive species. Proceedings of the National Academy of Sciences 103, 374–378.</w:t>
      </w:r>
    </w:p>
    <w:bookmarkEnd w:id="75"/>
    <w:bookmarkStart w:id="76" w:name="ref-barille2025variability"/>
    <w:p>
      <w:pPr>
        <w:pStyle w:val="Bibliography"/>
      </w:pPr>
      <w:r>
        <w:t xml:space="preserve">Barillé, L., Paterson, I.L., Oiry, S., Aris, A., Cook-Cottier, E.J., Nurdin, N., 2025. Variability of kappaphycus alvarezii cultivation in south-sulawesi (indonesia) related to the monsoon shift: Water quality, growth and colour quantification. Aquaculture Reports 40, 102557.</w:t>
      </w:r>
    </w:p>
    <w:bookmarkEnd w:id="76"/>
    <w:bookmarkStart w:id="78"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77">
        <w:r>
          <w:rPr>
            <w:rStyle w:val="Hyperlink"/>
          </w:rPr>
          <w:t xml:space="preserve">https://doi.org/10.1016/j.seares.2014.02.014</w:t>
        </w:r>
      </w:hyperlink>
    </w:p>
    <w:bookmarkEnd w:id="78"/>
    <w:bookmarkStart w:id="79"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79"/>
    <w:bookmarkStart w:id="80"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80"/>
    <w:bookmarkStart w:id="82" w:name="ref-Castaing1995"/>
    <w:p>
      <w:pPr>
        <w:pStyle w:val="Bibliography"/>
      </w:pPr>
      <w:r>
        <w:t xml:space="preserve">Castaing, P., Guilcher, A., 1995. Morphosedimentary evolution of ria-type estuaries. Earth Surface Processes and Landforms 20, 361–376.</w:t>
      </w:r>
      <w:r>
        <w:t xml:space="preserve"> </w:t>
      </w:r>
      <w:hyperlink r:id="rId81">
        <w:r>
          <w:rPr>
            <w:rStyle w:val="Hyperlink"/>
          </w:rPr>
          <w:t xml:space="preserve">https://doi.org/10.1002/esp.3290200408</w:t>
        </w:r>
      </w:hyperlink>
    </w:p>
    <w:bookmarkEnd w:id="82"/>
    <w:bookmarkStart w:id="83" w:name="ref-chadwick2020integrating"/>
    <w:p>
      <w:pPr>
        <w:pStyle w:val="Bibliography"/>
      </w:pPr>
      <w:r>
        <w:t xml:space="preserve">Chadwick, K.D., Brodrick, P.G., Grant, K., Goulden, T., Henderson, A., Falco, N., Wainwright, H., Williams, K.H., Bill, M., Breckheimer, I., others, 2020. Integrating airborne remote sensing and field campaigns for ecology and earth system science. Methods in Ecology and Evolution 11, 1492–1508.</w:t>
      </w:r>
    </w:p>
    <w:bookmarkEnd w:id="83"/>
    <w:bookmarkStart w:id="84"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84"/>
    <w:bookmarkStart w:id="86" w:name="ref-shinypck"/>
    <w:p>
      <w:pPr>
        <w:pStyle w:val="Bibliography"/>
      </w:pPr>
      <w:r>
        <w:t xml:space="preserve">Chang, W., Cheng, J., Allaire, J., Sievert, C., Schloerke, B., Xie, Y., Allen, J., McPherson, J., Dipert, A., Borges, B., 2024.</w:t>
      </w:r>
      <w:r>
        <w:t xml:space="preserve"> </w:t>
      </w:r>
      <w:hyperlink r:id="rId85">
        <w:r>
          <w:rPr>
            <w:rStyle w:val="Hyperlink"/>
          </w:rPr>
          <w:t xml:space="preserve">Shiny: Web application framework for r</w:t>
        </w:r>
      </w:hyperlink>
      <w:r>
        <w:t xml:space="preserve">.</w:t>
      </w:r>
    </w:p>
    <w:bookmarkEnd w:id="86"/>
    <w:bookmarkStart w:id="87" w:name="ref-cheng2017remote"/>
    <w:p>
      <w:pPr>
        <w:pStyle w:val="Bibliography"/>
      </w:pPr>
      <w:r>
        <w:t xml:space="preserve">Cheng, G., Han, J., Lu, X., 2017. Remote sensing image scene classification: Benchmark and state of the art. Proceedings of the IEEE 105, 1865–1883.</w:t>
      </w:r>
    </w:p>
    <w:bookmarkEnd w:id="87"/>
    <w:bookmarkStart w:id="88"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88"/>
    <w:bookmarkStart w:id="89"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89"/>
    <w:bookmarkStart w:id="90"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90"/>
    <w:bookmarkStart w:id="91"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91"/>
    <w:bookmarkStart w:id="93"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92">
        <w:r>
          <w:rPr>
            <w:rStyle w:val="Hyperlink"/>
          </w:rPr>
          <w:t xml:space="preserve">https://doi.org/10.3390/rs14133124</w:t>
        </w:r>
      </w:hyperlink>
    </w:p>
    <w:bookmarkEnd w:id="93"/>
    <w:bookmarkStart w:id="95" w:name="ref-rs14020346"/>
    <w:p>
      <w:pPr>
        <w:pStyle w:val="Bibliography"/>
      </w:pPr>
      <w:r>
        <w:t xml:space="preserve">Douay, F., Verpoorter, C., Duong, G., Spilmont, N., Gevaert, F., 2022. New hyperspectral procedure to discriminate intertidal macroalgae. Remote Sensing 14.</w:t>
      </w:r>
      <w:r>
        <w:t xml:space="preserve"> </w:t>
      </w:r>
      <w:hyperlink r:id="rId94">
        <w:r>
          <w:rPr>
            <w:rStyle w:val="Hyperlink"/>
          </w:rPr>
          <w:t xml:space="preserve">https://doi.org/10.3390/rs14020346</w:t>
        </w:r>
      </w:hyperlink>
    </w:p>
    <w:bookmarkEnd w:id="95"/>
    <w:bookmarkStart w:id="96"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96"/>
    <w:bookmarkStart w:id="97"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97"/>
    <w:bookmarkStart w:id="98" w:name="ref-firth2024invasive"/>
    <w:p>
      <w:pPr>
        <w:pStyle w:val="Bibliography"/>
      </w:pPr>
      <w:r>
        <w:t xml:space="preserve">Firth, L.B., Foggo, A., Watts, T., Knights, A.M., DeAmicis, S., 2024. Invasive macroalgae in native seagrass beds: Vectors of spread and impacts. Annals of Botany 133, 41–50.</w:t>
      </w:r>
    </w:p>
    <w:bookmarkEnd w:id="98"/>
    <w:bookmarkStart w:id="99" w:name="ref-fourcade2014mapping"/>
    <w:p>
      <w:pPr>
        <w:pStyle w:val="Bibliography"/>
      </w:pPr>
      <w:r>
        <w:t xml:space="preserve">Fourcade, Y., Engler, J.O., Rödder, D., Secondi, J., 2014. Mapping species distributions with MAXENT using a geographically biased sample of presence data: A performance assessment of methods for correcting sampling bias. PloS one 9, e97122.</w:t>
      </w:r>
    </w:p>
    <w:bookmarkEnd w:id="99"/>
    <w:bookmarkStart w:id="100"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100"/>
    <w:bookmarkStart w:id="101" w:name="ref-godoy2009different"/>
    <w:p>
      <w:pPr>
        <w:pStyle w:val="Bibliography"/>
      </w:pPr>
      <w:r>
        <w:t xml:space="preserve">Godoy, O., Castro-Dı́ez, P., Valladares, F., Costa-Tenorio, M., 2009. Different flowering phenology of alien invasive species in spain: Evidence for the use of an empty temporal niche? Plant Biology 11, 803–811.</w:t>
      </w:r>
    </w:p>
    <w:bookmarkEnd w:id="101"/>
    <w:bookmarkStart w:id="102" w:name="ref-grizel1991introduction"/>
    <w:p>
      <w:pPr>
        <w:pStyle w:val="Bibliography"/>
      </w:pPr>
      <w:r>
        <w:t xml:space="preserve">Grizel, H., Heral, M., 1991. Introduction into france of the japanese oyster (crassostrea gigas). ICES Journal of Marine Science 47, 399–403.</w:t>
      </w:r>
    </w:p>
    <w:bookmarkEnd w:id="102"/>
    <w:bookmarkStart w:id="103"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103"/>
    <w:bookmarkStart w:id="105" w:name="ref-terrapck"/>
    <w:p>
      <w:pPr>
        <w:pStyle w:val="Bibliography"/>
      </w:pPr>
      <w:r>
        <w:t xml:space="preserve">Hijmans, R.J., 2024.</w:t>
      </w:r>
      <w:r>
        <w:t xml:space="preserve"> </w:t>
      </w:r>
      <w:hyperlink r:id="rId104">
        <w:r>
          <w:rPr>
            <w:rStyle w:val="Hyperlink"/>
          </w:rPr>
          <w:t xml:space="preserve">Terra: Spatial data analysis</w:t>
        </w:r>
      </w:hyperlink>
      <w:r>
        <w:t xml:space="preserve">.</w:t>
      </w:r>
    </w:p>
    <w:bookmarkEnd w:id="105"/>
    <w:bookmarkStart w:id="106" w:name="ref-RemonterLeTempsIGN"/>
    <w:p>
      <w:pPr>
        <w:pStyle w:val="Bibliography"/>
      </w:pPr>
      <w:r>
        <w:t xml:space="preserve">IGN, 2024. Remonter le temps.</w:t>
      </w:r>
    </w:p>
    <w:bookmarkEnd w:id="106"/>
    <w:bookmarkStart w:id="107" w:name="ref-kazakeviciute2020assessment"/>
    <w:p>
      <w:pPr>
        <w:pStyle w:val="Bibliography"/>
      </w:pPr>
      <w:r>
        <w:t xml:space="preserve">Kazakeviciute-Januskeviciene, G., Janusonis, E., Bausys, R., Limba, T., Kiskis, M., 2020. Assessment of the segmentation of RGB remote sensing images: A subjective approach. Remote Sensing 12, 4152.</w:t>
      </w:r>
    </w:p>
    <w:bookmarkEnd w:id="107"/>
    <w:bookmarkStart w:id="108"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108"/>
    <w:bookmarkStart w:id="110"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109">
        <w:r>
          <w:rPr>
            <w:rStyle w:val="Hyperlink"/>
          </w:rPr>
          <w:t xml:space="preserve">https://doi.org/10.3390/d15020161</w:t>
        </w:r>
      </w:hyperlink>
    </w:p>
    <w:bookmarkEnd w:id="110"/>
    <w:bookmarkStart w:id="112"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111">
        <w:r>
          <w:rPr>
            <w:rStyle w:val="Hyperlink"/>
          </w:rPr>
          <w:t xml:space="preserve">https://doi.org/10.3390/rs11060704</w:t>
        </w:r>
      </w:hyperlink>
    </w:p>
    <w:bookmarkEnd w:id="112"/>
    <w:bookmarkStart w:id="114"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113">
        <w:r>
          <w:rPr>
            <w:rStyle w:val="Hyperlink"/>
          </w:rPr>
          <w:t xml:space="preserve">https://doi.org/10.3390/jmse11020367</w:t>
        </w:r>
      </w:hyperlink>
    </w:p>
    <w:bookmarkEnd w:id="114"/>
    <w:bookmarkStart w:id="116"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115">
        <w:r>
          <w:rPr>
            <w:rStyle w:val="Hyperlink"/>
          </w:rPr>
          <w:t xml:space="preserve">https://doi.org/10.1080/17445647.2021.1925170</w:t>
        </w:r>
      </w:hyperlink>
    </w:p>
    <w:bookmarkEnd w:id="116"/>
    <w:bookmarkStart w:id="117"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117"/>
    <w:bookmarkStart w:id="119" w:name="ref-rs15143674"/>
    <w:p>
      <w:pPr>
        <w:pStyle w:val="Bibliography"/>
      </w:pPr>
      <w:r>
        <w:t xml:space="preserve">Nurdin, N., Alevizos, E., Syamsuddin, R., Asis, H., Zainuddin, E.N., Aris, A., Oiry, S., Brunier, G., Komatsu, T., Barillé, L., 2023. Precision aquaculture drone mapping of the spatial distribution of kappaphycus alvarezii biomass and carrageenan. Remote Sensing 15.</w:t>
      </w:r>
      <w:r>
        <w:t xml:space="preserve"> </w:t>
      </w:r>
      <w:hyperlink r:id="rId118">
        <w:r>
          <w:rPr>
            <w:rStyle w:val="Hyperlink"/>
          </w:rPr>
          <w:t xml:space="preserve">https://doi.org/10.3390/rs15143674</w:t>
        </w:r>
      </w:hyperlink>
    </w:p>
    <w:bookmarkEnd w:id="119"/>
    <w:bookmarkStart w:id="120" w:name="ref-nyberg2007introduced"/>
    <w:p>
      <w:pPr>
        <w:pStyle w:val="Bibliography"/>
      </w:pPr>
      <w:r>
        <w:t xml:space="preserve">Nyberg, C.D., 2007. Introduced marine macroalgae and habitat modifiers: Their ecological role and significant attributes. Department of Marine Ecology.</w:t>
      </w:r>
    </w:p>
    <w:bookmarkEnd w:id="120"/>
    <w:bookmarkStart w:id="121" w:name="ref-nyberg2009flora"/>
    <w:p>
      <w:pPr>
        <w:pStyle w:val="Bibliography"/>
      </w:pPr>
      <w:r>
        <w:t xml:space="preserve">Nyberg, C.D., Thomsen, M.S., Wallentinus, I., 2009. Flora and fauna associated with the introduced red alga gracilaria vermiculophylla. European Journal of Phycology 44, 395–403.</w:t>
      </w:r>
    </w:p>
    <w:bookmarkEnd w:id="121"/>
    <w:bookmarkStart w:id="122"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122"/>
    <w:bookmarkStart w:id="124"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123">
        <w:r>
          <w:rPr>
            <w:rStyle w:val="Hyperlink"/>
          </w:rPr>
          <w:t xml:space="preserve">https://doi.org/10.5281/zenodo.14218984</w:t>
        </w:r>
      </w:hyperlink>
    </w:p>
    <w:bookmarkEnd w:id="124"/>
    <w:bookmarkStart w:id="126"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25">
        <w:r>
          <w:rPr>
            <w:rStyle w:val="Hyperlink"/>
          </w:rPr>
          <w:t xml:space="preserve">https://doi.org/10.3390/rs16234383</w:t>
        </w:r>
      </w:hyperlink>
    </w:p>
    <w:bookmarkEnd w:id="126"/>
    <w:bookmarkStart w:id="127"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27"/>
    <w:bookmarkStart w:id="128"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28"/>
    <w:bookmarkStart w:id="130" w:name="ref-WoRMS303450"/>
    <w:p>
      <w:pPr>
        <w:pStyle w:val="Bibliography"/>
      </w:pPr>
      <w:r>
        <w:t xml:space="preserve">Papenfuss, G.F., 1967.</w:t>
      </w:r>
      <w:r>
        <w:t xml:space="preserve"> </w:t>
      </w:r>
      <w:hyperlink r:id="rId129">
        <w:r>
          <w:rPr>
            <w:rStyle w:val="Hyperlink"/>
          </w:rPr>
          <w:t xml:space="preserve">Notes on algal nomenclature - v. Various chlorophyceae and rhodophyceae</w:t>
        </w:r>
      </w:hyperlink>
      <w:r>
        <w:t xml:space="preserve">. Phykos 5, 95–105.</w:t>
      </w:r>
    </w:p>
    <w:bookmarkEnd w:id="130"/>
    <w:bookmarkStart w:id="131"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31"/>
    <w:bookmarkStart w:id="132"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32"/>
    <w:bookmarkStart w:id="133"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33"/>
    <w:bookmarkStart w:id="134"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34"/>
    <w:bookmarkStart w:id="135" w:name="ref-roman2021using"/>
    <w:p>
      <w:pPr>
        <w:pStyle w:val="Bibliography"/>
      </w:pPr>
      <w:r>
        <w:t xml:space="preserve">Román, A., Tovar-Sánchez, A., Olivé, I., Navarro, G., 2021. Using a UAV-mounted multispectral camera for the monitoring of marine macrophytes. Frontiers in Marine Science 8, 722698.</w:t>
      </w:r>
    </w:p>
    <w:bookmarkEnd w:id="135"/>
    <w:bookmarkStart w:id="136" w:name="ref-romero2008sintering"/>
    <w:p>
      <w:pPr>
        <w:pStyle w:val="Bibliography"/>
      </w:pPr>
      <w:r>
        <w:t xml:space="preserve">Romero, M., Andrés, A., Alonso, R., Viguri, J., Rincón, J.M., 2008. Sintering behaviour of ceramic bodies from contaminated marine sediments. Ceramics International 34, 1917–1924.</w:t>
      </w:r>
    </w:p>
    <w:bookmarkEnd w:id="136"/>
    <w:bookmarkStart w:id="137" w:name="ref-rueness2005life"/>
    <w:p>
      <w:pPr>
        <w:pStyle w:val="Bibliography"/>
      </w:pPr>
      <w:r>
        <w:t xml:space="preserve">Rueness, J., 2005. Life history and molecular sequences of gracilaria vermiculophylla (gracilariales, rhodophyta), a new introduction to european waters. Phycologia 44, 120–128.</w:t>
      </w:r>
    </w:p>
    <w:bookmarkEnd w:id="137"/>
    <w:bookmarkStart w:id="138"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38"/>
    <w:bookmarkStart w:id="140" w:name="ref-Simon2024ShinyApp"/>
    <w:p>
      <w:pPr>
        <w:pStyle w:val="Bibliography"/>
      </w:pPr>
      <w:r>
        <w:t xml:space="preserve">Simon, O., 2024.</w:t>
      </w:r>
      <w:r>
        <w:t xml:space="preserve"> </w:t>
      </w:r>
      <w:hyperlink r:id="rId139">
        <w:r>
          <w:rPr>
            <w:rStyle w:val="Hyperlink"/>
          </w:rPr>
          <w:t xml:space="preserve">Shiny app for validation dataset building</w:t>
        </w:r>
      </w:hyperlink>
      <w:r>
        <w:t xml:space="preserve">.</w:t>
      </w:r>
    </w:p>
    <w:bookmarkEnd w:id="140"/>
    <w:bookmarkStart w:id="141"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41"/>
    <w:bookmarkStart w:id="142"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42"/>
    <w:bookmarkStart w:id="144"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43">
        <w:r>
          <w:rPr>
            <w:rStyle w:val="Hyperlink"/>
          </w:rPr>
          <w:t xml:space="preserve">https://doi.org/10.1007/s11356-011-0479-3</w:t>
        </w:r>
      </w:hyperlink>
    </w:p>
    <w:bookmarkEnd w:id="144"/>
    <w:bookmarkStart w:id="145"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45"/>
    <w:bookmarkStart w:id="146"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46"/>
    <w:bookmarkStart w:id="147"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47"/>
    <w:bookmarkStart w:id="148"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48"/>
    <w:bookmarkStart w:id="149"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49"/>
    <w:bookmarkStart w:id="150" w:name="ref-vilizzi2021global"/>
    <w:p>
      <w:pPr>
        <w:pStyle w:val="Bibliography"/>
      </w:pPr>
      <w:r>
        <w:t xml:space="preserve">Vilizzi, L., Copp, G.H., Hill, J.E., Adamovich, B., Aislabie, L., Akin, D., Al-Faisal, A.J., Almeida, D., Azmai, M.A., Bakiu, R., others, 2021. A global-scale screening of non-native aquatic organisms to identify potentially invasive species under current and future climate conditions. Science of the Total Environment 788, 147868.</w:t>
      </w:r>
    </w:p>
    <w:bookmarkEnd w:id="150"/>
    <w:bookmarkStart w:id="151"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51"/>
    <w:bookmarkStart w:id="152" w:name="ref-williams2007global"/>
    <w:p>
      <w:pPr>
        <w:pStyle w:val="Bibliography"/>
      </w:pPr>
      <w:r>
        <w:t xml:space="preserve">Williams, S.L., Smith, J.E., 2007. A global review of the distribution, taxonomy, and impacts of introduced seaweeds. Annu. Rev. Ecol. Evol. Syst. 38, 327–359.</w:t>
      </w:r>
    </w:p>
    <w:bookmarkEnd w:id="152"/>
    <w:bookmarkStart w:id="154"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53">
        <w:r>
          <w:rPr>
            <w:rStyle w:val="Hyperlink"/>
          </w:rPr>
          <w:t xml:space="preserve">https://doi.org/10.3390/d14121077</w:t>
        </w:r>
      </w:hyperlink>
    </w:p>
    <w:bookmarkEnd w:id="154"/>
    <w:bookmarkStart w:id="155"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55"/>
    <w:bookmarkStart w:id="156" w:name="ref-zoffoli2023remote"/>
    <w:p>
      <w:pPr>
        <w:pStyle w:val="Bibliography"/>
      </w:pPr>
      <w:r>
        <w:t xml:space="preserve">Zoffoli, M.L., Gernez, P., Oiry, S., Godet, L., Dalloyau, S., Davies, B.F.R., Barillé, L., 2023. Remote sensing in seagrass ecology: Coupled dynamics between migratory herbivorous birds and intertidal meadows observed by satellite during four decades. Remote Sensing in Ecology and Conservation 9, 420–433.</w:t>
      </w:r>
    </w:p>
    <w:bookmarkEnd w:id="156"/>
    <w:bookmarkEnd w:id="157"/>
    <w:bookmarkEnd w:id="158"/>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image" Id="rId22" Target="media/rId22.png" /><Relationship Type="http://schemas.openxmlformats.org/officeDocument/2006/relationships/hyperlink" Id="rId85" Target="https://CRAN.R-project.org/package=shiny" TargetMode="External" /><Relationship Type="http://schemas.openxmlformats.org/officeDocument/2006/relationships/hyperlink" Id="rId104" Target="https://CRAN.R-project.org/package=terra" TargetMode="External" /><Relationship Type="http://schemas.openxmlformats.org/officeDocument/2006/relationships/hyperlink" Id="rId81" Target="https://doi.org/10.1002/esp.3290200408" TargetMode="External" /><Relationship Type="http://schemas.openxmlformats.org/officeDocument/2006/relationships/hyperlink" Id="rId143" Target="https://doi.org/10.1007/s11356-011-0479-3" TargetMode="External" /><Relationship Type="http://schemas.openxmlformats.org/officeDocument/2006/relationships/hyperlink" Id="rId77" Target="https://doi.org/10.1016/j.seares.2014.02.014" TargetMode="External" /><Relationship Type="http://schemas.openxmlformats.org/officeDocument/2006/relationships/hyperlink" Id="rId115" Target="https://doi.org/10.1080/17445647.2021.1925170" TargetMode="External" /><Relationship Type="http://schemas.openxmlformats.org/officeDocument/2006/relationships/hyperlink" Id="rId153" Target="https://doi.org/10.3390/d14121077" TargetMode="External" /><Relationship Type="http://schemas.openxmlformats.org/officeDocument/2006/relationships/hyperlink" Id="rId109" Target="https://doi.org/10.3390/d15020161" TargetMode="External" /><Relationship Type="http://schemas.openxmlformats.org/officeDocument/2006/relationships/hyperlink" Id="rId113" Target="https://doi.org/10.3390/jmse11020367" TargetMode="External" /><Relationship Type="http://schemas.openxmlformats.org/officeDocument/2006/relationships/hyperlink" Id="rId111" Target="https://doi.org/10.3390/rs11060704" TargetMode="External" /><Relationship Type="http://schemas.openxmlformats.org/officeDocument/2006/relationships/hyperlink" Id="rId94" Target="https://doi.org/10.3390/rs14020346" TargetMode="External" /><Relationship Type="http://schemas.openxmlformats.org/officeDocument/2006/relationships/hyperlink" Id="rId92" Target="https://doi.org/10.3390/rs14133124" TargetMode="External" /><Relationship Type="http://schemas.openxmlformats.org/officeDocument/2006/relationships/hyperlink" Id="rId118" Target="https://doi.org/10.3390/rs15143674" TargetMode="External" /><Relationship Type="http://schemas.openxmlformats.org/officeDocument/2006/relationships/hyperlink" Id="rId125" Target="https://doi.org/10.3390/rs16234383" TargetMode="External" /><Relationship Type="http://schemas.openxmlformats.org/officeDocument/2006/relationships/hyperlink" Id="rId123" Target="https://doi.org/10.5281/zenodo.14218984" TargetMode="External" /><Relationship Type="http://schemas.openxmlformats.org/officeDocument/2006/relationships/hyperlink" Id="rId129" Target="https://marinespecies.org/aphia.php?p=sourcedetails&amp;id=303450" TargetMode="External" /><Relationship Type="http://schemas.openxmlformats.org/officeDocument/2006/relationships/hyperlink" Id="rId139" Target="https://oirysimon.shinyapps.io/shiny_validate/" TargetMode="External" /><Relationship Type="http://schemas.openxmlformats.org/officeDocument/2006/relationships/hyperlink" Id="rId73"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85" Target="https://CRAN.R-project.org/package=shiny" TargetMode="External" /><Relationship Type="http://schemas.openxmlformats.org/officeDocument/2006/relationships/hyperlink" Id="rId104" Target="https://CRAN.R-project.org/package=terra" TargetMode="External" /><Relationship Type="http://schemas.openxmlformats.org/officeDocument/2006/relationships/hyperlink" Id="rId81" Target="https://doi.org/10.1002/esp.3290200408" TargetMode="External" /><Relationship Type="http://schemas.openxmlformats.org/officeDocument/2006/relationships/hyperlink" Id="rId143" Target="https://doi.org/10.1007/s11356-011-0479-3" TargetMode="External" /><Relationship Type="http://schemas.openxmlformats.org/officeDocument/2006/relationships/hyperlink" Id="rId77" Target="https://doi.org/10.1016/j.seares.2014.02.014" TargetMode="External" /><Relationship Type="http://schemas.openxmlformats.org/officeDocument/2006/relationships/hyperlink" Id="rId115" Target="https://doi.org/10.1080/17445647.2021.1925170" TargetMode="External" /><Relationship Type="http://schemas.openxmlformats.org/officeDocument/2006/relationships/hyperlink" Id="rId153" Target="https://doi.org/10.3390/d14121077" TargetMode="External" /><Relationship Type="http://schemas.openxmlformats.org/officeDocument/2006/relationships/hyperlink" Id="rId109" Target="https://doi.org/10.3390/d15020161" TargetMode="External" /><Relationship Type="http://schemas.openxmlformats.org/officeDocument/2006/relationships/hyperlink" Id="rId113" Target="https://doi.org/10.3390/jmse11020367" TargetMode="External" /><Relationship Type="http://schemas.openxmlformats.org/officeDocument/2006/relationships/hyperlink" Id="rId111" Target="https://doi.org/10.3390/rs11060704" TargetMode="External" /><Relationship Type="http://schemas.openxmlformats.org/officeDocument/2006/relationships/hyperlink" Id="rId94" Target="https://doi.org/10.3390/rs14020346" TargetMode="External" /><Relationship Type="http://schemas.openxmlformats.org/officeDocument/2006/relationships/hyperlink" Id="rId92" Target="https://doi.org/10.3390/rs14133124" TargetMode="External" /><Relationship Type="http://schemas.openxmlformats.org/officeDocument/2006/relationships/hyperlink" Id="rId118" Target="https://doi.org/10.3390/rs15143674" TargetMode="External" /><Relationship Type="http://schemas.openxmlformats.org/officeDocument/2006/relationships/hyperlink" Id="rId125" Target="https://doi.org/10.3390/rs16234383" TargetMode="External" /><Relationship Type="http://schemas.openxmlformats.org/officeDocument/2006/relationships/hyperlink" Id="rId123" Target="https://doi.org/10.5281/zenodo.14218984" TargetMode="External" /><Relationship Type="http://schemas.openxmlformats.org/officeDocument/2006/relationships/hyperlink" Id="rId129" Target="https://marinespecies.org/aphia.php?p=sourcedetails&amp;id=303450" TargetMode="External" /><Relationship Type="http://schemas.openxmlformats.org/officeDocument/2006/relationships/hyperlink" Id="rId139" Target="https://oirysimon.shinyapps.io/shiny_validate/" TargetMode="External" /><Relationship Type="http://schemas.openxmlformats.org/officeDocument/2006/relationships/hyperlink" Id="rId73"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Coucou - Monitoring the marine invasive alien species Gracilaria vermiculophylla using unmanned aerial vehicles</dc:title>
  <dc:creator>Simon Oiry¹; Bede Ffinian Rowe Davies¹; Pierre Gernez¹; Laurent Barillé¹</dc:creator>
  <cp:keywords>Remote Sensing, Invasive species, Coastal Ecosystems, Biodiversity</cp:keywords>
  <dcterms:created xsi:type="dcterms:W3CDTF">2024-12-16T20:51:14Z</dcterms:created>
  <dcterms:modified xsi:type="dcterms:W3CDTF">2024-12-16T20:51:14Z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2024-12-16</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