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1.png" ContentType="image/png"/>
  <Override PartName="/word/media/rId51.png" ContentType="image/png"/>
  <Override PartName="/word/media/rId56.png" ContentType="image/png"/>
  <Override PartName="/word/media/rId7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This study investigates the impact of marine and atmospheric heatwaves on the pigment composition and reflectance of the intertidal seagrass Nanozostera noltei. Seagrasses are critical to coastal ecosystems, providing habitat, stabilizing sediments, and aiding carbon sequestration. Climate change has increased the frequency and intensity of heatwaves, potentially threatening seagrass health. In this experiment, we exposed N. noltei samples to controlled heatwave conditions and used hyperspectral radiometry to assess changes in spectral signatures over time. Results revealed that heatwaves induce significant declines in seagrass reflectance, particularly in the green and near-infrared regions, linked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quantify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heatwave events in Quiberon, France.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7" w:name="material-methods"/>
    <w:p>
      <w:pPr>
        <w:pStyle w:val="Heading1"/>
      </w:pPr>
      <w:r>
        <w:t xml:space="preserve">2. Material &amp; Methods</w:t>
      </w:r>
    </w:p>
    <w:bookmarkStart w:id="50"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9"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7"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7"/>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8">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9"/>
    <w:bookmarkEnd w:id="50"/>
    <w:bookmarkStart w:id="66" w:name="X27a1969d5b72398d0a273597903fb82da79178c"/>
    <w:p>
      <w:pPr>
        <w:pStyle w:val="Heading2"/>
      </w:pPr>
      <w:r>
        <w:t xml:space="preserve">2.2 Observation of seagrass leaves darkening.</w:t>
      </w:r>
    </w:p>
    <w:bookmarkStart w:id="61" w:name="field-observation"/>
    <w:p>
      <w:pPr>
        <w:pStyle w:val="Heading3"/>
      </w:pPr>
      <w:r>
        <w:t xml:space="preserve">2.2.1 Field Observation</w:t>
      </w:r>
    </w:p>
    <w:bookmarkStart w:id="55" w:name="cell-fig-quiberonMap"/>
    <w:bookmarkStart w:id="54"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2" name="Picture"/>
            <a:graphic>
              <a:graphicData uri="http://schemas.openxmlformats.org/drawingml/2006/picture">
                <pic:pic>
                  <pic:nvPicPr>
                    <pic:cNvPr descr="Figs/Low_res/Quiberon_map.png" id="53" name="Picture"/>
                    <pic:cNvPicPr>
                      <a:picLocks noChangeArrowheads="1" noChangeAspect="1"/>
                    </pic:cNvPicPr>
                  </pic:nvPicPr>
                  <pic:blipFill>
                    <a:blip r:embed="rId51"/>
                    <a:stretch>
                      <a:fillRect/>
                    </a:stretch>
                  </pic:blipFill>
                  <pic:spPr bwMode="auto">
                    <a:xfrm>
                      <a:off x="0" y="0"/>
                      <a:ext cx="5943600" cy="6080409"/>
                    </a:xfrm>
                    <a:prstGeom prst="rect">
                      <a:avLst/>
                    </a:prstGeom>
                    <a:noFill/>
                    <a:ln w="9525">
                      <a:noFill/>
                      <a:headEnd/>
                      <a:tailEnd/>
                    </a:ln>
                  </pic:spPr>
                </pic:pic>
              </a:graphicData>
            </a:graphic>
          </wp:inline>
        </w:drawing>
      </w:r>
    </w:p>
    <w:bookmarkEnd w:id="54"/>
    <w:bookmarkEnd w:id="55"/>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60" w:name="cell-fig-QuiberonImg"/>
    <w:bookmarkStart w:id="59"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7" name="Picture"/>
            <a:graphic>
              <a:graphicData uri="http://schemas.openxmlformats.org/drawingml/2006/picture">
                <pic:pic>
                  <pic:nvPicPr>
                    <pic:cNvPr descr="Figs/Low_res/img_Quiberon.png" id="58" name="Picture"/>
                    <pic:cNvPicPr>
                      <a:picLocks noChangeArrowheads="1" noChangeAspect="1"/>
                    </pic:cNvPicPr>
                  </pic:nvPicPr>
                  <pic:blipFill>
                    <a:blip r:embed="rId56"/>
                    <a:stretch>
                      <a:fillRect/>
                    </a:stretch>
                  </pic:blipFill>
                  <pic:spPr bwMode="auto">
                    <a:xfrm>
                      <a:off x="0" y="0"/>
                      <a:ext cx="5943600" cy="3929594"/>
                    </a:xfrm>
                    <a:prstGeom prst="rect">
                      <a:avLst/>
                    </a:prstGeom>
                    <a:noFill/>
                    <a:ln w="9525">
                      <a:noFill/>
                      <a:headEnd/>
                      <a:tailEnd/>
                    </a:ln>
                  </pic:spPr>
                </pic:pic>
              </a:graphicData>
            </a:graphic>
          </wp:inline>
        </w:drawing>
      </w:r>
    </w:p>
    <w:bookmarkEnd w:id="59"/>
    <w:bookmarkEnd w:id="60"/>
    <w:bookmarkEnd w:id="61"/>
    <w:bookmarkStart w:id="63"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2">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3"/>
    <w:bookmarkStart w:id="64"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4"/>
    <w:bookmarkStart w:id="65"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5"/>
    <w:bookmarkEnd w:id="66"/>
    <w:bookmarkEnd w:id="67"/>
    <w:bookmarkStart w:id="112" w:name="results"/>
    <w:p>
      <w:pPr>
        <w:pStyle w:val="Heading1"/>
      </w:pPr>
      <w:r>
        <w:t xml:space="preserve">3. Results</w:t>
      </w:r>
    </w:p>
    <w:bookmarkStart w:id="87" w:name="laboratory-experiment-1"/>
    <w:p>
      <w:pPr>
        <w:pStyle w:val="Heading2"/>
      </w:pPr>
      <w:r>
        <w:t xml:space="preserve">3.1 Laboratory Experiment</w:t>
      </w:r>
    </w:p>
    <w:bookmarkStart w:id="73"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2" w:name="cell-fig-Exp_Spectra"/>
    <w:bookmarkStart w:id="71"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943600" cy="2971800"/>
                    </a:xfrm>
                    <a:prstGeom prst="rect">
                      <a:avLst/>
                    </a:prstGeom>
                    <a:noFill/>
                    <a:ln w="9525">
                      <a:noFill/>
                      <a:headEnd/>
                      <a:tailEnd/>
                    </a:ln>
                  </pic:spPr>
                </pic:pic>
              </a:graphicData>
            </a:graphic>
          </wp:inline>
        </w:drawing>
      </w:r>
    </w:p>
    <w:bookmarkEnd w:id="71"/>
    <w:bookmarkEnd w:id="72"/>
    <w:bookmarkEnd w:id="73"/>
    <w:bookmarkStart w:id="79"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peak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8" w:name="cell-fig-Exp_Spectral_indices"/>
    <w:bookmarkStart w:id="77"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Start w:id="86" w:name="X0a3b57fb6e58dace6488d21e37474af411bb7be"/>
    <w:p>
      <w:pPr>
        <w:pStyle w:val="Heading3"/>
      </w:pPr>
      <w:r>
        <w:t xml:space="preserve">3.1.3 Buidling the Seagrass Darkening radiometric index</w:t>
      </w:r>
    </w:p>
    <w:p>
      <w:pPr>
        <w:pStyle w:val="FirstParagraph"/>
      </w:pPr>
      <w:r>
        <w:t xml:space="preserve">Based on these evolution of spectral feature of seagrasses exposed to extreme events, a radiometric index of the darkening of seagrass can be made. Darkening of seagrasses is not only characterized by a drop in reflectance in the green regions but also by a significant drop in the red edge part of the electromagnetic spectra (</w:t>
      </w:r>
      <w:hyperlink w:anchor="fig-Exp_Spectral_indices">
        <w:r>
          <w:rPr>
            <w:rStyle w:val="Hyperlink"/>
          </w:rPr>
          <w:t xml:space="preserve">Figure 7</w:t>
        </w:r>
      </w:hyperlink>
      <w:r>
        <w:t xml:space="preserve">).</w:t>
      </w:r>
    </w:p>
    <w:p>
      <w:pPr>
        <w:pStyle w:val="BodyText"/>
      </w:pPr>
      <w:r>
        <w:t xml:space="preserve">The Seagrass Darkening Index (SDI) is proposed here :</w:t>
      </w:r>
    </w:p>
    <w:p>
      <w:pPr>
        <w:pStyle w:val="BodyText"/>
      </w:pPr>
      <w:bookmarkStart w:id="80"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5</m:t>
              </m:r>
            </m:e>
          </m:d>
        </m:oMath>
      </m:oMathPara>
      <w:bookmarkEnd w:id="80"/>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w:t>
      </w:r>
      <w:r>
        <w:t xml:space="preserve">and</w:t>
      </w:r>
      <w:r>
        <w:t xml:space="preserve"> </w:t>
      </w:r>
      <m:oMath>
        <m:r>
          <m:t>R</m:t>
        </m:r>
        <m:d>
          <m:dPr>
            <m:begChr m:val="("/>
            <m:endChr m:val=")"/>
            <m:sepChr m:val=""/>
            <m:grow/>
          </m:dPr>
          <m:e>
            <m:r>
              <m:t>842</m:t>
            </m:r>
          </m:e>
        </m:d>
      </m:oMath>
      <w:r>
        <w:t xml:space="preserve"> </w:t>
      </w:r>
      <w:r>
        <w:t xml:space="preserve">are the reflectances at 560, 740 and 842 nm respectively. This Wavelength have been chosen to match the spectral resolution of satellite such as Sentinel-2, making this index usable to map darkening events using satellites. the SDI has been design to be a binary classifiers, where negative values indicates green seagrasses and positive values indicates darkened seagrasses.</w:t>
      </w:r>
    </w:p>
    <w:bookmarkStart w:id="85" w:name="cell-fig-SDI_exp"/>
    <w:bookmarkStart w:id="84"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2" name="Picture"/>
            <a:graphic>
              <a:graphicData uri="http://schemas.openxmlformats.org/drawingml/2006/picture">
                <pic:pic>
                  <pic:nvPicPr>
                    <pic:cNvPr descr="Figs/Low_res/PLOT_SDI_exp.png" id="83" name="Picture"/>
                    <pic:cNvPicPr>
                      <a:picLocks noChangeArrowheads="1" noChangeAspect="1"/>
                    </pic:cNvPicPr>
                  </pic:nvPicPr>
                  <pic:blipFill>
                    <a:blip r:embed="rId81"/>
                    <a:stretch>
                      <a:fillRect/>
                    </a:stretch>
                  </pic:blipFill>
                  <pic:spPr bwMode="auto">
                    <a:xfrm>
                      <a:off x="0" y="0"/>
                      <a:ext cx="5943600" cy="2971800"/>
                    </a:xfrm>
                    <a:prstGeom prst="rect">
                      <a:avLst/>
                    </a:prstGeom>
                    <a:noFill/>
                    <a:ln w="9525">
                      <a:noFill/>
                      <a:headEnd/>
                      <a:tailEnd/>
                    </a:ln>
                  </pic:spPr>
                </pic:pic>
              </a:graphicData>
            </a:graphic>
          </wp:inline>
        </w:drawing>
      </w:r>
    </w:p>
    <w:bookmarkEnd w:id="84"/>
    <w:bookmarkEnd w:id="85"/>
    <w:p>
      <w:pPr>
        <w:pStyle w:val="AfterWithoutNote"/>
      </w:pPr>
      <w:r>
        <w:t xml:space="preserve">Applied to reflectance data collected during the experiment, the SDI indicated distinct differences between the Control and Treatment groups. At the end of the experiment (i.e. when seagrasses in the Treatment group had visibly darkened), the median SDI of the Control group was -0.003, with only 3% of samples displaying a positive SDI value. In contrast, the Treatment group exhibited a median SDI of 0.01, with no samples showing a negative SDI value (</w:t>
      </w:r>
      <w:hyperlink w:anchor="fig-SDI_exp">
        <w:r>
          <w:rPr>
            <w:rStyle w:val="Hyperlink"/>
          </w:rPr>
          <w:t xml:space="preserve">Figure 8</w:t>
        </w:r>
      </w:hyperlink>
      <w:r>
        <w:t xml:space="preserve">, right).</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10</w:t>
        </w:r>
      </w:hyperlink>
      <w:r>
        <w:t xml:space="preserve"> </w:t>
      </w:r>
      <w:r>
        <w:t xml:space="preserve">C green) were denser than the those remained unchanged (median SPC = 85%; [</w:t>
      </w:r>
      <w:hyperlink w:anchor="fig-NDVI_GLI_SPC">
        <w:r>
          <w:rPr>
            <w:rStyle w:val="Hyperlink"/>
          </w:rPr>
          <w:t xml:space="preserve">Figure 10</w:t>
        </w:r>
      </w:hyperlink>
      <w:r>
        <w:t xml:space="preserve"> </w:t>
      </w:r>
      <w:r>
        <w:t xml:space="preserve">D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5</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Linear Model (GLM) prediction, and the shaded area indicates the standard error. Shaded points represent raw data, with each point corresponding to a single pixel.</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54" w:name="bibliography"/>
    <w:p>
      <w:pPr>
        <w:pStyle w:val="Heading1"/>
      </w:pPr>
      <w:r>
        <w:t xml:space="preserve">4. Bibliography</w:t>
      </w:r>
    </w:p>
    <w:bookmarkStart w:id="153" w:name="refs"/>
    <w:bookmarkStart w:id="113"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3"/>
    <w:bookmarkStart w:id="114"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14"/>
    <w:bookmarkStart w:id="11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15">
        <w:r>
          <w:rPr>
            <w:rStyle w:val="Hyperlink"/>
          </w:rPr>
          <w:t xml:space="preserve">https://doi.org/10.48670/moi-00311</w:t>
        </w:r>
      </w:hyperlink>
    </w:p>
    <w:bookmarkEnd w:id="116"/>
    <w:bookmarkStart w:id="117" w:name="ref-deguette2022physiological"/>
    <w:p>
      <w:pPr>
        <w:pStyle w:val="Bibliography"/>
      </w:pPr>
      <w:r>
        <w:t xml:space="preserve">Deguette, A., Barrote, I., Silva, J., 2022. Physiological and morphological effects of a marine heatwave on the seagrass cymodocea nodosa. Scientific Reports 12, 7950.</w:t>
      </w:r>
    </w:p>
    <w:bookmarkEnd w:id="117"/>
    <w:bookmarkStart w:id="118" w:name="ref-sen2cor"/>
    <w:p>
      <w:pPr>
        <w:pStyle w:val="Bibliography"/>
      </w:pPr>
      <w:r>
        <w:t xml:space="preserve">European Space Agency, 2024b. Sen2Cor: Sentinel-2 atmospheric correction processor.</w:t>
      </w:r>
    </w:p>
    <w:bookmarkEnd w:id="118"/>
    <w:bookmarkStart w:id="119" w:name="ref-copernicus_sentinel2"/>
    <w:p>
      <w:pPr>
        <w:pStyle w:val="Bibliography"/>
      </w:pPr>
      <w:r>
        <w:t xml:space="preserve">European Space Agency, 2024a. Copernicus open access hub.</w:t>
      </w:r>
    </w:p>
    <w:bookmarkEnd w:id="119"/>
    <w:bookmarkStart w:id="120" w:name="ref-gardner2018global"/>
    <w:p>
      <w:pPr>
        <w:pStyle w:val="Bibliography"/>
      </w:pPr>
      <w:r>
        <w:t xml:space="preserve">Gardner, R.C., Finlayson, C., 2018. Global wetland outlook: State of the world’s wetlands and their services to people, in: Ramsar Convention Secretariat. pp. 2020–5.</w:t>
      </w:r>
    </w:p>
    <w:bookmarkEnd w:id="120"/>
    <w:bookmarkStart w:id="121"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21"/>
    <w:bookmarkStart w:id="122"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22"/>
    <w:bookmarkStart w:id="123"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23"/>
    <w:bookmarkStart w:id="124" w:name="ref-huete2012vegetation"/>
    <w:p>
      <w:pPr>
        <w:pStyle w:val="Bibliography"/>
      </w:pPr>
      <w:r>
        <w:t xml:space="preserve">Huete, A.R., 2012. Vegetation indices, remote sensing and forest monitoring. Geography Compass 6, 513–532.</w:t>
      </w:r>
    </w:p>
    <w:bookmarkEnd w:id="124"/>
    <w:bookmarkStart w:id="126" w:name="ref-ioc_sea_level_lecy"/>
    <w:p>
      <w:pPr>
        <w:pStyle w:val="Bibliography"/>
      </w:pPr>
      <w:r>
        <w:t xml:space="preserve">IOC, 2024.</w:t>
      </w:r>
      <w:r>
        <w:t xml:space="preserve"> </w:t>
      </w:r>
      <w:hyperlink r:id="rId125">
        <w:r>
          <w:rPr>
            <w:rStyle w:val="Hyperlink"/>
          </w:rPr>
          <w:t xml:space="preserve">Intergovernmental oceanographic commission ; sea level monitoring station - le conquet, france (LECY)</w:t>
        </w:r>
      </w:hyperlink>
      <w:r>
        <w:t xml:space="preserve">.</w:t>
      </w:r>
    </w:p>
    <w:bookmarkEnd w:id="126"/>
    <w:bookmarkStart w:id="12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27"/>
    <w:bookmarkStart w:id="128" w:name="ref-kloos2021agricultural"/>
    <w:p>
      <w:pPr>
        <w:pStyle w:val="Bibliography"/>
      </w:pPr>
      <w:r>
        <w:t xml:space="preserve">Kloos, S., Yuan, Y., Castelli, M., Menzel, A., 2021. Agricultural drought detection with MODIS based vegetation health indices in southeast germany. Remote Sensing 13, 3907.</w:t>
      </w:r>
    </w:p>
    <w:bookmarkEnd w:id="128"/>
    <w:bookmarkStart w:id="129"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9"/>
    <w:bookmarkStart w:id="130"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30"/>
    <w:bookmarkStart w:id="131" w:name="ref-perkins2013measurement"/>
    <w:p>
      <w:pPr>
        <w:pStyle w:val="Bibliography"/>
      </w:pPr>
      <w:r>
        <w:t xml:space="preserve">Perkins, S.E., Alexander, L.V., 2013. On the measurement of heat waves. Journal of climate 26, 4500–4517.</w:t>
      </w:r>
    </w:p>
    <w:bookmarkEnd w:id="131"/>
    <w:bookmarkStart w:id="132" w:name="ref-ramesh2020seagrass"/>
    <w:p>
      <w:pPr>
        <w:pStyle w:val="Bibliography"/>
      </w:pPr>
      <w:r>
        <w:t xml:space="preserve">Ramesh, C., Mohanraju, R., 2020. Seagrass ecosystems of andaman and nicobar islands: Status and future perspective. Environmental &amp; Earth Sciences Research Journal 7.</w:t>
      </w:r>
    </w:p>
    <w:bookmarkEnd w:id="132"/>
    <w:bookmarkStart w:id="133" w:name="ref-rouse1974monitoring"/>
    <w:p>
      <w:pPr>
        <w:pStyle w:val="Bibliography"/>
      </w:pPr>
      <w:r>
        <w:t xml:space="preserve">Rouse, J.W., Haas, R.H., Schell, J.A., Deering, D.W., others, 1974. Monitoring vegetation systems in the great plains with ERTS. NASA Spec. Publ 351, 309.</w:t>
      </w:r>
    </w:p>
    <w:bookmarkEnd w:id="133"/>
    <w:bookmarkStart w:id="134"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34"/>
    <w:bookmarkStart w:id="135" w:name="ref-schlegel2017nearshore"/>
    <w:p>
      <w:pPr>
        <w:pStyle w:val="Bibliography"/>
      </w:pPr>
      <w:r>
        <w:t xml:space="preserve">Schlegel, R.W., Oliver, E.C., Wernberg, T., Smit, A.J., 2017. Nearshore and offshore co-occurrence of marine heatwaves and cold-spells. Progress in Oceanography 151, 189–205.</w:t>
      </w:r>
    </w:p>
    <w:bookmarkEnd w:id="135"/>
    <w:bookmarkStart w:id="13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36">
        <w:r>
          <w:rPr>
            <w:rStyle w:val="Hyperlink"/>
          </w:rPr>
          <w:t xml:space="preserve">https://doi.org/10.21105/joss.00821</w:t>
        </w:r>
      </w:hyperlink>
    </w:p>
    <w:bookmarkEnd w:id="137"/>
    <w:bookmarkStart w:id="13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8"/>
    <w:bookmarkStart w:id="13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9"/>
    <w:bookmarkStart w:id="141" w:name="ref-shom_ram_2022"/>
    <w:p>
      <w:pPr>
        <w:pStyle w:val="Bibliography"/>
      </w:pPr>
      <w:r>
        <w:t xml:space="preserve">Shom, 2022.</w:t>
      </w:r>
      <w:r>
        <w:t xml:space="preserve"> </w:t>
      </w:r>
      <w:hyperlink r:id="rId14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41"/>
    <w:bookmarkStart w:id="143" w:name="Xbef41143b4d4042e58f11cfc27e216202646012"/>
    <w:p>
      <w:pPr>
        <w:pStyle w:val="Bibliography"/>
      </w:pPr>
      <w:r>
        <w:t xml:space="preserve">SHOM, 2021.</w:t>
      </w:r>
      <w:r>
        <w:t xml:space="preserve"> </w:t>
      </w:r>
      <w:hyperlink r:id="rId142">
        <w:r>
          <w:rPr>
            <w:rStyle w:val="Hyperlink"/>
          </w:rPr>
          <w:t xml:space="preserve">Service hydrographique et océanographique de la marine ; bathymétrie Litto3D® bretagne 2018-2021</w:t>
        </w:r>
      </w:hyperlink>
      <w:r>
        <w:t xml:space="preserve">.</w:t>
      </w:r>
    </w:p>
    <w:bookmarkEnd w:id="143"/>
    <w:bookmarkStart w:id="144"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44"/>
    <w:bookmarkStart w:id="14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45"/>
    <w:bookmarkStart w:id="146"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46"/>
    <w:bookmarkStart w:id="147" w:name="ref-unsworth2022planetary"/>
    <w:p>
      <w:pPr>
        <w:pStyle w:val="Bibliography"/>
      </w:pPr>
      <w:r>
        <w:t xml:space="preserve">Unsworth, R.K., Cullen-Unsworth, L.C., Jones, B.L., Lilley, R.J., 2022. The planetary role of seagrass conservation. Science 377, 609–613.</w:t>
      </w:r>
    </w:p>
    <w:bookmarkEnd w:id="147"/>
    <w:bookmarkStart w:id="148"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8"/>
    <w:bookmarkStart w:id="149"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9"/>
    <w:bookmarkStart w:id="150"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50"/>
    <w:bookmarkStart w:id="151"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51"/>
    <w:bookmarkStart w:id="152"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52"/>
    <w:bookmarkEnd w:id="153"/>
    <w:sectPr>
      <w:lnNumType w:countBy="1" w:restart="continuous"/>
    </w:sectPr>
    <w:bookmarkEnd w:id="1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1" Target="media/rId81.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40" Target="https://diffusion.shom.fr/references-altimetriques-maritimes-ram.html" TargetMode="External" /><Relationship Type="http://schemas.openxmlformats.org/officeDocument/2006/relationships/hyperlink" Id="rId136" Target="https://doi.org/10.21105/joss.00821" TargetMode="External" /><Relationship Type="http://schemas.openxmlformats.org/officeDocument/2006/relationships/hyperlink" Id="rId115"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2" Target="https://github.com/SigOiry/HeatWave_Seagrasses/blob/main/Scripts/MeteoFrance_Extraction.qmd" TargetMode="External" /><Relationship Type="http://schemas.openxmlformats.org/officeDocument/2006/relationships/hyperlink" Id="rId142" Target="https://services.data.shom.fr/geonetwork/srv/fre/catalog.search#/metadata/BATHYMETRIE_LITTO3D_BZH_2018_2021.xml" TargetMode="External" /><Relationship Type="http://schemas.openxmlformats.org/officeDocument/2006/relationships/hyperlink" Id="rId48" Target="https://sigoiry.github.io/DISCOV-MicaSense/" TargetMode="External" /><Relationship Type="http://schemas.openxmlformats.org/officeDocument/2006/relationships/hyperlink" Id="rId125"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40" Target="https://diffusion.shom.fr/references-altimetriques-maritimes-ram.html" TargetMode="External" /><Relationship Type="http://schemas.openxmlformats.org/officeDocument/2006/relationships/hyperlink" Id="rId136" Target="https://doi.org/10.21105/joss.00821" TargetMode="External" /><Relationship Type="http://schemas.openxmlformats.org/officeDocument/2006/relationships/hyperlink" Id="rId115"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2" Target="https://github.com/SigOiry/HeatWave_Seagrasses/blob/main/Scripts/MeteoFrance_Extraction.qmd" TargetMode="External" /><Relationship Type="http://schemas.openxmlformats.org/officeDocument/2006/relationships/hyperlink" Id="rId142" Target="https://services.data.shom.fr/geonetwork/srv/fre/catalog.search#/metadata/BATHYMETRIE_LITTO3D_BZH_2018_2021.xml" TargetMode="External" /><Relationship Type="http://schemas.openxmlformats.org/officeDocument/2006/relationships/hyperlink" Id="rId48" Target="https://sigoiry.github.io/DISCOV-MicaSense/" TargetMode="External" /><Relationship Type="http://schemas.openxmlformats.org/officeDocument/2006/relationships/hyperlink" Id="rId125"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2024-10-31T09:59:57Z</dcterms:created>
  <dcterms:modified xsi:type="dcterms:W3CDTF">2024-10-31T09:59:57Z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This study investigates the impact of marine and atmospheric heatwaves on the pigment composition and reflectance of the intertidal seagrass Nanozostera noltei. Seagrasses are critical to coastal ecosystems, providing habitat, stabilizing sediments, and aiding carbon sequestration. Climate change has increased the frequency and intensity of heatwaves, potentially threatening seagrass health. In this experiment, we exposed N. noltei samples to controlled heatwave conditions and used hyperspectral radiometry to assess changes in spectral signatures over time. Results revealed that heatwaves induce significant declines in seagrass reflectance, particularly in the green and near-infrared regions, linked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quantify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heatwave events in Quiberon, France.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2024-10-31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