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7.png" ContentType="image/png"/>
  <Override PartName="/word/media/rId31.png" ContentType="image/png"/>
  <Override PartName="/word/media/rId25.png" ContentType="image/png"/>
  <Override PartName="/word/media/rId103.png" ContentType="image/png"/>
  <Override PartName="/word/media/rId87.png" ContentType="image/png"/>
  <Override PartName="/word/media/rId49.png" ContentType="image/png"/>
  <Override PartName="/word/media/rId80.png" ContentType="image/png"/>
  <Override PartName="/word/media/rId93.png" ContentType="image/png"/>
  <Override PartName="/word/media/rId98.png" ContentType="image/png"/>
  <Override PartName="/word/media/rId54.png" ContentType="image/png"/>
  <Override PartName="/word/media/rId75.png" ContentType="image/png"/>
  <Override PartName="/word/media/rId69.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2024-12-19</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These habitats are subjected to a combination of aquatic and aerial conditions, facing impact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 shallow waters,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HWs,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In complement to its ability to measure the spatial distribution of post-heatwave seagrass loss, we hypothesize that remote sensing has the potential to detect more subtle changes, such as the browning of seagrass leaves.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phase,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 findings were then applied to satellite remote sensing images, providing critical insights into the spatial extent and temporal dynamics of HW effects on seagrass meadows. By linking experimental results with large-scale observations of seagrass leaves’ browning, the study underscores the potential of remote sensing to enhance our understanding of seagrass responses to extreme thermal events across diverse settings and timescales.</w:t>
      </w:r>
    </w:p>
    <w:bookmarkEnd w:id="24"/>
    <w:bookmarkStart w:id="68"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sampling box was used to sample seagrass from an area of 30x15 cm and 5 cm deep, maintaining the sediment structure and avoiding damage to seagrass rhizomes and leaves (</w:t>
      </w:r>
      <w:hyperlink w:anchor="fig-design">
        <w:r>
          <w:rPr>
            <w:rStyle w:val="Hyperlink"/>
          </w:rPr>
          <w:t xml:space="preserve">Figure 1</w:t>
        </w:r>
      </w:hyperlink>
      <w:r>
        <w:t xml:space="preserve"> </w:t>
      </w:r>
      <w:r>
        <w:t xml:space="preserve">A). This sampling box reduced the variability between each sample replicates.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from a nearby site and transported to the lab, where it was filtered using a 0.22 µm nitrocellulose filter to remove suspended particulate matter. The filtered seawater was used in the acclimation tank and the intertidal chambers. The seagrasses were acclimated during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r>
        <w:t xml:space="preserve"> </w:t>
      </w:r>
      <w:r>
        <w:t xml:space="preserve">(Akbar et al., 2020)</w:t>
      </w:r>
      <w:r>
        <w:t xml:space="preserv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2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A tidal cycle (i.e. regularly alternating 6h of low tide and 6h of high-tide) was simulated in the laboratory using an intertidal chamber system from ElectricBlue®</w:t>
      </w:r>
      <w:r>
        <w:t xml:space="preserve"> </w:t>
      </w:r>
      <w:r>
        <w:t xml:space="preserve">(Electric Blue, 2023)</w:t>
      </w:r>
      <w:r>
        <w:t xml:space="preserve">. The transition between low tide and high tide is binary and took about 15 minutes to be completed when initiated.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low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light was turn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Field temperature was measured using</w:t>
      </w:r>
      <w:r>
        <w:t xml:space="preserve"> </w:t>
      </w:r>
      <w:r>
        <w:rPr>
          <w:i/>
          <w:iCs/>
        </w:rPr>
        <w:t xml:space="preserve">in situ sensors</w:t>
      </w:r>
      <w:r>
        <w:t xml:space="preserve"> </w:t>
      </w:r>
      <w:r>
        <w:t xml:space="preserve">(T7.3 EnvLoggers from ElectricBlue®) deployed at the sampling site in August 2024. In complement, the temperature daily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“Run”</w:t>
      </w:r>
      <w:r>
        <w:t xml:space="preserve">).</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4"/>
        </w:tc>
      </w:tr>
    </w:tbl>
    <w:bookmarkEnd w:id="35"/>
    <w:bookmarkEnd w:id="36"/>
    <w:bookmarkStart w:id="47" w:name="optical-measurements"/>
    <w:p>
      <w:pPr>
        <w:pStyle w:val="Heading3"/>
      </w:pPr>
      <w:r>
        <w:t xml:space="preserve">3.1.3 Optical measurements</w:t>
      </w:r>
    </w:p>
    <w:bookmarkStart w:id="37" w:name="hyperspectral-reflectance-measurements"/>
    <w:p>
      <w:pPr>
        <w:pStyle w:val="Heading4"/>
      </w:pPr>
      <w:r>
        <w:t xml:space="preserve">3.1.3.1 Hyperspectral reflectance measurements</w:t>
      </w:r>
    </w:p>
    <w:p>
      <w:pPr>
        <w:pStyle w:val="FirstParagraph"/>
      </w:pPr>
      <w:r>
        <w:t xml:space="preserve">Throughout the experiment, the hyperspectral reflectance,</w:t>
      </w:r>
      <w:r>
        <w:t xml:space="preserve"> </w:t>
      </w:r>
      <m:oMath>
        <m:r>
          <m:t>R</m:t>
        </m:r>
        <m:d>
          <m:dPr>
            <m:begChr m:val="("/>
            <m:endChr m:val=")"/>
            <m:sep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endChr m:val=")"/>
            <m:sepChr m:val=""/>
            <m:grow/>
          </m:dPr>
          <m:e>
            <m:r>
              <m:t>λ</m:t>
            </m:r>
          </m:e>
        </m:d>
      </m:oMath>
      <w:r>
        <w:t xml:space="preserve"> </w:t>
      </w:r>
      <w:r>
        <w:t xml:space="preserve">without opening the chamber. An average of five</w:t>
      </w:r>
      <w:r>
        <w:t xml:space="preserve"> </w:t>
      </w:r>
      <m:oMath>
        <m:r>
          <m:t>R</m:t>
        </m:r>
        <m:d>
          <m:dPr>
            <m:begChr m:val="("/>
            <m:endChr m:val=")"/>
            <m:sep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endChr m:val=")"/>
            <m:sep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endChr m:val=")"/>
            <m:sep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the green (at 550 nm) and in the blue (at 450 nm) spectral bands, respectively.</w:t>
      </w:r>
      <w:r>
        <w:t xml:space="preserve"> </w:t>
      </w:r>
      <w:r>
        <w:t xml:space="preserve">(Davies et al., 2023)</w:t>
      </w:r>
      <w:r>
        <w:t xml:space="preserve"> </w:t>
      </w:r>
      <w:r>
        <w:t xml:space="preserve">Based on the observed spectral changes in seagrasses exposed to HWs, we developed a new radiometric index to better detect the radiometric caused by the HW. The browning of the leaves was characterized by substantial radiometric changes in both the green and red-edge spectral regions.</w:t>
      </w:r>
      <w:r>
        <w:t xml:space="preserve"> </w:t>
      </w:r>
      <w:r>
        <w:t xml:space="preserve">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 the reflectance observed at 740 nm to the interpolated reflectance between 560 and 842 nm, so that the index is positive in the case of brown, HW-impacted seagrass leaves, and negative in the case of green, non-impacted leaves: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the reflectance at 560, 740, and 842 nm, respectively. These wavelengths were selected to align with the spectral resolution of satellites missions such as Sentinel-2, for broader remote sensing application.</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4"/>
        </w:tc>
      </w:tr>
    </w:tbl>
    <w:bookmarkEnd w:id="45"/>
    <w:bookmarkEnd w:id="46"/>
    <w:bookmarkEnd w:id="47"/>
    <w:bookmarkEnd w:id="48"/>
    <w:bookmarkStart w:id="66" w:name="X53c8231f04157ff9451ec0257d89262a154cfec"/>
    <w:p>
      <w:pPr>
        <w:pStyle w:val="Heading2"/>
      </w:pPr>
      <w:r>
        <w:t xml:space="preserve">3.2 Observation of a seagrass bed impacted by a HWs</w:t>
      </w:r>
    </w:p>
    <w:p>
      <w:pPr>
        <w:pStyle w:val="FirstParagraph"/>
      </w:pPr>
      <w:r>
        <w:t xml:space="preserve">Field measurements were taken the 10th of September 2021 after an atmospheric and marine heatwave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QPs unimpacted) and brown seagrasses (henceforth: QPs impacted), based on a visual estimation of the leaf coloration (</w:t>
      </w:r>
      <w:hyperlink w:anchor="fig-quiberonMap">
        <w:r>
          <w:rPr>
            <w:rStyle w:val="Hyperlink"/>
          </w:rPr>
          <w:t xml:space="preserve">Figure 4</w:t>
        </w:r>
      </w:hyperlink>
      <w:r>
        <w:t xml:space="preser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polygons indicate saltmarshes. Green points indicate the location of quadrat pictures over unimpacted seagrasses (i.e. showing a green colour on the field), and orange points indicate the location of quadrats taken over impacted seagrasses (i.e. showing a brown color on the field,</w:t>
            </w:r>
            <w:r>
              <w:t xml:space="preserve"> </w:t>
            </w:r>
            <w:hyperlink w:anchor="fig-QuiberonImg">
              <w:r>
                <w:rPr>
                  <w:rStyle w:val="Hyperlink"/>
                </w:rPr>
                <w:t xml:space="preserve">Figure 5</w:t>
              </w:r>
            </w:hyperlink>
            <w:r>
              <w:t xml:space="preserve">).</w:t>
            </w:r>
          </w:p>
          <w:bookmarkEnd w:id="52"/>
        </w:tc>
      </w:tr>
    </w:tbl>
    <w:bookmarkEnd w:id="53"/>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7"/>
        </w:tc>
      </w:tr>
    </w:tbl>
    <w:bookmarkEnd w:id="58"/>
    <w:bookmarkStart w:id="63" w:name="temperature-data-and-hw-detection"/>
    <w:p>
      <w:pPr>
        <w:pStyle w:val="Heading3"/>
      </w:pPr>
      <w:r>
        <w:t xml:space="preserve">3.2.1 Temperature data and HW detection</w:t>
      </w:r>
    </w:p>
    <w:bookmarkStart w:id="60" w:name="air-temperature"/>
    <w:p>
      <w:pPr>
        <w:pStyle w:val="Heading4"/>
      </w:pPr>
      <w:r>
        <w:t xml:space="preserve">3.2.1.1 Air temperature</w:t>
      </w:r>
    </w:p>
    <w:p>
      <w:pPr>
        <w:pStyle w:val="FirstParagraph"/>
      </w:pPr>
      <w:r>
        <w:t xml:space="preserve">Since 2024, Meteo France weather data has been freely and openly accessible. Hourly air temperature data from a nearby weather station (Lorient-Lann Bihoue, 47°45’46”N 3°26’11”W) was retrieved using a</w:t>
      </w:r>
      <w:r>
        <w:t xml:space="preserve"> </w:t>
      </w:r>
      <w:hyperlink r:id="rId59">
        <w:r>
          <w:rPr>
            <w:rStyle w:val="Hyperlink"/>
          </w:rPr>
          <w:t xml:space="preserve">custom script</w:t>
        </w:r>
      </w:hyperlink>
      <w:r>
        <w:t xml:space="preserve"> </w:t>
      </w:r>
      <w:r>
        <w:t xml:space="preserve">as no API was available at the time of this study. For this station more than 395,000 hourly observations were available since 1952.</w:t>
      </w:r>
    </w:p>
    <w:bookmarkEnd w:id="60"/>
    <w:bookmarkStart w:id="61" w:name="water-temperature"/>
    <w:p>
      <w:pPr>
        <w:pStyle w:val="Heading4"/>
      </w:pPr>
      <w:r>
        <w:t xml:space="preserve">3.2.1.2 Water temperature</w:t>
      </w:r>
    </w:p>
    <w:p>
      <w:pPr>
        <w:pStyle w:val="FirstParagraph"/>
      </w:pPr>
      <w:r>
        <w:t xml:space="preserve">Sea Surface Temperature (SST) data from 1982 -2022 was downloaded from the Copernicus Marine Data Store (Copernicus Marine Environment Monitoring Service,</w:t>
      </w:r>
      <w:r>
        <w:t xml:space="preserve"> </w:t>
      </w:r>
      <w:r>
        <w:t xml:space="preserve">CMEMS (2024)</w:t>
      </w:r>
      <w:r>
        <w:t xml:space="preserve">) over the Quiberon coastal area. An area of 2700 km² was extracted and analyzed. This area was large enough to minimize missing values caused by cloud cover and small enough to limit the influence of offshore SST stability.</w:t>
      </w:r>
    </w:p>
    <w:bookmarkEnd w:id="61"/>
    <w:bookmarkStart w:id="62" w:name="heatwave-detection-and-characterization"/>
    <w:p>
      <w:pPr>
        <w:pStyle w:val="Heading4"/>
      </w:pPr>
      <w:r>
        <w:t xml:space="preserve">3.2.1.3 Heatwave detection and characterization</w:t>
      </w:r>
    </w:p>
    <w:p>
      <w:pPr>
        <w:pStyle w:val="FirstParagraph"/>
      </w:pPr>
      <w:r>
        <w:t xml:space="preserve">Marine and Atmospheric 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of both air and water temperature was computed. Heatwaves were defined as events when the temperature exceeded the 90th percentile of the climatology during three consecutive days. The severity of each event has been assessed using the methodology proposed by</w:t>
      </w:r>
      <w:r>
        <w:t xml:space="preserve"> </w:t>
      </w:r>
      <w:r>
        <w:t xml:space="preserve">Hobday et al. (2018)</w:t>
      </w:r>
      <w:r>
        <w:t xml:space="preserve">.</w:t>
      </w:r>
    </w:p>
    <w:bookmarkEnd w:id="62"/>
    <w:bookmarkEnd w:id="63"/>
    <w:bookmarkStart w:id="64" w:name="satellite-observations"/>
    <w:p>
      <w:pPr>
        <w:pStyle w:val="Heading3"/>
      </w:pPr>
      <w:r>
        <w:t xml:space="preserve">3.2.2 Satellite observations</w:t>
      </w:r>
    </w:p>
    <w:p>
      <w:pPr>
        <w:pStyle w:val="FirstParagraph"/>
      </w:pPr>
      <w:r>
        <w:t xml:space="preserve">Three Sentinel-2 images of the study site were selected in 2021 to assess the effect of the HW on the seagrass meadow: the first image was taken 5 days before the HW (1st of September 2021), the second image during the HW (6th of September 2021) and the third image one month later (8th of October 2021). Level-2 data was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 standard correction (i.e., Sen2cor,</w:t>
      </w:r>
      <w:r>
        <w:t xml:space="preserve"> </w:t>
      </w:r>
      <w:r>
        <w:t xml:space="preserve">European Space Agency (2024b)</w:t>
      </w:r>
      <w:r>
        <w:t xml:space="preserve">).</w:t>
      </w:r>
    </w:p>
    <w:p>
      <w:pPr>
        <w:pStyle w:val="BodyText"/>
      </w:pPr>
      <w:r>
        <w:t xml:space="preserve">The seagrass heat shock index (SHSI,</w:t>
      </w:r>
      <w:r>
        <w:t xml:space="preserve">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4"/>
    <w:bookmarkStart w:id="65" w:name="emersion-time-of-the-seagrass-meadow"/>
    <w:p>
      <w:pPr>
        <w:pStyle w:val="Heading3"/>
      </w:pPr>
      <w:r>
        <w:t xml:space="preserve">3.2.3 Emersion time of the seagrass meadow</w:t>
      </w:r>
    </w:p>
    <w:p>
      <w:pPr>
        <w:pStyle w:val="FirstParagraph"/>
      </w:pPr>
      <w:r>
        <w:t xml:space="preserve">The post-HW seagrass discoloration is likely related to the emersion time and intertidal topography. The spatial distribution of seagrass emersion time during low tide was estimated using bathymetric and water level data. High resolution bathymetry data (Litto3D® product) for the Quiberon intertidal meadow was sourced from the</w:t>
      </w:r>
      <w:r>
        <w:t xml:space="preserve"> </w:t>
      </w:r>
      <w:r>
        <w:t xml:space="preserve">“Service Hydrographique et Océanographique de la Marine”</w:t>
      </w:r>
      <w:r>
        <w:t xml:space="preserve"> </w:t>
      </w:r>
      <w:r>
        <w:t xml:space="preserve">(@ SHOM, 2021)</w:t>
      </w:r>
      <w:r>
        <w:t xml:space="preserve">. This product is a three-dimensional land-sea elevation database with 1m of spatial resolution, accurately depicting the coastal terrain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Water level at one-minute intervals data during the HW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 correction factors for each station of reference along the French coastline. The correction factor for Le Crouesty port data for 2022 was 2.85 m.</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5"/>
    <w:bookmarkEnd w:id="66"/>
    <w:bookmarkStart w:id="67"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function of Days (1-3: Discrete) with Replicate (henceforth Runs; 1-3: Factor) and Timestep within Run (1-6: Factor) as cross random factors. Satellite-derived indices were modeled as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7"/>
    <w:bookmarkEnd w:id="68"/>
    <w:bookmarkStart w:id="110" w:name="results"/>
    <w:p>
      <w:pPr>
        <w:pStyle w:val="Heading1"/>
      </w:pPr>
      <w:r>
        <w:t xml:space="preserve">4. Results</w:t>
      </w:r>
    </w:p>
    <w:bookmarkStart w:id="86" w:name="laboratory-experiment-1"/>
    <w:p>
      <w:pPr>
        <w:pStyle w:val="Heading2"/>
      </w:pPr>
      <w:r>
        <w:t xml:space="preserve">4.1 Laboratory Experiment</w:t>
      </w:r>
    </w:p>
    <w:bookmarkStart w:id="74" w:name="Xe1a7b7b5932d13b2037503f99cd25d770f111ea"/>
    <w:p>
      <w:pPr>
        <w:pStyle w:val="Heading3"/>
      </w:pPr>
      <w:r>
        <w:t xml:space="preserve">4.1.1 Seagrass spectra variations related to a heatwave</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6</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simulated HW showed more pronounced changes in reflectance throughout the experiment (</w:t>
      </w:r>
      <w:hyperlink w:anchor="fig-Exp_Spectra">
        <w:r>
          <w:rPr>
            <w:rStyle w:val="Hyperlink"/>
          </w:rPr>
          <w:t xml:space="preserve">Figure 6</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646420" cy="282321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signature of</w:t>
            </w:r>
            <w:r>
              <w:t xml:space="preserve"> </w:t>
            </w:r>
            <w:r>
              <w:rPr>
                <w:i/>
                <w:iCs/>
              </w:rPr>
              <w:t xml:space="preserve">Z. noltei</w:t>
            </w:r>
            <w:r>
              <w:t xml:space="preserve"> </w:t>
            </w:r>
            <w:r>
              <w:t xml:space="preserve">leaves measured during the HW experiment for both the Control (Left) and the Treatment (Right). Color denotes the progression along the experiment from the beginning (Day 1: green), middle (Day 2: Yellow) and end (Day 3: Brown). A min-max standardization has been applied to each individual spectrum.</w:t>
            </w:r>
          </w:p>
          <w:bookmarkEnd w:id="72"/>
        </w:tc>
      </w:tr>
    </w:tbl>
    <w:bookmarkEnd w:id="73"/>
    <w:bookmarkEnd w:id="74"/>
    <w:bookmarkStart w:id="85" w:name="evolution-of-spectral-metrics"/>
    <w:p>
      <w:pPr>
        <w:pStyle w:val="Heading3"/>
      </w:pPr>
      <w:r>
        <w:t xml:space="preserve">4.1.2 Evolution of spectral metrics</w:t>
      </w:r>
    </w:p>
    <w:p>
      <w:pPr>
        <w:pStyle w:val="FirstParagraph"/>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started similar to the control and consistently decline over the three days of experiment (</w:t>
      </w:r>
      <w:hyperlink w:anchor="fig-Exp_Spectral_indices">
        <w:r>
          <w:rPr>
            <w:rStyle w:val="Hyperlink"/>
          </w:rPr>
          <w:t xml:space="preserve">Figure 7</w:t>
        </w:r>
      </w:hyperlink>
      <w:r>
        <w:t xml:space="preserve"> </w:t>
      </w:r>
      <w:r>
        <w:t xml:space="preserve">A, B and C)</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SHSI for the Treatment group was on average 55 % greater than that of the Control. By day 2, the SHSI for the Treatment exhibited a rapid decrease of approximately 241 %, eventually reaching a cumulative decline of 420 % by day 3 (</w:t>
      </w:r>
      <w:hyperlink w:anchor="fig-Exp_Spectral_indices">
        <w:r>
          <w:rPr>
            <w:rStyle w:val="Hyperlink"/>
          </w:rPr>
          <w:t xml:space="preserve">Figure 7</w:t>
        </w:r>
      </w:hyperlink>
      <w:r>
        <w:t xml:space="preserve"> </w:t>
      </w:r>
      <w:r>
        <w:t xml:space="preserve">D).</w:t>
      </w:r>
    </w:p>
    <w:p>
      <w:pPr>
        <w:pStyle w:val="BodyText"/>
      </w:pPr>
      <w:r>
        <w:t xml:space="preserve">With a maximum deviation of 420 %, SHSI emerges as the most sensitive index for detecting seagrass browning. Consequently, only this index was considered for the next steps of this study.</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646420" cy="564642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of the second derivative at 665 nm between the Control and the Treatment over time; B: Relative difference of the NDVI; C: Relative difference of the GLI; D: Relative difference of the SHSI. Points indicate raw data, the line represents a generalized linear model, and the shaded area is the model’s standard error. The dased lines represent no difference between the Control and the Treatment.</w:t>
            </w:r>
          </w:p>
          <w:bookmarkEnd w:id="78"/>
        </w:tc>
      </w:tr>
    </w:tbl>
    <w:bookmarkEnd w:id="79"/>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At day 1, the SHSI of the Control and Treatment groups are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w:t>
      </w:r>
    </w:p>
    <w:bookmarkStart w:id="84" w:name="cell-fig-SDI_over_Time"/>
    <w:tbl>
      <w:tblPr>
        <w:tblStyle w:val="Table"/>
        <w:tblW w:type="pct" w:w="5000"/>
        <w:tblLayout w:type="fixed"/>
        <w:tblLook w:firstRow="0" w:lastRow="0" w:firstColumn="0" w:lastColumn="0" w:noHBand="0" w:noVBand="0" w:val="0000"/>
      </w:tblPr>
      <w:tblGrid>
        <w:gridCol w:w="7920"/>
      </w:tblGrid>
      <w:tr>
        <w:tc>
          <w:tcPr/>
          <w:bookmarkStart w:id="83" w:name="fig-SDI_over_Time"/>
          <w:p>
            <w:pPr>
              <w:pStyle w:val="Compact"/>
              <w:jc w:val="center"/>
            </w:pPr>
            <w:r>
              <w:drawing>
                <wp:inline>
                  <wp:extent cx="5646420" cy="3387852"/>
                  <wp:effectExtent b="0" l="0" r="0" t="0"/>
                  <wp:docPr descr="" title="" id="81" name="Picture"/>
                  <a:graphic>
                    <a:graphicData uri="http://schemas.openxmlformats.org/drawingml/2006/picture">
                      <pic:pic>
                        <pic:nvPicPr>
                          <pic:cNvPr descr="Figs/Low_res/SDI_exp_overtime.png" id="82" name="Picture"/>
                          <pic:cNvPicPr>
                            <a:picLocks noChangeArrowheads="1" noChangeAspect="1"/>
                          </pic:cNvPicPr>
                        </pic:nvPicPr>
                        <pic:blipFill>
                          <a:blip r:embed="rId80"/>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and standard deviation of the Seagrass Heat Shock Index (SHSI) across expimental runs, at each day of the experiment. The green line shows values of the Control group while the orange line indicates values of the Treatment group.</w:t>
            </w:r>
          </w:p>
          <w:bookmarkEnd w:id="83"/>
        </w:tc>
      </w:tr>
    </w:tbl>
    <w:bookmarkEnd w:id="84"/>
    <w:bookmarkEnd w:id="85"/>
    <w:bookmarkEnd w:id="86"/>
    <w:bookmarkStart w:id="109" w:name="X8f6520fb2cd603cd376acac4efc8d29f28e0a7a"/>
    <w:p>
      <w:pPr>
        <w:pStyle w:val="Heading2"/>
      </w:pPr>
      <w:r>
        <w:t xml:space="preserve">4.2 HW of September 2021 in Quiberon, South Brittany</w:t>
      </w:r>
    </w:p>
    <w:bookmarkStart w:id="92" w:name="spectral-changes"/>
    <w:p>
      <w:pPr>
        <w:pStyle w:val="Heading3"/>
      </w:pPr>
      <w:r>
        <w:t xml:space="preserve">4.2.1 Spectral changes</w:t>
      </w:r>
    </w:p>
    <w:p>
      <w:pPr>
        <w:pStyle w:val="FirstParagraph"/>
      </w:pPr>
      <w:r>
        <w:t xml:space="preserve">The Sentinel-2 images analyzed in this study corresponded to acquisitions on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the 4th of September and lasted until the 7th of September, while the Marine Heat Wave (MHW) started on the 3rd of September and ended on the 8th of September 2021 (</w:t>
      </w:r>
      <w:hyperlink w:anchor="fig-S2_comparison">
        <w:r>
          <w:rPr>
            <w:rStyle w:val="Hyperlink"/>
          </w:rPr>
          <w:t xml:space="preserve">Figure 9</w:t>
        </w:r>
      </w:hyperlink>
      <w:r>
        <w:t xml:space="preserve"> </w:t>
      </w:r>
      <w:r>
        <w:t xml:space="preserve">B). Both air and water temperatures experienced a sharp increase. Between September 1st and 6th, the daily average air temperature rose from 22.2 to 30.8 while the daily average water temperature increased from 17.7 to 19.3 °C. During this period, the 90th percentile temperatures were 25.3 °C for air and 18.8 °C for water. The air temperature anomaly of 9.9 °C classified the AHW as a strong event, whereas the 1.7 °C anomaly in water temperature classified the MHW as a moderate event.</w:t>
      </w:r>
    </w:p>
    <w:p>
      <w:pPr>
        <w:pStyle w:val="BodyText"/>
      </w:pPr>
      <w:r>
        <w:t xml:space="preserve">The Sentinel-2 image from the 6th of September, captured two days after the start of the AHW already revealed brown seagrass leaves in the true-color composition (</w:t>
      </w:r>
      <w:hyperlink w:anchor="fig-S2_comparison">
        <w:r>
          <w:rPr>
            <w:rStyle w:val="Hyperlink"/>
          </w:rPr>
          <w:t xml:space="preserve">Figure 9</w:t>
        </w:r>
      </w:hyperlink>
      <w:r>
        <w:t xml:space="preserve"> </w:t>
      </w:r>
      <w:r>
        <w:t xml:space="preserve">C). This contrasts with the reference image from the 1st of September 2021, taken before the HW began (</w:t>
      </w:r>
      <w:hyperlink w:anchor="fig-S2_comparison">
        <w:r>
          <w:rPr>
            <w:rStyle w:val="Hyperlink"/>
          </w:rPr>
          <w:t xml:space="preserve">Figure 9</w:t>
        </w:r>
      </w:hyperlink>
      <w:r>
        <w:t xml:space="preserve"> </w:t>
      </w:r>
      <w:r>
        <w:t xml:space="preserve">A), where no brown patches can be observed. Before the event,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areas within the meadow could also be observered in the true color composition (</w:t>
      </w:r>
      <w:hyperlink w:anchor="fig-S2_comparison">
        <w:r>
          <w:rPr>
            <w:rStyle w:val="Hyperlink"/>
          </w:rPr>
          <w:t xml:space="preserve">Figure 9</w:t>
        </w:r>
      </w:hyperlink>
      <w:r>
        <w:t xml:space="preserve"> </w:t>
      </w:r>
      <w:r>
        <w:t xml:space="preserve">C)</w:t>
      </w:r>
    </w:p>
    <w:bookmarkStart w:id="91" w:name="cell-fig-S2_comparison"/>
    <w:tbl>
      <w:tblPr>
        <w:tblStyle w:val="Table"/>
        <w:tblW w:type="pct" w:w="5000"/>
        <w:tblLayout w:type="fixed"/>
        <w:tblLook w:firstRow="0" w:lastRow="0" w:firstColumn="0" w:lastColumn="0" w:noHBand="0" w:noVBand="0" w:val="0000"/>
      </w:tblPr>
      <w:tblGrid>
        <w:gridCol w:w="7920"/>
      </w:tblGrid>
      <w:tr>
        <w:tc>
          <w:tcPr/>
          <w:bookmarkStart w:id="90" w:name="fig-S2_comparison"/>
          <w:p>
            <w:pPr>
              <w:pStyle w:val="Compact"/>
              <w:jc w:val="center"/>
            </w:pPr>
            <w:r>
              <w:drawing>
                <wp:inline>
                  <wp:extent cx="5646420" cy="5392331"/>
                  <wp:effectExtent b="0" l="0" r="0" t="0"/>
                  <wp:docPr descr="" title="" id="88" name="Picture"/>
                  <a:graphic>
                    <a:graphicData uri="http://schemas.openxmlformats.org/drawingml/2006/picture">
                      <pic:pic>
                        <pic:nvPicPr>
                          <pic:cNvPr descr="Figs/Low_res/Heatwaves_S2_plot.png" id="89" name="Picture"/>
                          <pic:cNvPicPr>
                            <a:picLocks noChangeArrowheads="1" noChangeAspect="1"/>
                          </pic:cNvPicPr>
                        </pic:nvPicPr>
                        <pic:blipFill>
                          <a:blip r:embed="rId87"/>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Quadrat Points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used in this analysis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90"/>
        </w:tc>
      </w:tr>
    </w:tbl>
    <w:bookmarkEnd w:id="91"/>
    <w:bookmarkEnd w:id="92"/>
    <w:bookmarkStart w:id="108" w:name="shsi-metric-applied-to-sentinel-2"/>
    <w:p>
      <w:pPr>
        <w:pStyle w:val="Heading3"/>
      </w:pPr>
      <w:r>
        <w:t xml:space="preserve">4.2.2 SHSI metric applied to Sentinel-2</w:t>
      </w:r>
    </w:p>
    <w:p>
      <w:pPr>
        <w:pStyle w:val="FirstParagraph"/>
      </w:pPr>
      <w:r>
        <w:t xml:space="preserve">Using Sentinel-2 data and the QPs, SHSI was calculated for green seagrass unimpacted by the HW (QPs unimpacted</w:t>
      </w:r>
      <w:r>
        <w:t xml:space="preserve"> </w:t>
      </w:r>
      <w:hyperlink w:anchor="fig-S2_comparison">
        <w:r>
          <w:rPr>
            <w:rStyle w:val="Hyperlink"/>
          </w:rPr>
          <w:t xml:space="preserve">Figure 9</w:t>
        </w:r>
      </w:hyperlink>
      <w:r>
        <w:t xml:space="preserve"> </w:t>
      </w:r>
      <w:r>
        <w:t xml:space="preserve">C), showing minimal changes of 3 % between the 1st and the 6th of September (</w:t>
      </w:r>
      <w:hyperlink w:anchor="fig-NDVI_GLI_SPC">
        <w:r>
          <w:rPr>
            <w:rStyle w:val="Hyperlink"/>
          </w:rPr>
          <w:t xml:space="preserve">Figure 10</w:t>
        </w:r>
      </w:hyperlink>
      <w:r>
        <w:t xml:space="preserve">). In contrast, seagrass impacted by the HW and turned brown (QPs impacted</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7" w:name="cell-fig-NDVI_GLI_SPC"/>
    <w:tbl>
      <w:tblPr>
        <w:tblStyle w:val="Table"/>
        <w:tblW w:type="pct" w:w="5000"/>
        <w:tblLayout w:type="fixed"/>
        <w:tblLook w:firstRow="0" w:lastRow="0" w:firstColumn="0" w:lastColumn="0" w:noHBand="0" w:noVBand="0" w:val="0000"/>
      </w:tblPr>
      <w:tblGrid>
        <w:gridCol w:w="7920"/>
      </w:tblGrid>
      <w:tr>
        <w:tc>
          <w:tcPr/>
          <w:bookmarkStart w:id="96" w:name="fig-NDVI_GLI_SPC"/>
          <w:p>
            <w:pPr>
              <w:pStyle w:val="Compact"/>
              <w:jc w:val="center"/>
            </w:pPr>
            <w:r>
              <w:drawing>
                <wp:inline>
                  <wp:extent cx="5646420" cy="2823210"/>
                  <wp:effectExtent b="0" l="0" r="0" t="0"/>
                  <wp:docPr descr="" title="" id="94" name="Picture"/>
                  <a:graphic>
                    <a:graphicData uri="http://schemas.openxmlformats.org/drawingml/2006/picture">
                      <pic:pic>
                        <pic:nvPicPr>
                          <pic:cNvPr descr="Figs/Low_res/SHSI_S2.png" id="95" name="Picture"/>
                          <pic:cNvPicPr>
                            <a:picLocks noChangeArrowheads="1" noChangeAspect="1"/>
                          </pic:cNvPicPr>
                        </pic:nvPicPr>
                        <pic:blipFill>
                          <a:blip r:embed="rId9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Seagrass Heat Shock Index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Quardrat Points (QPs;</w:t>
            </w:r>
            <w:r>
              <w:t xml:space="preserve"> </w:t>
            </w:r>
            <w:hyperlink w:anchor="fig-S2_comparison">
              <w:r>
                <w:rPr>
                  <w:rStyle w:val="Hyperlink"/>
                </w:rPr>
                <w:t xml:space="preserve">Figure 9</w:t>
              </w:r>
            </w:hyperlink>
            <w:r>
              <w:t xml:space="preserve">): unimpacted seagrass (green) and impacted seagrass (orange). Points represent the predicted value of the metric using a Generalized Linear Model (GLM), while th error bar repsents the 89% confidence interval.</w:t>
            </w:r>
          </w:p>
          <w:bookmarkEnd w:id="96"/>
        </w:tc>
      </w:tr>
    </w:tbl>
    <w:bookmarkEnd w:id="97"/>
    <w:p>
      <w:pPr>
        <w:pStyle w:val="BodyText"/>
      </w:pPr>
      <w:r>
        <w:t xml:space="preserve">Using the SHSI (</w:t>
      </w:r>
      <w:hyperlink w:anchor="eq-SDI">
        <w:r>
          <w:rPr>
            <w:rStyle w:val="Hyperlink"/>
          </w:rPr>
          <w:t xml:space="preserve">Equation 3</w:t>
        </w:r>
      </w:hyperlink>
      <w:r>
        <w:t xml:space="preserve">), we detected large darkened seagrass patches in the meadow at the 6th of September (</w:t>
      </w:r>
      <w:hyperlink w:anchor="fig-Map_darkening_Bathy">
        <w:r>
          <w:rPr>
            <w:rStyle w:val="Hyperlink"/>
          </w:rPr>
          <w:t xml:space="preserve">Figure 11</w:t>
        </w:r>
      </w:hyperlink>
      <w:r>
        <w:t xml:space="preserve">). A total of 26.9 hectares of seagrass turned brown betwwen the 1st and the 6th of September. The largest brown patch covered nearly 8 hectares. Overall, 24 % of the total seagrass meadow area showed signs of darkening between the 1st and 6th of September 2021.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the 8th of October, some of the previously darkened areas regained their green color (</w:t>
      </w:r>
      <w:hyperlink w:anchor="fig-Map_darkening_Bathy">
        <w:r>
          <w:rPr>
            <w:rStyle w:val="Hyperlink"/>
          </w:rPr>
          <w:t xml:space="preserve">Figure 11</w:t>
        </w:r>
      </w:hyperlink>
      <w:r>
        <w:t xml:space="preserve"> </w:t>
      </w:r>
      <w:r>
        <w:t xml:space="preserve">C).</w:t>
      </w:r>
    </w:p>
    <w:bookmarkStart w:id="102" w:name="cell-fig-Map_darkening_Bathy"/>
    <w:tbl>
      <w:tblPr>
        <w:tblStyle w:val="Table"/>
        <w:tblW w:type="pct" w:w="5000"/>
        <w:tblLayout w:type="fixed"/>
        <w:tblLook w:firstRow="0" w:lastRow="0" w:firstColumn="0" w:lastColumn="0" w:noHBand="0" w:noVBand="0" w:val="0000"/>
      </w:tblPr>
      <w:tblGrid>
        <w:gridCol w:w="7920"/>
      </w:tblGrid>
      <w:tr>
        <w:tc>
          <w:tcPr/>
          <w:bookmarkStart w:id="101" w:name="fig-Map_darkening_Bathy"/>
          <w:p>
            <w:pPr>
              <w:pStyle w:val="Compact"/>
              <w:jc w:val="center"/>
            </w:pPr>
            <w:r>
              <w:drawing>
                <wp:inline>
                  <wp:extent cx="5646420" cy="4076715"/>
                  <wp:effectExtent b="0" l="0" r="0" t="0"/>
                  <wp:docPr descr="" title="" id="99" name="Picture"/>
                  <a:graphic>
                    <a:graphicData uri="http://schemas.openxmlformats.org/drawingml/2006/picture">
                      <pic:pic>
                        <pic:nvPicPr>
                          <pic:cNvPr descr="Figs/Low_res/SHSI_S2_map.png" id="100" name="Picture"/>
                          <pic:cNvPicPr>
                            <a:picLocks noChangeArrowheads="1" noChangeAspect="1"/>
                          </pic:cNvPicPr>
                        </pic:nvPicPr>
                        <pic:blipFill>
                          <a:blip r:embed="rId98"/>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During (B) and After (C) the HW Seagrass Heat Shock Index applyed on Sentinel-2 images Before (D), During (E) and After (F) the HW.</w:t>
            </w:r>
          </w:p>
          <w:bookmarkEnd w:id="101"/>
        </w:tc>
      </w:tr>
    </w:tbl>
    <w:bookmarkEnd w:id="102"/>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12</w:t>
        </w:r>
      </w:hyperlink>
      <w:r>
        <w:t xml:space="preserve">). During the HW, no significant darkening occurred with less than 13 hours of daily exposure. However, above 13 hours, seagrasses began to darken, reaching peak darkening at around 14.5 hours of daily exposure.</w:t>
      </w:r>
    </w:p>
    <w:bookmarkStart w:id="107" w:name="cell-fig-GAM_Emersion"/>
    <w:tbl>
      <w:tblPr>
        <w:tblStyle w:val="Table"/>
        <w:tblW w:type="pct" w:w="5000"/>
        <w:tblLayout w:type="fixed"/>
        <w:tblLook w:firstRow="0" w:lastRow="0" w:firstColumn="0" w:lastColumn="0" w:noHBand="0" w:noVBand="0" w:val="0000"/>
      </w:tblPr>
      <w:tblGrid>
        <w:gridCol w:w="7920"/>
      </w:tblGrid>
      <w:tr>
        <w:tc>
          <w:tcPr/>
          <w:bookmarkStart w:id="106" w:name="fig-GAM_Emersion"/>
          <w:p>
            <w:pPr>
              <w:pStyle w:val="Compact"/>
              <w:jc w:val="center"/>
            </w:pPr>
            <w:r>
              <w:drawing>
                <wp:inline>
                  <wp:extent cx="5646420" cy="2823210"/>
                  <wp:effectExtent b="0" l="0" r="0" t="0"/>
                  <wp:docPr descr="" title="" id="104" name="Picture"/>
                  <a:graphic>
                    <a:graphicData uri="http://schemas.openxmlformats.org/drawingml/2006/picture">
                      <pic:pic>
                        <pic:nvPicPr>
                          <pic:cNvPr descr="Figs/Low_res/GAM_emersion.png" id="105" name="Picture"/>
                          <pic:cNvPicPr>
                            <a:picLocks noChangeArrowheads="1" noChangeAspect="1"/>
                          </pic:cNvPicPr>
                        </pic:nvPicPr>
                        <pic:blipFill>
                          <a:blip r:embed="rId10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Seagrass Heat Shock Index (SHSI) before and during the HW events as a function of the daily emersion time of seagrass. The line represents a Generalized Additive Model (GAM) prediction, and the shaded area indicates the standard error. Shaded points represent raw data, each corresponding to a single pixel of the meadow.</w:t>
            </w:r>
          </w:p>
          <w:bookmarkEnd w:id="106"/>
        </w:tc>
      </w:tr>
    </w:tbl>
    <w:bookmarkEnd w:id="107"/>
    <w:bookmarkEnd w:id="108"/>
    <w:bookmarkEnd w:id="109"/>
    <w:bookmarkEnd w:id="110"/>
    <w:bookmarkStart w:id="115" w:name="discussion"/>
    <w:p>
      <w:pPr>
        <w:pStyle w:val="Heading1"/>
      </w:pPr>
      <w:r>
        <w:t xml:space="preserve">5. Discussion</w:t>
      </w:r>
    </w:p>
    <w:bookmarkStart w:id="111"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events and intertidal meadows. This study initiates an exploration of how intertidal seagrasses respond to the dual influence of MHWs and AHWs, underscoring the need for further investigation in this under explored area.</w:t>
      </w:r>
    </w:p>
    <w:p>
      <w:pPr>
        <w:pStyle w:val="BodyText"/>
      </w:pPr>
      <w:r>
        <w:t xml:space="preserve">In the present study, significant changes in the reflectance of seagrasses exposed to HWs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B, C, and D) all demonstrated a clear decline over the experimental period (days 1-3).These changes suggest a progressive reduction in photosynthetic activity as well as structural or physiological changes in the leaves, such as degraded pigmentation or altered light absorption in the treatment group relative to the control as a consequence of the simulated HW event. In contrast, SHSI shows a marked increase, reaching up to 600% for some samples by day 3 (</w:t>
      </w:r>
      <w:hyperlink w:anchor="fig-Exp_Spectral_indices">
        <w:r>
          <w:rPr>
            <w:rStyle w:val="Hyperlink"/>
          </w:rPr>
          <w:t xml:space="preserve">Figure 7</w:t>
        </w:r>
      </w:hyperlink>
      <w:r>
        <w:t xml:space="preserve"> </w:t>
      </w:r>
      <w:r>
        <w:t xml:space="preserve">E). This positive trend in SHSI demonstrates its effectiveness as an index to quantify darkening of seagrass. While the general trends are consistent across experimental runs, there is some variability, particularly evident in the confidence intervals, which are wider for SHSI than for the other indices. This suggests that while darkening is a consistent response, it may vary in intensity between individual samples or experimental runs. Furthermore, the contrasting magnitudes of change—especially the pronounced increases in SHSI versus the declines in other indices—highlight the sensitivity of SHSI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hydric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12</w:t>
        </w:r>
      </w:hyperlink>
      <w:r>
        <w:t xml:space="preserve">). Under such hydric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healthy plant leaves is primarly due to the internal cellular structure that scatters light. Once sunlight enters the leaf, it is diffused through various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SHSI (</w:t>
      </w:r>
      <w:hyperlink w:anchor="eq-SDI">
        <w:r>
          <w:rPr>
            <w:rStyle w:val="Hyperlink"/>
          </w:rPr>
          <w:t xml:space="preserve">Equation 3</w:t>
        </w:r>
      </w:hyperlink>
      <w:r>
        <w:t xml:space="preserve">) index developed in this study leverages key reflectance bands (560, 740 and 840 nm) to detect reductions in the green and the Red-Edge regions. SHSI can be used to assess the extent and severity of darkening events across intertidal seagrass meadows from space. Current multi-spectral satellite missions, including Sentinel-2, Pleiades-Neo, WorldView-3, SkySat, and GeoSat-2 along with upcoming missions (Sentinel-2 Next Generation and Landsat Next), capture reflectance in the three wavelengths used as input for SHSI. As climate change advances, remote sensing becomes a crucial tool for monitoring cumulative ecological impacts on seagrass meadows due to HWs. Although these physiological and structural changes occur at the cellular level over short temporal scales, their synchronously manifest across the entire meadow cause changes in large spatial extensions.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1"/>
    <w:bookmarkStart w:id="112" w:name="climate-change-and-heatwaves"/>
    <w:p>
      <w:pPr>
        <w:pStyle w:val="Heading2"/>
      </w:pPr>
      <w:r>
        <w:t xml:space="preserve">5.2 Climate change and heatwaves</w:t>
      </w:r>
    </w:p>
    <w:p>
      <w:pPr>
        <w:pStyle w:val="FirstParagraph"/>
      </w:pPr>
      <w:r>
        <w:t xml:space="preserve">The rapid global escalation of HW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days</w:t>
      </w:r>
      <w:r>
        <w:t xml:space="preserve"> </w:t>
      </w:r>
      <w:r>
        <w:t xml:space="preserve">(Simolo and Corti, 2022)</w:t>
      </w:r>
      <w:r>
        <w:t xml:space="preserve">.</w:t>
      </w:r>
    </w:p>
    <w:p>
      <w:pPr>
        <w:pStyle w:val="BodyText"/>
      </w:pPr>
      <w:r>
        <w:t xml:space="preserve">In the ocean, similar trends were observed with marine heatwaves (MHWs), which have increased by more than 50% in the total number of days per year since the early 20th century, and projections suggest that a near-permanent state of MHW,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interconnection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temperature spikes associated with these events occur over very short timescales, with limited recovery periods—giving organisms little to no opportunity to acclimate to rapidly changing conditions and often exceeding their tolerance limits.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2"/>
    <w:bookmarkStart w:id="113"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 </w:t>
      </w:r>
      <w:r>
        <w:t xml:space="preserve">spp.,</w:t>
      </w:r>
      <w:r>
        <w:t xml:space="preserve"> </w:t>
      </w:r>
      <w:r>
        <w:rPr>
          <w:i/>
          <w:iCs/>
        </w:rPr>
        <w:t xml:space="preserve">Amphibolis</w:t>
      </w:r>
      <w:r>
        <w:t xml:space="preserve"> </w:t>
      </w:r>
      <w:r>
        <w:t xml:space="preserve">spp., and</w:t>
      </w:r>
      <w:r>
        <w:t xml:space="preserve"> </w:t>
      </w:r>
      <w:r>
        <w:rPr>
          <w:i/>
          <w:iCs/>
        </w:rPr>
        <w:t xml:space="preserve">Zostera</w:t>
      </w:r>
      <w:r>
        <w:t xml:space="preserve"> </w:t>
      </w:r>
      <w:r>
        <w:t xml:space="preserve">spp. 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 </w:t>
      </w:r>
      <w:r>
        <w:t xml:space="preserve">spp.,</w:t>
      </w:r>
      <w:r>
        <w:t xml:space="preserve"> </w:t>
      </w:r>
      <w:r>
        <w:rPr>
          <w:i/>
          <w:iCs/>
        </w:rPr>
        <w:t xml:space="preserve">Halophila</w:t>
      </w:r>
      <w:r>
        <w:t xml:space="preserve"> </w:t>
      </w:r>
      <w:r>
        <w:t xml:space="preserve">spp., and</w:t>
      </w:r>
      <w:r>
        <w:t xml:space="preserve"> </w:t>
      </w:r>
      <w:r>
        <w:rPr>
          <w:i/>
          <w:iCs/>
        </w:rPr>
        <w:t xml:space="preserve">Syringodium</w:t>
      </w:r>
      <w:r>
        <w:t xml:space="preserve"> </w:t>
      </w:r>
      <w:r>
        <w:t xml:space="preserve">spp.,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HWs on seagrass ecosystems is further intensified by tidal variations, especially in temperate regions with large tidal ranges that can exceed 10 meters, such as Mont Saint Michel Bay ,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AHWs. Conversely, seagrasses in the lower intertidal zone experience prolonged immersion throughout the tidal cycle, making them susceptible to extreme MHWs. As a result, both marine and AHWs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periods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the SC in the impacted patch experienced a sharp decline on impacted patches. By 8th October, one month post-event, the SC of impacted seagrasses, initially higher, had fallen below that of non-impacted seagrasses (</w:t>
      </w:r>
      <w:hyperlink w:anchor="fig-NDVI_GLI_SPC">
        <w:r>
          <w:rPr>
            <w:rStyle w:val="Hyperlink"/>
          </w:rPr>
          <w:t xml:space="preserve">Figure 10</w:t>
        </w:r>
      </w:hyperlink>
      <w:r>
        <w:t xml:space="preserve">). The observed decrease in seagrass cover on 6th September was primarily due to leaf darkening. This darkening influenced the satellite NDVI measurements used to estimate SC</w:t>
      </w:r>
      <w:r>
        <w:t xml:space="preserve"> </w:t>
      </w:r>
      <w:r>
        <w:t xml:space="preserve">(Zoffoli et al., 2020)</w:t>
      </w:r>
      <w:r>
        <w:t xml:space="preserve">, creating an apparent decrease in SC in the impacted patch when, in reality, itremained stable (</w:t>
      </w:r>
      <w:hyperlink w:anchor="fig-QuiberonImg">
        <w:r>
          <w:rPr>
            <w:rStyle w:val="Hyperlink"/>
          </w:rPr>
          <w:t xml:space="preserve">Figure 5</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3"/>
    <w:bookmarkStart w:id="114"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HW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 meadows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4"/>
    <w:bookmarkEnd w:id="115"/>
    <w:bookmarkStart w:id="116"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affect seagrass health and assess the potential of remote sensing to monitor these impacts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 predicted increase in the frequency and intensity of heatwaves, the vulnerability of intertidal zones to such events will likely intensify compromising meadows survival and their ecosystem functions.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bookmarkEnd w:id="116"/>
    <w:bookmarkStart w:id="121" w:name="annexes"/>
    <w:p>
      <w:pPr>
        <w:pStyle w:val="Heading1"/>
      </w:pPr>
      <w:r>
        <w:t xml:space="preserve">7. Annexes</w:t>
      </w:r>
    </w:p>
    <w:bookmarkStart w:id="120"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8" name="Picture"/>
            <a:graphic>
              <a:graphicData uri="http://schemas.openxmlformats.org/drawingml/2006/picture">
                <pic:pic>
                  <pic:nvPicPr>
                    <pic:cNvPr descr="Figs/High_res/Temperature_compare.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20"/>
    <w:bookmarkEnd w:id="121"/>
    <w:bookmarkStart w:id="238" w:name="references"/>
    <w:p>
      <w:pPr>
        <w:pStyle w:val="Heading1"/>
      </w:pPr>
      <w:r>
        <w:t xml:space="preserve">8. References</w:t>
      </w:r>
    </w:p>
    <w:bookmarkStart w:id="237" w:name="refs"/>
    <w:bookmarkStart w:id="122"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2"/>
    <w:bookmarkStart w:id="123"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3"/>
    <w:bookmarkStart w:id="124"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4"/>
    <w:bookmarkStart w:id="126"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5">
        <w:r>
          <w:rPr>
            <w:rStyle w:val="Hyperlink"/>
          </w:rPr>
          <w:t xml:space="preserve">https://doi.org/10.3354/meps14588</w:t>
        </w:r>
      </w:hyperlink>
    </w:p>
    <w:bookmarkEnd w:id="126"/>
    <w:bookmarkStart w:id="127"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7"/>
    <w:bookmarkStart w:id="129" w:name="ref-JSSv100i05"/>
    <w:p>
      <w:pPr>
        <w:pStyle w:val="Bibliography"/>
      </w:pPr>
      <w:r>
        <w:t xml:space="preserve">Bürkner, P.-C., 2021. Bayesian item response modeling in r with brms and stan. Journal of Statistical Software 100, 1–54.</w:t>
      </w:r>
      <w:r>
        <w:t xml:space="preserve"> </w:t>
      </w:r>
      <w:hyperlink r:id="rId128">
        <w:r>
          <w:rPr>
            <w:rStyle w:val="Hyperlink"/>
          </w:rPr>
          <w:t xml:space="preserve">https://doi.org/10.18637/jss.v100.i05</w:t>
        </w:r>
      </w:hyperlink>
    </w:p>
    <w:bookmarkEnd w:id="129"/>
    <w:bookmarkStart w:id="130"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0"/>
    <w:bookmarkStart w:id="131"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1"/>
    <w:bookmarkStart w:id="132" w:name="ref-canadell2021ecosystem"/>
    <w:p>
      <w:pPr>
        <w:pStyle w:val="Bibliography"/>
      </w:pPr>
      <w:r>
        <w:t xml:space="preserve">Canadell, J.G., Jackson, R.B., 2021. Ecosystem collapse and climate change. Springer.</w:t>
      </w:r>
    </w:p>
    <w:bookmarkEnd w:id="132"/>
    <w:bookmarkStart w:id="133"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3"/>
    <w:bookmarkStart w:id="135"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4">
        <w:r>
          <w:rPr>
            <w:rStyle w:val="Hyperlink"/>
          </w:rPr>
          <w:t xml:space="preserve">https://doi.org/10.18637/jss.v076.i01</w:t>
        </w:r>
      </w:hyperlink>
    </w:p>
    <w:bookmarkEnd w:id="135"/>
    <w:bookmarkStart w:id="137"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6">
        <w:r>
          <w:rPr>
            <w:rStyle w:val="Hyperlink"/>
          </w:rPr>
          <w:t xml:space="preserve">https://doi.org/10.48670/moi-00311</w:t>
        </w:r>
      </w:hyperlink>
    </w:p>
    <w:bookmarkEnd w:id="137"/>
    <w:bookmarkStart w:id="139"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8">
        <w:r>
          <w:rPr>
            <w:rStyle w:val="Hyperlink"/>
          </w:rPr>
          <w:t xml:space="preserve">https://doi.org/10.1007/s11099-007-0084-3</w:t>
        </w:r>
      </w:hyperlink>
    </w:p>
    <w:bookmarkEnd w:id="139"/>
    <w:bookmarkStart w:id="140"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0"/>
    <w:bookmarkStart w:id="142"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1">
        <w:r>
          <w:rPr>
            <w:rStyle w:val="Hyperlink"/>
          </w:rPr>
          <w:t xml:space="preserve">https://doi.org/10.1038/s43247-024-01543-z</w:t>
        </w:r>
      </w:hyperlink>
    </w:p>
    <w:bookmarkEnd w:id="142"/>
    <w:bookmarkStart w:id="144"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3">
        <w:r>
          <w:rPr>
            <w:rStyle w:val="Hyperlink"/>
          </w:rPr>
          <w:t xml:space="preserve">https://doi.org/10.1016/j.rse.2024.114340</w:t>
        </w:r>
      </w:hyperlink>
    </w:p>
    <w:bookmarkEnd w:id="144"/>
    <w:bookmarkStart w:id="145"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5"/>
    <w:bookmarkStart w:id="146" w:name="ref-deguette2022physiological"/>
    <w:p>
      <w:pPr>
        <w:pStyle w:val="Bibliography"/>
      </w:pPr>
      <w:r>
        <w:t xml:space="preserve">Deguette, A., Barrote, I., Silva, J., 2022. Physiological and morphological effects of a marine heatwave on the seagrass cymodocea nodosa. Scientific Reports 12, 7950.</w:t>
      </w:r>
    </w:p>
    <w:bookmarkEnd w:id="146"/>
    <w:bookmarkStart w:id="147" w:name="ref-devi2024intensity"/>
    <w:p>
      <w:pPr>
        <w:pStyle w:val="Bibliography"/>
      </w:pPr>
      <w:r>
        <w:t xml:space="preserve">Devi, R., Gouda, K., Lenka, S., 2024. Intensity duration and frequency of heat wave in different phases of MJO over india. Atmospheric Research 300, 107250.</w:t>
      </w:r>
    </w:p>
    <w:bookmarkEnd w:id="147"/>
    <w:bookmarkStart w:id="148" w:name="ref-douay2022new"/>
    <w:p>
      <w:pPr>
        <w:pStyle w:val="Bibliography"/>
      </w:pPr>
      <w:r>
        <w:t xml:space="preserve">Douay, F., Verpoorter, C., Duong, G., Spilmont, N., Gevaert, F., 2022. New hyperspectral procedure to discriminate intertidal macroalgae. Remote Sensing 14, 346.</w:t>
      </w:r>
    </w:p>
    <w:bookmarkEnd w:id="148"/>
    <w:bookmarkStart w:id="150" w:name="ref-electricblue_intertidal_chamber"/>
    <w:p>
      <w:pPr>
        <w:pStyle w:val="Bibliography"/>
      </w:pPr>
      <w:r>
        <w:t xml:space="preserve">Electric Blue, 2023.</w:t>
      </w:r>
      <w:r>
        <w:t xml:space="preserve"> </w:t>
      </w:r>
      <w:hyperlink r:id="rId149">
        <w:r>
          <w:rPr>
            <w:rStyle w:val="Hyperlink"/>
          </w:rPr>
          <w:t xml:space="preserve">Intertidal chamber</w:t>
        </w:r>
      </w:hyperlink>
      <w:r>
        <w:t xml:space="preserve">.</w:t>
      </w:r>
    </w:p>
    <w:bookmarkEnd w:id="150"/>
    <w:bookmarkStart w:id="151" w:name="ref-sen2cor"/>
    <w:p>
      <w:pPr>
        <w:pStyle w:val="Bibliography"/>
      </w:pPr>
      <w:r>
        <w:t xml:space="preserve">European Space Agency, 2024b. Sen2Cor: Sentinel-2 atmospheric correction processor.</w:t>
      </w:r>
    </w:p>
    <w:bookmarkEnd w:id="151"/>
    <w:bookmarkStart w:id="152" w:name="ref-copernicus_sentinel2"/>
    <w:p>
      <w:pPr>
        <w:pStyle w:val="Bibliography"/>
      </w:pPr>
      <w:r>
        <w:t xml:space="preserve">European Space Agency, 2024a. Copernicus open access hub.</w:t>
      </w:r>
    </w:p>
    <w:bookmarkEnd w:id="152"/>
    <w:bookmarkStart w:id="153"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3"/>
    <w:bookmarkStart w:id="154"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4"/>
    <w:bookmarkStart w:id="155"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5"/>
    <w:bookmarkStart w:id="156"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6"/>
    <w:bookmarkStart w:id="157" w:name="ref-gardner2018global"/>
    <w:p>
      <w:pPr>
        <w:pStyle w:val="Bibliography"/>
      </w:pPr>
      <w:r>
        <w:t xml:space="preserve">Gardner, R.C., Finlayson, C., 2018. Global wetland outlook: State of the world’s wetlands and their services to people, in: Ramsar Convention Secretariat. pp. 2020–5.</w:t>
      </w:r>
    </w:p>
    <w:bookmarkEnd w:id="157"/>
    <w:bookmarkStart w:id="158"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8"/>
    <w:bookmarkStart w:id="159" w:name="ref-green2021historical"/>
    <w:p>
      <w:pPr>
        <w:pStyle w:val="Bibliography"/>
      </w:pPr>
      <w:r>
        <w:t xml:space="preserve">Green, A.E., Unsworth, R.K., Chadwick, M.A., Jones, P.J., 2021. Historical analysis exposes catastrophic seagrass loss for the united kingdom. Frontiers in plant science 12, 629962.</w:t>
      </w:r>
    </w:p>
    <w:bookmarkEnd w:id="159"/>
    <w:bookmarkStart w:id="160"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60"/>
    <w:bookmarkStart w:id="162"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61">
        <w:r>
          <w:rPr>
            <w:rStyle w:val="Hyperlink"/>
          </w:rPr>
          <w:t xml:space="preserve">https://doi.org/10.1002/aqc.4210</w:t>
        </w:r>
      </w:hyperlink>
    </w:p>
    <w:bookmarkEnd w:id="162"/>
    <w:bookmarkStart w:id="163"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3"/>
    <w:bookmarkStart w:id="164"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4"/>
    <w:bookmarkStart w:id="166"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5">
        <w:r>
          <w:rPr>
            <w:rStyle w:val="Hyperlink"/>
          </w:rPr>
          <w:t xml:space="preserve">https://doi.org/10.1073/pnas.0402642101</w:t>
        </w:r>
      </w:hyperlink>
    </w:p>
    <w:bookmarkEnd w:id="166"/>
    <w:bookmarkStart w:id="167"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7"/>
    <w:bookmarkStart w:id="169" w:name="ref-ioc_sea_level_lecy"/>
    <w:p>
      <w:pPr>
        <w:pStyle w:val="Bibliography"/>
      </w:pPr>
      <w:r>
        <w:t xml:space="preserve">IOC, 2024.</w:t>
      </w:r>
      <w:r>
        <w:t xml:space="preserve"> </w:t>
      </w:r>
      <w:hyperlink r:id="rId168">
        <w:r>
          <w:rPr>
            <w:rStyle w:val="Hyperlink"/>
          </w:rPr>
          <w:t xml:space="preserve">Intergovernmental oceanographic commission ; sea level monitoring station - le conquet, france (LECY)</w:t>
        </w:r>
      </w:hyperlink>
      <w:r>
        <w:t xml:space="preserve">.</w:t>
      </w:r>
    </w:p>
    <w:bookmarkEnd w:id="169"/>
    <w:bookmarkStart w:id="170"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70"/>
    <w:bookmarkStart w:id="172"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71">
        <w:r>
          <w:rPr>
            <w:rStyle w:val="Hyperlink"/>
          </w:rPr>
          <w:t xml:space="preserve">https://doi.org/10.1016/S0304-4238(05)80016-0</w:t>
        </w:r>
      </w:hyperlink>
    </w:p>
    <w:bookmarkEnd w:id="172"/>
    <w:bookmarkStart w:id="174"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73">
        <w:r>
          <w:rPr>
            <w:rStyle w:val="Hyperlink"/>
          </w:rPr>
          <w:t xml:space="preserve">https://doi.org/10.1016/S0034-4257(70)80021-9</w:t>
        </w:r>
      </w:hyperlink>
    </w:p>
    <w:bookmarkEnd w:id="174"/>
    <w:bookmarkStart w:id="175" w:name="ref-hsdar"/>
    <w:p>
      <w:pPr>
        <w:pStyle w:val="Bibliography"/>
      </w:pPr>
      <w:r>
        <w:t xml:space="preserve">Lehnert, L.W., Meyer, H., Bendix, J., 2017. Hsdar: Manage, analyse and simulate hyperspectral data in r.</w:t>
      </w:r>
    </w:p>
    <w:bookmarkEnd w:id="175"/>
    <w:bookmarkStart w:id="176" w:name="ref-loarie2009velocity"/>
    <w:p>
      <w:pPr>
        <w:pStyle w:val="Bibliography"/>
      </w:pPr>
      <w:r>
        <w:t xml:space="preserve">Loarie, S.R., Duffy, P.B., Hamilton, H., Asner, G.P., Field, C.B., Ackerly, D.D., 2009. The velocity of climate change. Nature 462, 1052–1055.</w:t>
      </w:r>
    </w:p>
    <w:bookmarkEnd w:id="176"/>
    <w:bookmarkStart w:id="177"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7"/>
    <w:bookmarkStart w:id="179" w:name="ref-malvern_panalytical_rs3"/>
    <w:p>
      <w:pPr>
        <w:pStyle w:val="Bibliography"/>
      </w:pPr>
      <w:r>
        <w:t xml:space="preserve">Malvern Panalytical, 2023.</w:t>
      </w:r>
      <w:r>
        <w:t xml:space="preserve"> </w:t>
      </w:r>
      <w:hyperlink r:id="rId178">
        <w:r>
          <w:rPr>
            <w:rStyle w:val="Hyperlink"/>
          </w:rPr>
          <w:t xml:space="preserve">RS3 software</w:t>
        </w:r>
      </w:hyperlink>
      <w:r>
        <w:t xml:space="preserve">.</w:t>
      </w:r>
    </w:p>
    <w:bookmarkEnd w:id="179"/>
    <w:bookmarkStart w:id="180" w:name="ref-marba2010mediterranean"/>
    <w:p>
      <w:pPr>
        <w:pStyle w:val="Bibliography"/>
      </w:pPr>
      <w:r>
        <w:t xml:space="preserve">Marbà, N., Duarte, C.M., 2010. Mediterranean warming triggers seagrass (posidonia oceanica) shoot mortality. Global change biology 16, 2366–2375.</w:t>
      </w:r>
    </w:p>
    <w:bookmarkEnd w:id="180"/>
    <w:bookmarkStart w:id="181"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81"/>
    <w:bookmarkStart w:id="182"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82"/>
    <w:bookmarkStart w:id="184"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83">
        <w:r>
          <w:rPr>
            <w:rStyle w:val="Hyperlink"/>
          </w:rPr>
          <w:t xml:space="preserve">https://doi.org/10.1038/s41598-019-50643-w</w:t>
        </w:r>
      </w:hyperlink>
    </w:p>
    <w:bookmarkEnd w:id="184"/>
    <w:bookmarkStart w:id="185"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85"/>
    <w:bookmarkStart w:id="186"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86"/>
    <w:bookmarkStart w:id="188"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7">
        <w:r>
          <w:rPr>
            <w:rStyle w:val="Hyperlink"/>
          </w:rPr>
          <w:t xml:space="preserve">https://doi.org/10.3390/rs16234383</w:t>
        </w:r>
      </w:hyperlink>
    </w:p>
    <w:bookmarkEnd w:id="188"/>
    <w:bookmarkStart w:id="190"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9">
        <w:r>
          <w:rPr>
            <w:rStyle w:val="Hyperlink"/>
          </w:rPr>
          <w:t xml:space="preserve">https://doi.org/10.3389/fmars.2019.00734</w:t>
        </w:r>
      </w:hyperlink>
    </w:p>
    <w:bookmarkEnd w:id="190"/>
    <w:bookmarkStart w:id="191"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91"/>
    <w:bookmarkStart w:id="193"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92">
        <w:r>
          <w:rPr>
            <w:rStyle w:val="Hyperlink"/>
          </w:rPr>
          <w:t xml:space="preserve">https://doi.org/10.1111/gcb.14282</w:t>
        </w:r>
      </w:hyperlink>
    </w:p>
    <w:bookmarkEnd w:id="193"/>
    <w:bookmarkStart w:id="194"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94"/>
    <w:bookmarkStart w:id="195" w:name="ref-perkins2013measurement"/>
    <w:p>
      <w:pPr>
        <w:pStyle w:val="Bibliography"/>
      </w:pPr>
      <w:r>
        <w:t xml:space="preserve">Perkins, S.E., Alexander, L.V., 2013. On the measurement of heat waves. Journal of climate 26, 4500–4517.</w:t>
      </w:r>
    </w:p>
    <w:bookmarkEnd w:id="195"/>
    <w:bookmarkStart w:id="197" w:name="ref-Rbase"/>
    <w:p>
      <w:pPr>
        <w:pStyle w:val="Bibliography"/>
      </w:pPr>
      <w:r>
        <w:t xml:space="preserve">R Core Team, 2023.</w:t>
      </w:r>
      <w:r>
        <w:t xml:space="preserve"> </w:t>
      </w:r>
      <w:hyperlink r:id="rId196">
        <w:r>
          <w:rPr>
            <w:rStyle w:val="Hyperlink"/>
          </w:rPr>
          <w:t xml:space="preserve">R: A language and environment for statistical computing</w:t>
        </w:r>
      </w:hyperlink>
      <w:r>
        <w:t xml:space="preserve">. R Foundation for Statistical Computing, Vienna, Austria.</w:t>
      </w:r>
    </w:p>
    <w:bookmarkEnd w:id="197"/>
    <w:bookmarkStart w:id="198" w:name="ref-ramesh2020seagrass"/>
    <w:p>
      <w:pPr>
        <w:pStyle w:val="Bibliography"/>
      </w:pPr>
      <w:r>
        <w:t xml:space="preserve">Ramesh, C., Mohanraju, R., 2020. Seagrass ecosystems of andaman and nicobar islands: Status and future perspective. Environmental &amp; Earth Sciences Research Journal 7.</w:t>
      </w:r>
    </w:p>
    <w:bookmarkEnd w:id="198"/>
    <w:bookmarkStart w:id="200"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9">
        <w:r>
          <w:rPr>
            <w:rStyle w:val="Hyperlink"/>
          </w:rPr>
          <w:t xml:space="preserve">https://doi.org/10.1073/pnas.0500008102</w:t>
        </w:r>
      </w:hyperlink>
    </w:p>
    <w:bookmarkEnd w:id="200"/>
    <w:bookmarkStart w:id="201" w:name="ref-roman2021using"/>
    <w:p>
      <w:pPr>
        <w:pStyle w:val="Bibliography"/>
      </w:pPr>
      <w:r>
        <w:t xml:space="preserve">Román, A., Tovar-Sánchez, A., Olivé, I., Navarro, G., 2021. Using a UAV-mounted multispectral camera for the monitoring of marine macrophytes. Frontiers in Marine Science 8, 722698.</w:t>
      </w:r>
    </w:p>
    <w:bookmarkEnd w:id="201"/>
    <w:bookmarkStart w:id="202" w:name="ref-rouse1974monitoring"/>
    <w:p>
      <w:pPr>
        <w:pStyle w:val="Bibliography"/>
      </w:pPr>
      <w:r>
        <w:t xml:space="preserve">Rouse, J.W., Haas, R.H., Schell, J.A., Deering, D.W., others, 1974. Monitoring vegetation systems in the great plains with ERTS. NASA Spec. Publ 351, 309.</w:t>
      </w:r>
    </w:p>
    <w:bookmarkEnd w:id="202"/>
    <w:bookmarkStart w:id="204"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203">
        <w:r>
          <w:rPr>
            <w:rStyle w:val="Hyperlink"/>
          </w:rPr>
          <w:t xml:space="preserve">https://doi.org/10.1029/2023GL103540</w:t>
        </w:r>
      </w:hyperlink>
    </w:p>
    <w:bookmarkEnd w:id="204"/>
    <w:bookmarkStart w:id="205"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205"/>
    <w:bookmarkStart w:id="206"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6"/>
    <w:bookmarkStart w:id="208"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07">
        <w:r>
          <w:rPr>
            <w:rStyle w:val="Hyperlink"/>
          </w:rPr>
          <w:t xml:space="preserve">https://doi.org/10.21105/joss.00821</w:t>
        </w:r>
      </w:hyperlink>
    </w:p>
    <w:bookmarkEnd w:id="208"/>
    <w:bookmarkStart w:id="209"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9"/>
    <w:bookmarkStart w:id="211" w:name="ref-shom_ram_2022"/>
    <w:p>
      <w:pPr>
        <w:pStyle w:val="Bibliography"/>
      </w:pPr>
      <w:r>
        <w:t xml:space="preserve">SHOM, 2022.</w:t>
      </w:r>
      <w:r>
        <w:t xml:space="preserve"> </w:t>
      </w:r>
      <w:hyperlink r:id="rId21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11"/>
    <w:bookmarkStart w:id="213" w:name="Xbef41143b4d4042e58f11cfc27e216202646012"/>
    <w:p>
      <w:pPr>
        <w:pStyle w:val="Bibliography"/>
      </w:pPr>
      <w:r>
        <w:t xml:space="preserve">SHOM, 2021.</w:t>
      </w:r>
      <w:r>
        <w:t xml:space="preserve"> </w:t>
      </w:r>
      <w:hyperlink r:id="rId212">
        <w:r>
          <w:rPr>
            <w:rStyle w:val="Hyperlink"/>
          </w:rPr>
          <w:t xml:space="preserve">Service hydrographique et océanographique de la marine ; bathymétrie Litto3D® bretagne 2018-2021</w:t>
        </w:r>
      </w:hyperlink>
      <w:r>
        <w:t xml:space="preserve">.</w:t>
      </w:r>
    </w:p>
    <w:bookmarkEnd w:id="213"/>
    <w:bookmarkStart w:id="215" w:name="ref-simolo2022quantifying"/>
    <w:p>
      <w:pPr>
        <w:pStyle w:val="Bibliography"/>
      </w:pPr>
      <w:r>
        <w:t xml:space="preserve">Simolo, C., Corti, S., 2022. Quantifying the role of variability in future intensification of heat extremes. Nature Communications 13.</w:t>
      </w:r>
      <w:r>
        <w:t xml:space="preserve"> </w:t>
      </w:r>
      <w:hyperlink r:id="rId214">
        <w:r>
          <w:rPr>
            <w:rStyle w:val="Hyperlink"/>
          </w:rPr>
          <w:t xml:space="preserve">https://doi.org/10.1038/s41467-022-35571-0</w:t>
        </w:r>
      </w:hyperlink>
    </w:p>
    <w:bookmarkEnd w:id="215"/>
    <w:bookmarkStart w:id="216"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6"/>
    <w:bookmarkStart w:id="218"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7">
        <w:r>
          <w:rPr>
            <w:rStyle w:val="Hyperlink"/>
          </w:rPr>
          <w:t xml:space="preserve">https://doi.org/10.1038/s41558-019-0412-1</w:t>
        </w:r>
      </w:hyperlink>
    </w:p>
    <w:bookmarkEnd w:id="218"/>
    <w:bookmarkStart w:id="219"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9"/>
    <w:bookmarkStart w:id="220" w:name="ref-stan2020rstan"/>
    <w:p>
      <w:pPr>
        <w:pStyle w:val="Bibliography"/>
      </w:pPr>
      <w:r>
        <w:t xml:space="preserve">Stan Development Team, C., others, 2020. RStan: The r interface to stan. R package version 2.21. 2.</w:t>
      </w:r>
    </w:p>
    <w:bookmarkEnd w:id="220"/>
    <w:bookmarkStart w:id="222"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21">
        <w:r>
          <w:rPr>
            <w:rStyle w:val="Hyperlink"/>
          </w:rPr>
          <w:t xml:space="preserve">https://doi.org/10.1152/physiol.00040.2018</w:t>
        </w:r>
      </w:hyperlink>
    </w:p>
    <w:bookmarkEnd w:id="222"/>
    <w:bookmarkStart w:id="223"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23"/>
    <w:bookmarkStart w:id="224"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24"/>
    <w:bookmarkStart w:id="225"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25"/>
    <w:bookmarkStart w:id="226" w:name="ref-unsworth2014biodiversity"/>
    <w:p>
      <w:pPr>
        <w:pStyle w:val="Bibliography"/>
      </w:pPr>
      <w:r>
        <w:t xml:space="preserve">Unsworth, R., Cullen-Unsworth, L.C., 2014. Biodiversity, ecosystem services, and the conservation of seagrass meadows. Coast. Conserv 19, 95.</w:t>
      </w:r>
    </w:p>
    <w:bookmarkEnd w:id="226"/>
    <w:bookmarkStart w:id="227" w:name="ref-unsworth2021seagrass"/>
    <w:p>
      <w:pPr>
        <w:pStyle w:val="Bibliography"/>
      </w:pPr>
      <w:r>
        <w:t xml:space="preserve">Unsworth, R.K., Butterworth, E.G., 2021. Seagrass meadows provide a significant resource in support of avifauna. Diversity 13, 363.</w:t>
      </w:r>
    </w:p>
    <w:bookmarkEnd w:id="227"/>
    <w:bookmarkStart w:id="228" w:name="ref-unsworth2022planetary"/>
    <w:p>
      <w:pPr>
        <w:pStyle w:val="Bibliography"/>
      </w:pPr>
      <w:r>
        <w:t xml:space="preserve">Unsworth, R.K., Cullen-Unsworth, L.C., Jones, B.L., Lilley, R.J., 2022. The planetary role of seagrass conservation. Science 377, 609–613.</w:t>
      </w:r>
    </w:p>
    <w:bookmarkEnd w:id="228"/>
    <w:bookmarkStart w:id="229"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9"/>
    <w:bookmarkStart w:id="230"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30"/>
    <w:bookmarkStart w:id="231"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31"/>
    <w:bookmarkStart w:id="232" w:name="ref-zahoor2023water"/>
    <w:p>
      <w:pPr>
        <w:pStyle w:val="Bibliography"/>
      </w:pPr>
      <w:r>
        <w:t xml:space="preserve">Zahoor, I., Mushtaq, A., 2023. Water pollution from agricultural activities: A critical global review. Int. J. Chem. Biochem. Sci 23, 164–176.</w:t>
      </w:r>
    </w:p>
    <w:bookmarkEnd w:id="232"/>
    <w:bookmarkStart w:id="233"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33"/>
    <w:bookmarkStart w:id="235"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34">
        <w:r>
          <w:rPr>
            <w:rStyle w:val="Hyperlink"/>
          </w:rPr>
          <w:t xml:space="preserve">https://doi.org/10.1002/rse2.319</w:t>
        </w:r>
      </w:hyperlink>
    </w:p>
    <w:bookmarkEnd w:id="235"/>
    <w:bookmarkStart w:id="236"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36"/>
    <w:bookmarkEnd w:id="237"/>
    <w:bookmarkEnd w:id="238"/>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7" Target="media/rId117.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3" Target="media/rId103.png" /><Relationship Type="http://schemas.openxmlformats.org/officeDocument/2006/relationships/image" Id="rId87" Target="media/rId87.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210" Target="https://diffusion.shom.fr/references-altimetriques-maritimes-ram.html" TargetMode="External" /><Relationship Type="http://schemas.openxmlformats.org/officeDocument/2006/relationships/hyperlink" Id="rId161" Target="https://doi.org/10.1002/aqc.4210" TargetMode="External" /><Relationship Type="http://schemas.openxmlformats.org/officeDocument/2006/relationships/hyperlink" Id="rId234"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3" Target="https://doi.org/10.1016/S0034-4257(70)80021-9" TargetMode="External" /><Relationship Type="http://schemas.openxmlformats.org/officeDocument/2006/relationships/hyperlink" Id="rId171"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203" Target="https://doi.org/10.1029/2023GL103540" TargetMode="External" /><Relationship Type="http://schemas.openxmlformats.org/officeDocument/2006/relationships/hyperlink" Id="rId214" Target="https://doi.org/10.1038/s41467-022-35571-0" TargetMode="External" /><Relationship Type="http://schemas.openxmlformats.org/officeDocument/2006/relationships/hyperlink" Id="rId217" Target="https://doi.org/10.1038/s41558-019-0412-1" TargetMode="External" /><Relationship Type="http://schemas.openxmlformats.org/officeDocument/2006/relationships/hyperlink" Id="rId183"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65" Target="https://doi.org/10.1073/pnas.0402642101" TargetMode="External" /><Relationship Type="http://schemas.openxmlformats.org/officeDocument/2006/relationships/hyperlink" Id="rId199" Target="https://doi.org/10.1073/pnas.0500008102" TargetMode="External" /><Relationship Type="http://schemas.openxmlformats.org/officeDocument/2006/relationships/hyperlink" Id="rId192" Target="https://doi.org/10.1111/gcb.14282" TargetMode="External" /><Relationship Type="http://schemas.openxmlformats.org/officeDocument/2006/relationships/hyperlink" Id="rId221"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7"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9" Target="https://doi.org/10.3389/fmars.2019.00734" TargetMode="External" /><Relationship Type="http://schemas.openxmlformats.org/officeDocument/2006/relationships/hyperlink" Id="rId187"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12" Target="https://services.data.shom.fr/geonetwork/srv/fre/catalog.search#/metadata/BATHYMETRIE_LITTO3D_BZH_2018_2021.xml" TargetMode="External" /><Relationship Type="http://schemas.openxmlformats.org/officeDocument/2006/relationships/hyperlink" Id="rId196" Target="https://www.R-project.org/" TargetMode="External" /><Relationship Type="http://schemas.openxmlformats.org/officeDocument/2006/relationships/hyperlink" Id="rId168" Target="https://www.ioc-sealevelmonitoring.org/station.php?code=lecy" TargetMode="External" /><Relationship Type="http://schemas.openxmlformats.org/officeDocument/2006/relationships/hyperlink" Id="rId178"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10" Target="https://diffusion.shom.fr/references-altimetriques-maritimes-ram.html" TargetMode="External" /><Relationship Type="http://schemas.openxmlformats.org/officeDocument/2006/relationships/hyperlink" Id="rId161" Target="https://doi.org/10.1002/aqc.4210" TargetMode="External" /><Relationship Type="http://schemas.openxmlformats.org/officeDocument/2006/relationships/hyperlink" Id="rId234"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3" Target="https://doi.org/10.1016/S0034-4257(70)80021-9" TargetMode="External" /><Relationship Type="http://schemas.openxmlformats.org/officeDocument/2006/relationships/hyperlink" Id="rId171"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203" Target="https://doi.org/10.1029/2023GL103540" TargetMode="External" /><Relationship Type="http://schemas.openxmlformats.org/officeDocument/2006/relationships/hyperlink" Id="rId214" Target="https://doi.org/10.1038/s41467-022-35571-0" TargetMode="External" /><Relationship Type="http://schemas.openxmlformats.org/officeDocument/2006/relationships/hyperlink" Id="rId217" Target="https://doi.org/10.1038/s41558-019-0412-1" TargetMode="External" /><Relationship Type="http://schemas.openxmlformats.org/officeDocument/2006/relationships/hyperlink" Id="rId183"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65" Target="https://doi.org/10.1073/pnas.0402642101" TargetMode="External" /><Relationship Type="http://schemas.openxmlformats.org/officeDocument/2006/relationships/hyperlink" Id="rId199" Target="https://doi.org/10.1073/pnas.0500008102" TargetMode="External" /><Relationship Type="http://schemas.openxmlformats.org/officeDocument/2006/relationships/hyperlink" Id="rId192" Target="https://doi.org/10.1111/gcb.14282" TargetMode="External" /><Relationship Type="http://schemas.openxmlformats.org/officeDocument/2006/relationships/hyperlink" Id="rId221"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7"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9" Target="https://doi.org/10.3389/fmars.2019.00734" TargetMode="External" /><Relationship Type="http://schemas.openxmlformats.org/officeDocument/2006/relationships/hyperlink" Id="rId187"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12" Target="https://services.data.shom.fr/geonetwork/srv/fre/catalog.search#/metadata/BATHYMETRIE_LITTO3D_BZH_2018_2021.xml" TargetMode="External" /><Relationship Type="http://schemas.openxmlformats.org/officeDocument/2006/relationships/hyperlink" Id="rId196" Target="https://www.R-project.org/" TargetMode="External" /><Relationship Type="http://schemas.openxmlformats.org/officeDocument/2006/relationships/hyperlink" Id="rId168" Target="https://www.ioc-sealevelmonitoring.org/station.php?code=lecy" TargetMode="External" /><Relationship Type="http://schemas.openxmlformats.org/officeDocument/2006/relationships/hyperlink" Id="rId178"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2024-12-19T17:25:21Z</dcterms:created>
  <dcterms:modified xsi:type="dcterms:W3CDTF">2024-12-19T17:25:21Z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2024-12-19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