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w:t>
      </w:r>
      <w:proofErr w:type="spellStart"/>
      <w:r w:rsidR="00BB3161">
        <w:t>Barillé</w:t>
      </w:r>
      <w:proofErr w:type="spellEnd"/>
      <w:r w:rsidR="00BB3161">
        <w:t xml:space="preserve"> A-L., Harin N., Roman M., </w:t>
      </w:r>
      <w:proofErr w:type="spellStart"/>
      <w:r w:rsidR="00BB3161">
        <w:t>Gernez</w:t>
      </w:r>
      <w:proofErr w:type="spellEnd"/>
      <w:r w:rsidR="00BB3161">
        <w:t xml:space="preserve"> P. &amp; </w:t>
      </w:r>
      <w:proofErr w:type="spellStart"/>
      <w:r w:rsidR="00BB3161">
        <w:t>Barillé</w:t>
      </w:r>
      <w:proofErr w:type="spellEnd"/>
      <w:r w:rsidR="00BB3161">
        <w:t xml:space="preserve">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76B46151" w:rsidR="005B0D5E" w:rsidRPr="005B0D5E" w:rsidRDefault="005B0D5E" w:rsidP="005B0D5E">
      <w:r w:rsidRPr="005B0D5E">
        <w:t xml:space="preserve"> This manuscript studied the heatwave impacts on intertidal seagrass reflectance, </w:t>
      </w:r>
      <w:r>
        <w:t xml:space="preserve"> </w:t>
      </w:r>
      <w:r w:rsidRPr="005B0D5E">
        <w:t>and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Pr="005B0D5E">
        <w:br/>
        <w:t>The specific comments and suggestions are as follows:</w:t>
      </w:r>
    </w:p>
    <w:p w14:paraId="32287629" w14:textId="77777777" w:rsidR="00067FE9" w:rsidRPr="00BD7680" w:rsidRDefault="00000000">
      <w:pPr>
        <w:pStyle w:val="Listepuces"/>
        <w:rPr>
          <w:b/>
          <w:bCs/>
        </w:rPr>
      </w:pPr>
      <w:r w:rsidRPr="00BD7680">
        <w:rPr>
          <w:b/>
          <w:bCs/>
        </w:rPr>
        <w:t>Comment 1: This manuscript described that heatwaves reduce seagrass reflectance, especially in green and NIR regions. From Figure 6, it can be seen that this description is not accurate enough, and the long wavelength part of near-infrared (910–1000 nm) remains basically unchanged. So, the original description can be modified to 'red edge and short wave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F34C58A" w:rsidR="00BD7680" w:rsidRDefault="00BD7680" w:rsidP="00BD7680">
      <w:r>
        <w:t xml:space="preserve">Accordingly, we have </w:t>
      </w:r>
      <w:r w:rsidR="00086174">
        <w:t>changed</w:t>
      </w:r>
      <w:r>
        <w:t xml:space="preserve"> the text in the Results </w:t>
      </w:r>
      <w:r w:rsidRPr="00FF2058">
        <w:t xml:space="preserve">section (lines </w:t>
      </w:r>
      <w:r w:rsidR="00FF2058" w:rsidRPr="00FF2058">
        <w:t>326</w:t>
      </w:r>
      <w:r w:rsidRPr="00FF2058">
        <w:t>–</w:t>
      </w:r>
      <w:r w:rsidR="00FF2058" w:rsidRPr="00FF2058">
        <w:t>329</w:t>
      </w:r>
      <w:r w:rsidRPr="00FF2058">
        <w:t>):</w:t>
      </w:r>
    </w:p>
    <w:p w14:paraId="5549CA9A" w14:textId="7E681B81" w:rsidR="00067FE9" w:rsidRPr="00BD7680" w:rsidRDefault="00BD7680" w:rsidP="00BD7680">
      <w:pPr>
        <w:rPr>
          <w:i/>
          <w:iCs/>
        </w:rPr>
      </w:pPr>
      <w:r>
        <w:rPr>
          <w:i/>
          <w:iCs/>
        </w:rPr>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291FB1AA" w:rsidR="00FE1FE9" w:rsidRPr="00FE1FE9" w:rsidRDefault="00000000" w:rsidP="00FE1FE9">
      <w:pPr>
        <w:pStyle w:val="Listepuces"/>
        <w:rPr>
          <w:b/>
          <w:bCs/>
        </w:rPr>
      </w:pPr>
      <w:r w:rsidRPr="00BD7680">
        <w:rPr>
          <w:b/>
          <w:bCs/>
        </w:rPr>
        <w:t xml:space="preserve">Comment 2: </w:t>
      </w:r>
      <w:r w:rsidR="00480BF7" w:rsidRPr="00480BF7">
        <w:rPr>
          <w:b/>
          <w:bCs/>
        </w:rPr>
        <w:t xml:space="preserve">The definition of SHSI is introduced as the reflection line height at 740 nm, compared to the 560 - 842 nm baseline. But there is no explanation for why these three bands were chosen. Firstly, choosing the red edge band of 740nm </w:t>
      </w:r>
      <w:r w:rsidR="00480BF7" w:rsidRPr="00480BF7">
        <w:rPr>
          <w:b/>
          <w:bCs/>
        </w:rPr>
        <w:lastRenderedPageBreak/>
        <w:t>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4A337517" w:rsidR="00FE1FE9" w:rsidRPr="00FE1FE9" w:rsidRDefault="00FE1FE9" w:rsidP="00FE1FE9">
      <w:r w:rsidRPr="00FE1FE9">
        <w:t xml:space="preserve">As the reviewer notes, the 740 nm red-edge band was chosen because it corresponds to the strongest divergence between impacted and non-impacted seagrass (Figure 6). </w:t>
      </w:r>
      <w:r w:rsidR="00086174" w:rsidRPr="00086174">
        <w:t>Based on the reviewer’s recommendation, we redefined the SHSI as follows:</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as its not influenced by the impacted or unimpacted nature of the spectral signature,</w:t>
      </w:r>
      <w:r w:rsidRPr="00FE1FE9">
        <w:t xml:space="preserve"> and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 xml:space="preserve">the SHSI no longer relies solely on the difference between the red-edge signal and its linear interpolation. The updated formulation integrates both the red-edge </w:t>
      </w:r>
      <w:r w:rsidRPr="00FE1FE9">
        <w:lastRenderedPageBreak/>
        <w:t>(740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bookmarkStart w:id="0" w:name="eq-SDI"/>
    <w:p w14:paraId="7D10BD60" w14:textId="0E6F431F" w:rsidR="00904A60" w:rsidRPr="00904A60" w:rsidRDefault="00534261"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bookmarkEnd w:id="0"/>
    </w:p>
    <w:p w14:paraId="420DE164" w14:textId="3C259303" w:rsidR="00FE1FE9" w:rsidRDefault="00FE1FE9" w:rsidP="00FE1FE9">
      <w:pPr>
        <w:pStyle w:val="Corpsdetexte"/>
      </w:pPr>
    </w:p>
    <w:p w14:paraId="1F0587FD" w14:textId="7F802B01" w:rsidR="00FE1FE9" w:rsidRPr="00FE1FE9" w:rsidRDefault="00FE1FE9" w:rsidP="00FE1FE9">
      <w:pPr>
        <w:pStyle w:val="FirstParagraph"/>
      </w:pPr>
      <w:r>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00534261">
        <w:rPr>
          <w:rFonts w:eastAsiaTheme="minorEastAsia"/>
        </w:rPr>
        <w:t xml:space="preserve"> is the</w:t>
      </w:r>
      <w:r>
        <w:t xml:space="preserve"> </w:t>
      </w:r>
      <w:r w:rsidR="00534261">
        <w:t xml:space="preserve">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w:t>
      </w:r>
      <w:r w:rsidR="00534261">
        <w:t>,</w:t>
      </w:r>
      <w:r>
        <w:t xml:space="preserve">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r w:rsidR="00534261">
        <w:t xml:space="preserve">,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rsidR="00534261">
        <w:t xml:space="preserve"> = </w:t>
      </w:r>
      <w:r w:rsidR="00534261">
        <w:t>560</w:t>
      </w:r>
      <w:r w:rsidR="00534261">
        <w:t xml:space="preserve">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rsidR="00534261">
        <w:t xml:space="preserve"> = </w:t>
      </w:r>
      <w:r w:rsidR="00534261">
        <w:t>740.</w:t>
      </w:r>
    </w:p>
    <w:p w14:paraId="26BC2804" w14:textId="17F08BDD" w:rsidR="00FE1FE9" w:rsidRDefault="00FE1FE9" w:rsidP="00D3783B">
      <w:r w:rsidRPr="00FE1FE9">
        <w:t>We have updated the Methods section (</w:t>
      </w:r>
      <w:r w:rsidR="00D3783B">
        <w:t xml:space="preserve">section </w:t>
      </w:r>
      <w:r>
        <w:t>2</w:t>
      </w:r>
      <w:r w:rsidRPr="00FE1FE9">
        <w:t>.1.3.2</w:t>
      </w:r>
      <w:r w:rsidR="00D3783B">
        <w:t xml:space="preserve"> ; </w:t>
      </w:r>
      <w:r w:rsidR="00D3783B" w:rsidRPr="00FF2058">
        <w:t xml:space="preserve">lines </w:t>
      </w:r>
      <w:r w:rsidR="00FF2058">
        <w:t>215-233</w:t>
      </w:r>
      <w:r w:rsidRPr="00FE1FE9">
        <w:t>) to reflect this adjustment and to clarify that the new SHSI formulation takes into account changes in both the red-edge and the green portion of the spectrum, enhancing its robustness for detecting heatwave-induced stress while remaining compatible with current and future multispectral missions.</w:t>
      </w:r>
      <w:r w:rsidR="00086174">
        <w:t xml:space="preserve"> </w:t>
      </w:r>
    </w:p>
    <w:p w14:paraId="2EA0C646" w14:textId="2DCB5403" w:rsidR="00086174" w:rsidRPr="00D3783B" w:rsidRDefault="00086174" w:rsidP="00D3783B">
      <w:r>
        <w:t xml:space="preserve">Moreover the updated figure </w:t>
      </w:r>
      <w:r w:rsidR="00FF2058">
        <w:t xml:space="preserve">3 </w:t>
      </w:r>
      <w:r>
        <w:t xml:space="preserve">provides a graphical representation of the SHSI definition. </w:t>
      </w:r>
    </w:p>
    <w:p w14:paraId="55E19A34" w14:textId="6B0AA287" w:rsidR="00067FE9" w:rsidRPr="00BD7680" w:rsidRDefault="00000000">
      <w:pPr>
        <w:pStyle w:val="Listepuces"/>
        <w:rPr>
          <w:b/>
          <w:bCs/>
        </w:rPr>
      </w:pPr>
      <w:r w:rsidRPr="00BD7680">
        <w:rPr>
          <w:b/>
          <w:bCs/>
        </w:rPr>
        <w:t xml:space="preserve">Comment 3: </w:t>
      </w:r>
      <w:r w:rsidR="005B0D5E" w:rsidRPr="005B0D5E">
        <w:rPr>
          <w:b/>
          <w:bCs/>
        </w:rPr>
        <w:t>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seagrass?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5784786F" w14:textId="002C1EBB" w:rsidR="000E2351" w:rsidRDefault="000E2351" w:rsidP="000E2351">
      <w:r>
        <w:t xml:space="preserve">We thank the reviewer for these insightful comments regarding the applicability and generalization of the Seagrass Heat Shock Index (SHSI). We fully agree that assessing its robustness across different sites, time periods, and seagrass species is a key consideration for future </w:t>
      </w:r>
      <w:r w:rsidR="00B2026E">
        <w:t xml:space="preserve">remote sensing </w:t>
      </w:r>
      <w:r>
        <w:t>applications.</w:t>
      </w:r>
    </w:p>
    <w:p w14:paraId="622CF105" w14:textId="702368AF" w:rsidR="000E2351" w:rsidRDefault="00B2026E" w:rsidP="000E2351">
      <w:r w:rsidRPr="00B2026E">
        <w:t>To address these concerns, we added a new section (Annex B – Validation of the SHSI), where the index was applied to a second independent site — the Ria de Aveiro Coastal Lagoon (Portugal) — using Sentinel-2 imagery acquired in July 2025, along with concomitant in-situ measurements.</w:t>
      </w:r>
      <w:r w:rsidR="000E2351">
        <w:t xml:space="preserve"> This additional validation demonstrates that the SHSI can reliably distinguish between heat-impacted and unimpacted seagrass meadows in a </w:t>
      </w:r>
      <w:r w:rsidR="000E2351">
        <w:lastRenderedPageBreak/>
        <w:t>different geographical region and under different environmental conditions. The validation achieved an overall accuracy of 0.92 and a Cohen’s κ coefficient of 0.84, confirming the robustness of the SHSI for detecting heat-stressed intertidal seagrasses from satellite imagery.</w:t>
      </w:r>
    </w:p>
    <w:p w14:paraId="25E8362E" w14:textId="37E3816C" w:rsidR="000E2351" w:rsidRDefault="000E2351" w:rsidP="000E2351">
      <w:r w:rsidRPr="000E2351">
        <w:t>Regarding the applicability to other seagrass species, the SHSI relies on the same spectral principles that describe pigment absorption and structural scattering in the visible and near-infrared regions. Since all seagrass species share a similar pigment composition—mainly chlorophylls, carotenoids, and accessory pigments—we do not anticipate any theoretical limitation preventing the use of SHSI on other seagrass taxa</w:t>
      </w:r>
      <w:r w:rsidR="00B2026E">
        <w:t xml:space="preserve"> presenting similar physiological responses to heat stress</w:t>
      </w:r>
      <w:r w:rsidRPr="000E2351">
        <w:t xml:space="preserve">. For example, the index could be readily applied to other intertidal species such as </w:t>
      </w:r>
      <w:r w:rsidRPr="00D4447D">
        <w:rPr>
          <w:i/>
          <w:iCs/>
        </w:rPr>
        <w:t>Zostera japonica</w:t>
      </w:r>
      <w:r w:rsidRPr="000E2351">
        <w:t xml:space="preserve"> or </w:t>
      </w:r>
      <w:r w:rsidRPr="000E2351">
        <w:rPr>
          <w:i/>
          <w:iCs/>
        </w:rPr>
        <w:t xml:space="preserve">Halophila </w:t>
      </w:r>
      <w:proofErr w:type="spellStart"/>
      <w:r w:rsidRPr="000E2351">
        <w:rPr>
          <w:i/>
          <w:iCs/>
        </w:rPr>
        <w:t>beccarii</w:t>
      </w:r>
      <w:proofErr w:type="spellEnd"/>
      <w:r w:rsidRPr="000E2351">
        <w:rPr>
          <w:i/>
          <w:iCs/>
        </w:rPr>
        <w:t>,</w:t>
      </w:r>
      <w:r w:rsidRPr="000E2351">
        <w:t xml:space="preserve"> which exhibit similar optical properties and experience periodic aerial exposure during low tide. However, the method is </w:t>
      </w:r>
      <w:r w:rsidR="001136DA">
        <w:t>designed</w:t>
      </w:r>
      <w:r w:rsidRPr="000E2351">
        <w:t xml:space="preserve"> to intertidal meadows, as it relies on reflectance in the near-infrared domain, which is strongly absorbed by water. Consequently, the SHSI cannot be applied directly to subtidal species, whose canopies remain permanently submerged.</w:t>
      </w:r>
    </w:p>
    <w:p w14:paraId="48BD97BB" w14:textId="257D5191" w:rsidR="00EA3E11" w:rsidRDefault="000E2351" w:rsidP="00EA3E11">
      <w:r>
        <w:t xml:space="preserve">Concerning the seasonal and phenological applicability, the SHSI was tested during late summer at two locations: Quiberon (September 2021) and Aveiro (July 2025). These periods correspond to the seasonal maximum of </w:t>
      </w:r>
      <w:r w:rsidRPr="000E2351">
        <w:rPr>
          <w:i/>
          <w:iCs/>
        </w:rPr>
        <w:t xml:space="preserve">Zostera </w:t>
      </w:r>
      <w:proofErr w:type="spellStart"/>
      <w:r w:rsidR="00EA3E11">
        <w:rPr>
          <w:i/>
          <w:iCs/>
        </w:rPr>
        <w:t>noltii</w:t>
      </w:r>
      <w:proofErr w:type="spellEnd"/>
      <w:r>
        <w:t xml:space="preserve"> cover at both sites (</w:t>
      </w:r>
      <w:hyperlink r:id="rId6" w:history="1">
        <w:r w:rsidRPr="000E2351">
          <w:rPr>
            <w:rStyle w:val="Lienhypertexte"/>
          </w:rPr>
          <w:t>Davies et al. 2024</w:t>
        </w:r>
      </w:hyperlink>
      <w:r>
        <w:t>). We suggest that SHSI should preferably be applied near this phenological peak, when the meadow is fully developed and photosynthetically active. Applying it outside of this period—particularly during autumn senescence—could lead to misinterpretation, as natural pigment degradation during senescence produces spectral changes similar to those caused by heat-induced stress.</w:t>
      </w:r>
      <w:r w:rsidR="001136DA">
        <w:t xml:space="preserve"> </w:t>
      </w:r>
      <w:r w:rsidR="00EA3E11" w:rsidRPr="00EA3E11">
        <w:t xml:space="preserve">Moreover, there is a latitudinal gradient in the phenology of certain seagrass species, such as </w:t>
      </w:r>
      <w:r w:rsidR="00EA3E11" w:rsidRPr="00FF2058">
        <w:rPr>
          <w:i/>
          <w:iCs/>
        </w:rPr>
        <w:t>Zostera</w:t>
      </w:r>
      <w:r w:rsidR="00EA3E11" w:rsidRPr="00EA3E11">
        <w:t xml:space="preserve"> </w:t>
      </w:r>
      <w:proofErr w:type="spellStart"/>
      <w:r w:rsidR="00EA3E11" w:rsidRPr="00FF2058">
        <w:rPr>
          <w:i/>
          <w:iCs/>
        </w:rPr>
        <w:t>nolt</w:t>
      </w:r>
      <w:r w:rsidR="00FF2058" w:rsidRPr="00FF2058">
        <w:rPr>
          <w:i/>
          <w:iCs/>
        </w:rPr>
        <w:t>i</w:t>
      </w:r>
      <w:r w:rsidR="00EA3E11" w:rsidRPr="00FF2058">
        <w:rPr>
          <w:i/>
          <w:iCs/>
        </w:rPr>
        <w:t>i</w:t>
      </w:r>
      <w:proofErr w:type="spellEnd"/>
      <w:r w:rsidR="00EA3E11" w:rsidRPr="00EA3E11">
        <w:t>. In the northernmost latitudes, above-ground biomass becomes undetectable in Sentinel-2 imagery during winter, making the SHSI unsuitable for assessing heat stress under these conditions.</w:t>
      </w:r>
    </w:p>
    <w:p w14:paraId="4884B65A" w14:textId="239FE915" w:rsidR="005B0D5E" w:rsidRPr="005B0D5E" w:rsidRDefault="00000000" w:rsidP="00EA3E11">
      <w:pPr>
        <w:pStyle w:val="Paragraphedeliste"/>
        <w:numPr>
          <w:ilvl w:val="0"/>
          <w:numId w:val="16"/>
        </w:numPr>
      </w:pPr>
      <w:r w:rsidRPr="00EA3E11">
        <w:rPr>
          <w:b/>
          <w:bCs/>
        </w:rPr>
        <w:t xml:space="preserve">Comment 4: </w:t>
      </w:r>
      <w:r w:rsidR="005B0D5E" w:rsidRPr="00EA3E11">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FE719DD" w14:textId="77777777" w:rsidR="00D4447D" w:rsidRDefault="00D4447D" w:rsidP="00D4447D">
      <w:pPr>
        <w:pStyle w:val="Listepuces"/>
        <w:numPr>
          <w:ilvl w:val="0"/>
          <w:numId w:val="0"/>
        </w:numPr>
      </w:pPr>
      <w:r>
        <w:t>We thank the reviewer for this relevant remark concerning the temporal gap between the second and third Sentinel-2 scenes used in our analysis. We fully agree that, in principle, a denser temporal sampling—such as a 5-day revisit interval—would provide a more detailed description of the recovery process following the heatwave event.</w:t>
      </w:r>
    </w:p>
    <w:p w14:paraId="2FD7E14B" w14:textId="77777777" w:rsidR="00D4447D" w:rsidRDefault="00D4447D" w:rsidP="00D4447D">
      <w:pPr>
        <w:pStyle w:val="Listepuces"/>
        <w:numPr>
          <w:ilvl w:val="0"/>
          <w:numId w:val="0"/>
        </w:numPr>
        <w:ind w:left="360" w:hanging="360"/>
      </w:pPr>
    </w:p>
    <w:p w14:paraId="64E9AD6D" w14:textId="77777777" w:rsidR="000C4FA4" w:rsidRDefault="00D4447D" w:rsidP="00D4447D">
      <w:pPr>
        <w:pStyle w:val="Listepuces"/>
        <w:numPr>
          <w:ilvl w:val="0"/>
          <w:numId w:val="0"/>
        </w:numPr>
      </w:pPr>
      <w:r>
        <w:lastRenderedPageBreak/>
        <w:t xml:space="preserve">However, when studying intertidal seagrass meadows using multispectral satellite imagery, two strict conditions must be simultaneously fulfilled for an image to be suitable for </w:t>
      </w:r>
      <w:r w:rsidRPr="000C4FA4">
        <w:t>analysis:</w:t>
      </w:r>
    </w:p>
    <w:p w14:paraId="24CF07F4" w14:textId="77777777" w:rsidR="000C4FA4" w:rsidRPr="000C4FA4" w:rsidRDefault="000C4FA4" w:rsidP="00D4447D">
      <w:pPr>
        <w:pStyle w:val="Listepuces"/>
        <w:numPr>
          <w:ilvl w:val="0"/>
          <w:numId w:val="0"/>
        </w:numPr>
      </w:pPr>
    </w:p>
    <w:p w14:paraId="2229A1BA" w14:textId="489BDA57" w:rsidR="000C4FA4" w:rsidRPr="000C4FA4" w:rsidRDefault="000C4FA4" w:rsidP="000C4FA4">
      <w:pPr>
        <w:pStyle w:val="Listepuces"/>
      </w:pPr>
      <w:r w:rsidRPr="000C4FA4">
        <w:t>The acquisition must coincide with a low-tide period, ensuring that the seagrass canopy is exposed and not submerged; and</w:t>
      </w:r>
    </w:p>
    <w:p w14:paraId="322E0E2D" w14:textId="56D5245A" w:rsidR="000C4FA4" w:rsidRPr="000C4FA4" w:rsidRDefault="000C4FA4" w:rsidP="000C4FA4">
      <w:pPr>
        <w:pStyle w:val="Listepuces"/>
      </w:pPr>
      <w:r w:rsidRPr="000C4FA4">
        <w:t xml:space="preserve">The scene must be free of cloud and haze contamination, which otherwise </w:t>
      </w:r>
      <w:r w:rsidR="0077754F">
        <w:t>can alter or block</w:t>
      </w:r>
      <w:r w:rsidRPr="000C4FA4">
        <w:t xml:space="preserve"> surface reflectance retrieval.</w:t>
      </w:r>
    </w:p>
    <w:p w14:paraId="691C0AD4" w14:textId="77777777" w:rsidR="000C4FA4" w:rsidRDefault="000C4FA4" w:rsidP="000C4FA4">
      <w:pPr>
        <w:pStyle w:val="Listepuces"/>
        <w:numPr>
          <w:ilvl w:val="0"/>
          <w:numId w:val="0"/>
        </w:numPr>
      </w:pPr>
    </w:p>
    <w:p w14:paraId="75C4A211" w14:textId="4AEF1B36" w:rsidR="000C4FA4" w:rsidRDefault="000C4FA4" w:rsidP="000C4FA4">
      <w:pPr>
        <w:pStyle w:val="Listepuces"/>
        <w:numPr>
          <w:ilvl w:val="0"/>
          <w:numId w:val="0"/>
        </w:numPr>
      </w:pPr>
      <w:r w:rsidRPr="000C4FA4">
        <w:t>These combined constraints substantially limit the number of usable acquisitions over intertidal environments. During the 2021 heatwave in Quiberon, the Sentinel-2 image acquired on 6 September 2021 captured the maximum impact of the event, whereas the 8 October 2021 image was the first subsequent acquisition meeting both low-tide and cloud-free conditions. Intermediate images within this period were either fully or partially covered by clouds or acquired during high tide, rendering them unsuitable for SHSI computation.</w:t>
      </w:r>
      <w:r>
        <w:t xml:space="preserve"> </w:t>
      </w:r>
      <w:r w:rsidRPr="000C4FA4">
        <w:t>Although the one-month interval does not allow a continuous temporal analysis of the recovery process, this third image nonetheless provided valuable insight into the post-heatwave phase, showing partial recovery and spatial heterogeneity in the affected areas.</w:t>
      </w:r>
    </w:p>
    <w:p w14:paraId="03FD8503" w14:textId="404F9FEF" w:rsidR="00067FE9" w:rsidRDefault="00067FE9" w:rsidP="00D4447D">
      <w:pPr>
        <w:pStyle w:val="Listepuces"/>
        <w:numPr>
          <w:ilvl w:val="0"/>
          <w:numId w:val="0"/>
        </w:numPr>
      </w:pPr>
    </w:p>
    <w:p w14:paraId="2FE475D8" w14:textId="5A822F6C" w:rsidR="00067FE9" w:rsidRPr="00BD7680" w:rsidRDefault="00000000">
      <w:pPr>
        <w:pStyle w:val="Listepuces"/>
        <w:rPr>
          <w:b/>
          <w:bCs/>
        </w:rPr>
      </w:pPr>
      <w:r w:rsidRPr="00BD7680">
        <w:rPr>
          <w:b/>
          <w:bCs/>
        </w:rPr>
        <w:t xml:space="preserve">Comment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335D540B" w:rsidR="00067FE9" w:rsidRDefault="000C4FA4">
      <w:r>
        <w:t>Done</w:t>
      </w:r>
      <w:r>
        <w:br/>
      </w:r>
    </w:p>
    <w:p w14:paraId="3E57F73D" w14:textId="03863CE1" w:rsidR="00067FE9" w:rsidRPr="00BD7680" w:rsidRDefault="00000000">
      <w:pPr>
        <w:pStyle w:val="Listepuces"/>
        <w:rPr>
          <w:b/>
          <w:bCs/>
        </w:rPr>
      </w:pPr>
      <w:r w:rsidRPr="00BD7680">
        <w:rPr>
          <w:b/>
          <w:bCs/>
        </w:rPr>
        <w:t xml:space="preserve">Comment 6: </w:t>
      </w:r>
      <w:r w:rsidR="005B0D5E" w:rsidRPr="005B0D5E">
        <w:rPr>
          <w:b/>
          <w:bCs/>
        </w:rPr>
        <w:t>The legend text in Figure 2 is too small. Subfigures A and B should be labeled.</w:t>
      </w:r>
    </w:p>
    <w:p w14:paraId="4FB4A4C5" w14:textId="58C83A3C" w:rsidR="00067FE9" w:rsidRDefault="00865D56">
      <w:r>
        <w:t>Done</w:t>
      </w:r>
      <w:r>
        <w:br/>
      </w:r>
    </w:p>
    <w:p w14:paraId="6021E997" w14:textId="1D49B704" w:rsidR="00067FE9" w:rsidRPr="00AC2153" w:rsidRDefault="00000000">
      <w:pPr>
        <w:pStyle w:val="Listepuces"/>
        <w:rPr>
          <w:b/>
          <w:bCs/>
        </w:rPr>
      </w:pPr>
      <w:r w:rsidRPr="00AC2153">
        <w:rPr>
          <w:b/>
          <w:bCs/>
        </w:rPr>
        <w:t xml:space="preserve">Comment 7: </w:t>
      </w:r>
      <w:r w:rsidR="005B0D5E" w:rsidRPr="00AC2153">
        <w:rPr>
          <w:b/>
          <w:bCs/>
        </w:rPr>
        <w:t> Both Figure 8 and Figure 10 are too simple and have a relatively small amount of information. It is recommended to merge them into one image and divide it into two subgraphs.</w:t>
      </w:r>
    </w:p>
    <w:p w14:paraId="100B1F66" w14:textId="2495842B" w:rsidR="00067FE9" w:rsidRPr="00AC2153" w:rsidRDefault="00AC2153">
      <w:r w:rsidRPr="00AC2153">
        <w:t>Following the recommendation, Figures 8 and 10 have been merged into a single composite figure, now divided into two subpanels</w:t>
      </w:r>
      <w:r>
        <w:t xml:space="preserve"> (See new figure </w:t>
      </w:r>
      <w:r w:rsidR="00FF2058">
        <w:t>8</w:t>
      </w:r>
      <w:r>
        <w:t xml:space="preserve">). </w:t>
      </w:r>
    </w:p>
    <w:p w14:paraId="0E88B8B4" w14:textId="77777777" w:rsidR="004C4110" w:rsidRDefault="00000000" w:rsidP="004C4110">
      <w:pPr>
        <w:pStyle w:val="Listepuces"/>
        <w:rPr>
          <w:b/>
          <w:bCs/>
        </w:rPr>
      </w:pPr>
      <w:r w:rsidRPr="00BD7680">
        <w:rPr>
          <w:b/>
          <w:bCs/>
        </w:rPr>
        <w:t xml:space="preserve">Comment 8: </w:t>
      </w:r>
      <w:r w:rsidR="005B0D5E" w:rsidRPr="005B0D5E">
        <w:rPr>
          <w:b/>
          <w:bCs/>
        </w:rPr>
        <w:t>According to the definition of SHSI, SHSI should be greater than -1 and less than 1. Why does the legend in Figure 11 show SHSI sizes greater than -2 or greater than 2</w:t>
      </w:r>
      <w:r w:rsidR="005B0D5E">
        <w:rPr>
          <w:b/>
          <w:bCs/>
        </w:rPr>
        <w:t xml:space="preserve"> </w:t>
      </w:r>
      <w:r w:rsidRPr="00BD7680">
        <w:rPr>
          <w:b/>
          <w:bCs/>
        </w:rPr>
        <w:t>?</w:t>
      </w:r>
    </w:p>
    <w:p w14:paraId="00F6404B" w14:textId="77777777" w:rsidR="004C4110" w:rsidRDefault="004C4110" w:rsidP="004C4110">
      <w:pPr>
        <w:pStyle w:val="Listepuces"/>
        <w:numPr>
          <w:ilvl w:val="0"/>
          <w:numId w:val="0"/>
        </w:numPr>
        <w:ind w:left="360" w:hanging="360"/>
        <w:rPr>
          <w:b/>
          <w:bCs/>
        </w:rPr>
      </w:pPr>
    </w:p>
    <w:p w14:paraId="401CE089" w14:textId="2823C49F" w:rsidR="004C4110" w:rsidRDefault="004C4110" w:rsidP="004C4110">
      <w:pPr>
        <w:pStyle w:val="Listepuces"/>
        <w:numPr>
          <w:ilvl w:val="0"/>
          <w:numId w:val="0"/>
        </w:numPr>
      </w:pPr>
      <w:r>
        <w:lastRenderedPageBreak/>
        <w:t xml:space="preserve">We thank the reviewer for this careful observation. The reviewer is correct that in the original version of the SHSI, which was computed from a single line height, the index was theoretically bounded between –1 and 1. A labeling error in the original Figure 11 </w:t>
      </w:r>
      <w:r w:rsidR="00534261">
        <w:t xml:space="preserve">(now Figure 10) </w:t>
      </w:r>
      <w:r>
        <w:t xml:space="preserve">indeed showed SHSI values slightly exceeding this range. </w:t>
      </w:r>
    </w:p>
    <w:p w14:paraId="4B8F6FAC" w14:textId="60C57010" w:rsidR="004C4110" w:rsidRDefault="004C4110" w:rsidP="004C4110">
      <w:pPr>
        <w:pStyle w:val="Listepuces"/>
        <w:numPr>
          <w:ilvl w:val="0"/>
          <w:numId w:val="0"/>
        </w:numPr>
      </w:pPr>
      <w:r>
        <w:t>However, following the refinement of the SHSI definition, the index is now calculated as the sum of two line heights measured at distinct wavelengths (560 nm and 740 nm). Because the resulting SHSI represents the cumulative deviation from the baseline at two spectral positions rather than a normalized single-band difference, its theoretical range is no longer constrained strictly between –1 and 1</w:t>
      </w:r>
      <w:r w:rsidR="00534261">
        <w:t xml:space="preserve"> but between -2 and 2</w:t>
      </w:r>
      <w:r>
        <w:t xml:space="preserve">. In practice, values </w:t>
      </w:r>
      <w:r w:rsidR="00534261">
        <w:t>reaching</w:t>
      </w:r>
      <w:r>
        <w:t xml:space="preserve"> these limits remain rare and occur only when reflectance differences at both wavelengths are particularly pronounced.</w:t>
      </w:r>
    </w:p>
    <w:p w14:paraId="500946D0" w14:textId="77777777" w:rsidR="004C4110" w:rsidRDefault="004C4110" w:rsidP="004C4110">
      <w:pPr>
        <w:pStyle w:val="Listepuces"/>
        <w:numPr>
          <w:ilvl w:val="0"/>
          <w:numId w:val="0"/>
        </w:numPr>
      </w:pPr>
    </w:p>
    <w:p w14:paraId="0BAB3213" w14:textId="05F493B1" w:rsidR="00067FE9" w:rsidRPr="004C4110" w:rsidRDefault="004C4110" w:rsidP="004C4110">
      <w:pPr>
        <w:pStyle w:val="Listepuces"/>
        <w:numPr>
          <w:ilvl w:val="0"/>
          <w:numId w:val="0"/>
        </w:numPr>
        <w:rPr>
          <w:b/>
          <w:bCs/>
        </w:rPr>
      </w:pPr>
      <w:r>
        <w:t>The legend of Figure 11</w:t>
      </w:r>
      <w:r w:rsidR="00534261">
        <w:t xml:space="preserve"> </w:t>
      </w:r>
      <w:r w:rsidR="00534261">
        <w:t xml:space="preserve">(now Figure 10) </w:t>
      </w:r>
      <w:r>
        <w:t>has been corrected accordingly in the revised manuscript, and a note clarifying the possible numerical range of SHSI has been added to the Methods section. (</w:t>
      </w:r>
      <w:r w:rsidRPr="00FF2058">
        <w:t xml:space="preserve">Lines </w:t>
      </w:r>
      <w:r w:rsidR="00FF2058" w:rsidRPr="00FF2058">
        <w:t>233-235</w:t>
      </w:r>
      <w:r>
        <w:t>)</w:t>
      </w:r>
      <w:r>
        <w:br/>
      </w:r>
    </w:p>
    <w:p w14:paraId="41ACA944" w14:textId="470FDE9C" w:rsidR="00067FE9" w:rsidRDefault="00000000">
      <w:pPr>
        <w:pStyle w:val="Listepuces"/>
        <w:rPr>
          <w:b/>
          <w:bCs/>
        </w:rPr>
      </w:pPr>
      <w:r w:rsidRPr="00BD7680">
        <w:rPr>
          <w:b/>
          <w:bCs/>
        </w:rPr>
        <w:t xml:space="preserve">Comment 9: </w:t>
      </w:r>
      <w:r w:rsidR="005B0D5E" w:rsidRPr="005B0D5E">
        <w:rPr>
          <w:b/>
          <w:bCs/>
        </w:rPr>
        <w:t>Figure 12 is not clear enough, and is suggested to change it to a color image.</w:t>
      </w:r>
    </w:p>
    <w:p w14:paraId="7B06BD66" w14:textId="77777777" w:rsidR="00EE4780" w:rsidRDefault="00EE4780" w:rsidP="00EE4780">
      <w:pPr>
        <w:pStyle w:val="Listepuces"/>
        <w:numPr>
          <w:ilvl w:val="0"/>
          <w:numId w:val="0"/>
        </w:numPr>
        <w:ind w:left="360" w:hanging="360"/>
        <w:rPr>
          <w:b/>
          <w:bCs/>
        </w:rPr>
      </w:pPr>
    </w:p>
    <w:p w14:paraId="5D434DB7" w14:textId="001090F1" w:rsidR="00EE4780" w:rsidRDefault="00EE4780" w:rsidP="00EE4780">
      <w:pPr>
        <w:pStyle w:val="Listepuces"/>
        <w:numPr>
          <w:ilvl w:val="0"/>
          <w:numId w:val="0"/>
        </w:numPr>
      </w:pPr>
      <w:r>
        <w:t>Figure 12</w:t>
      </w:r>
      <w:r w:rsidR="00072F65">
        <w:t xml:space="preserve"> (now Figure 11)</w:t>
      </w:r>
      <w:r>
        <w:t xml:space="preserve"> has been substantially revised to improve clarity and visual interpretation. The updated version now displays the raw SHSI values before and during the heatwave event, instead of the relative change, providing a clearer visualization of the evolution of the index associated with seagrass exposure time.</w:t>
      </w:r>
    </w:p>
    <w:p w14:paraId="515BAC9D" w14:textId="30F09951" w:rsidR="00EE4780" w:rsidRDefault="00524F97" w:rsidP="00524F97">
      <w:pPr>
        <w:pStyle w:val="Listepuces"/>
        <w:numPr>
          <w:ilvl w:val="0"/>
          <w:numId w:val="0"/>
        </w:numPr>
      </w:pPr>
      <w:r w:rsidRPr="00524F97">
        <w:t>The revised figure (see new Figure 1</w:t>
      </w:r>
      <w:r w:rsidR="00072F65">
        <w:t>1</w:t>
      </w:r>
      <w:r w:rsidRPr="00524F97">
        <w:t>) also includes a true-color Sentinel-2 image illustrating the spatial distribution of areas exposed to air for more than 13 h 19 min per day during the heatwave, corresponding to the threshold identified by the GAM model at which the meadows exhibit noticeable darkening</w:t>
      </w:r>
      <w:r>
        <w:t>.</w:t>
      </w:r>
    </w:p>
    <w:p w14:paraId="3F41869D" w14:textId="77777777" w:rsidR="00524F97" w:rsidRDefault="00524F97" w:rsidP="00524F97">
      <w:pPr>
        <w:pStyle w:val="Listepuces"/>
        <w:numPr>
          <w:ilvl w:val="0"/>
          <w:numId w:val="0"/>
        </w:numPr>
      </w:pPr>
    </w:p>
    <w:p w14:paraId="44F9E32B" w14:textId="77777777" w:rsidR="00EE4780" w:rsidRDefault="00EE4780" w:rsidP="00EE4780">
      <w:pPr>
        <w:pStyle w:val="Listepuces"/>
        <w:numPr>
          <w:ilvl w:val="0"/>
          <w:numId w:val="0"/>
        </w:numPr>
        <w:ind w:left="360" w:hanging="360"/>
      </w:pPr>
      <w:r>
        <w:t>Corresponding text in the Results section has been updated accordingly:</w:t>
      </w:r>
    </w:p>
    <w:p w14:paraId="418CC42F" w14:textId="77777777" w:rsidR="00EE4780" w:rsidRDefault="00EE4780" w:rsidP="00EE4780">
      <w:pPr>
        <w:pStyle w:val="Listepuces"/>
        <w:numPr>
          <w:ilvl w:val="0"/>
          <w:numId w:val="0"/>
        </w:numPr>
        <w:ind w:left="360" w:hanging="360"/>
      </w:pPr>
    </w:p>
    <w:p w14:paraId="65138ACD" w14:textId="1AA8BD39" w:rsidR="00EE4780" w:rsidRDefault="00EE4780" w:rsidP="00EE4780">
      <w:pPr>
        <w:pStyle w:val="Listepuces"/>
        <w:numPr>
          <w:ilvl w:val="0"/>
          <w:numId w:val="0"/>
        </w:numPr>
        <w:rPr>
          <w:i/>
          <w:iCs/>
        </w:rPr>
      </w:pPr>
      <w:r>
        <w:t>“</w:t>
      </w:r>
      <w:r w:rsidRPr="00EE4780">
        <w:rPr>
          <w:i/>
          <w:iCs/>
        </w:rPr>
        <w:t>Additionally, there was a clear relationship between seagrass emersion time and seagrass darkening (Figure 1</w:t>
      </w:r>
      <w:r w:rsidR="00072F65">
        <w:rPr>
          <w:i/>
          <w:iCs/>
        </w:rPr>
        <w:t>1</w:t>
      </w:r>
      <w:r w:rsidRPr="00EE4780">
        <w:rPr>
          <w:i/>
          <w:iCs/>
        </w:rPr>
        <w:t>; Section 6.4). Before the heatwave event, no clear relationship was observed between emersion time and SHSI values (Figure 1</w:t>
      </w:r>
      <w:r w:rsidR="00072F65">
        <w:rPr>
          <w:i/>
          <w:iCs/>
        </w:rPr>
        <w:t>1</w:t>
      </w:r>
      <w:r w:rsidRPr="00EE4780">
        <w:rPr>
          <w:i/>
          <w:iCs/>
        </w:rPr>
        <w:t>A), with more than 98% of pixels exhibiting negative SHSI values. In contrast, during the heatwave, SHSI values increased sharply beyond an emersion duration of approximately 13 h 19 min per day (Figure 1</w:t>
      </w:r>
      <w:r w:rsidR="00072F65">
        <w:rPr>
          <w:i/>
          <w:iCs/>
        </w:rPr>
        <w:t>1</w:t>
      </w:r>
      <w:r w:rsidRPr="00EE4780">
        <w:rPr>
          <w:i/>
          <w:iCs/>
        </w:rPr>
        <w:t>B). More than 88% of the pixels that were exposed for more than 13 h 19 min per day displayed positive SHSI values during the event.”</w:t>
      </w:r>
    </w:p>
    <w:p w14:paraId="1B852F67" w14:textId="77777777" w:rsidR="00EE4780" w:rsidRDefault="00EE4780" w:rsidP="00EE4780">
      <w:pPr>
        <w:pStyle w:val="Listepuces"/>
        <w:numPr>
          <w:ilvl w:val="0"/>
          <w:numId w:val="0"/>
        </w:numPr>
        <w:rPr>
          <w:i/>
          <w:iCs/>
        </w:rPr>
      </w:pPr>
    </w:p>
    <w:p w14:paraId="17E66F8B" w14:textId="52321839" w:rsidR="00EE4780" w:rsidRDefault="00EE4780" w:rsidP="00EE4780">
      <w:pPr>
        <w:pStyle w:val="Listepuces"/>
        <w:numPr>
          <w:ilvl w:val="0"/>
          <w:numId w:val="0"/>
        </w:numPr>
      </w:pPr>
      <w:r w:rsidRPr="00FF2058">
        <w:t xml:space="preserve">Lines </w:t>
      </w:r>
      <w:r w:rsidR="00FF2058" w:rsidRPr="00FF2058">
        <w:t>398 - 405</w:t>
      </w:r>
      <w:r>
        <w:rPr>
          <w:i/>
          <w:iCs/>
        </w:rPr>
        <w:br/>
      </w:r>
    </w:p>
    <w:p w14:paraId="1FA5B6F9" w14:textId="77777777" w:rsidR="00EE4780" w:rsidRDefault="00EE4780">
      <w:r>
        <w:br w:type="page"/>
      </w:r>
    </w:p>
    <w:p w14:paraId="7E51F92A" w14:textId="5770E7B8" w:rsidR="00067FE9" w:rsidRDefault="00000000">
      <w:pPr>
        <w:pStyle w:val="Titre2"/>
      </w:pPr>
      <w:r>
        <w:lastRenderedPageBreak/>
        <w:t>Reviewer #3</w:t>
      </w:r>
      <w:r w:rsidR="005B0D5E">
        <w:t xml:space="preserve"> </w:t>
      </w:r>
    </w:p>
    <w:p w14:paraId="57AF1C79" w14:textId="6896D1D7" w:rsidR="005B0D5E" w:rsidRPr="005B0D5E" w:rsidRDefault="005B0D5E" w:rsidP="005B0D5E">
      <w:r w:rsidRPr="005B0D5E">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p>
    <w:p w14:paraId="29D0C003" w14:textId="16C75A0F" w:rsidR="00067FE9" w:rsidRPr="00BD7680" w:rsidRDefault="00000000">
      <w:pPr>
        <w:pStyle w:val="Listepuces"/>
        <w:rPr>
          <w:b/>
          <w:bCs/>
        </w:rPr>
      </w:pPr>
      <w:r w:rsidRPr="00BD7680">
        <w:rPr>
          <w:b/>
          <w:bCs/>
        </w:rPr>
        <w:t xml:space="preserve">Comment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756DAC45" w14:textId="51023697" w:rsidR="00AC2153" w:rsidRDefault="00AC2153" w:rsidP="00AC2153">
      <w:r>
        <w:t xml:space="preserve">A total of six seagrass cores were collected to balance statistical robustness with the practical and ethical constraints inherent to controlled chamber experiments. Each core (30 × 15 × 5 cm) included the entire seagrass assemblage—leaves, rhizomes, sediment, and associated fauna—thus maintaining the natural microenvironment and minimizing transplant stress. These cores were subsequently used to perform three independent experimental runs, each including one control and one treatment chamber, providing replication at the experimental-unit level rather than at the individual leaf or shoot scale. </w:t>
      </w:r>
    </w:p>
    <w:p w14:paraId="69826527" w14:textId="1E891FC7" w:rsidR="00AC2153" w:rsidRDefault="00AC2153" w:rsidP="00AC2153">
      <w:r>
        <w:t>The chosen sampling dimensions (30 × 15 × 5 cm) were determined to (</w:t>
      </w:r>
      <w:proofErr w:type="spellStart"/>
      <w:r>
        <w:t>i</w:t>
      </w:r>
      <w:proofErr w:type="spellEnd"/>
      <w:r>
        <w:t xml:space="preserve">) ensure sufficient areal coverage to include multiple seagrass shoots and rhizome connections representative of natural density; (ii) maintain intact sediment–root structure for stable oxygen and nutrient dynamics; and (iii) allow physical compatibility with the </w:t>
      </w:r>
      <w:proofErr w:type="spellStart"/>
      <w:r>
        <w:t>ElectricBlue</w:t>
      </w:r>
      <w:proofErr w:type="spellEnd"/>
      <w:r>
        <w:t>® intertidal chamber system. Larger cores would have exceeded the chamber’s capacity, whereas smaller samples would have risked edge effects and incomplete representation of canopy structure.</w:t>
      </w:r>
    </w:p>
    <w:p w14:paraId="30B7188F" w14:textId="0D6DCEEA" w:rsidR="00AC2153" w:rsidRDefault="00AC2153" w:rsidP="00AC2153">
      <w:r>
        <w:t xml:space="preserve">Importantly, both the sample size, replication number, and sampling dimensions were also constrained by regulatory considerations, as </w:t>
      </w:r>
      <w:r w:rsidRPr="00AC2153">
        <w:rPr>
          <w:i/>
          <w:iCs/>
        </w:rPr>
        <w:t xml:space="preserve">Zostera </w:t>
      </w:r>
      <w:proofErr w:type="spellStart"/>
      <w:r w:rsidR="00EA3E11">
        <w:rPr>
          <w:i/>
          <w:iCs/>
        </w:rPr>
        <w:t>noltii</w:t>
      </w:r>
      <w:proofErr w:type="spellEnd"/>
      <w:r>
        <w:t xml:space="preserve"> is a protected species in France under national conservation regulations. Consequently, its collection and manipulation are subject to strict permitting and ethical restrictions, which limit the number and size of samples that can be destructively harvested.</w:t>
      </w:r>
    </w:p>
    <w:p w14:paraId="61D397DB" w14:textId="0D94DCB4" w:rsidR="00AC2153" w:rsidRDefault="00AC2153" w:rsidP="00AC2153">
      <w:r>
        <w:t>Despite these necessary limitations, the experimental design yielded highly consistent and statistically significant results across independent runs, as confirmed by the Bayesian GLM outputs presented in Table 2 (Annex C).</w:t>
      </w:r>
    </w:p>
    <w:p w14:paraId="19392C0D" w14:textId="6C06A654" w:rsidR="00067FE9" w:rsidRPr="00BD7680" w:rsidRDefault="00000000">
      <w:pPr>
        <w:pStyle w:val="Listepuces"/>
        <w:rPr>
          <w:b/>
          <w:bCs/>
        </w:rPr>
      </w:pPr>
      <w:r w:rsidRPr="00BD7680">
        <w:rPr>
          <w:b/>
          <w:bCs/>
        </w:rPr>
        <w:lastRenderedPageBreak/>
        <w:t xml:space="preserve">Comment 2: </w:t>
      </w:r>
      <w:r w:rsidR="005B0D5E" w:rsidRPr="005B0D5E">
        <w:rPr>
          <w:b/>
          <w:bCs/>
        </w:rPr>
        <w:t>Section 2.1.1: Justify the choice of one-week acclimation at 17°C and PAR of 150. How representative are these conditions of natural environmental variability?</w:t>
      </w:r>
    </w:p>
    <w:p w14:paraId="15D62AAC" w14:textId="61A8B91C" w:rsidR="00594B40" w:rsidRDefault="00594B40" w:rsidP="00594B40">
      <w:r w:rsidRPr="00594B40">
        <w:t xml:space="preserve">The one-week acclimation period was chosen to allow </w:t>
      </w:r>
      <w:r w:rsidRPr="00B27CD3">
        <w:rPr>
          <w:i/>
          <w:iCs/>
        </w:rPr>
        <w:t xml:space="preserve">Zostera </w:t>
      </w:r>
      <w:proofErr w:type="spellStart"/>
      <w:r w:rsidR="00EA3E11" w:rsidRPr="00B27CD3">
        <w:rPr>
          <w:i/>
          <w:iCs/>
        </w:rPr>
        <w:t>noltii</w:t>
      </w:r>
      <w:proofErr w:type="spellEnd"/>
      <w:r w:rsidRPr="00594B40">
        <w:t xml:space="preserve"> samples to recover from potential stress related to sampling and transplantation while ensuring that their physiological state stabilized before the start of the experiment. Extending the acclimation beyond one week was avoided for two reasons: first, to prevent excessive spacing between experimental runs, and second, because environmental conditions in late summer change rapidly in this region. Conducting all runs within a narrow time window was essential to ensure comparability, as delaying the experiment would have coincided with the onset of the natural seasonal decline of </w:t>
      </w:r>
      <w:r w:rsidRPr="00594B40">
        <w:rPr>
          <w:i/>
          <w:iCs/>
        </w:rPr>
        <w:t xml:space="preserve">Z. </w:t>
      </w:r>
      <w:proofErr w:type="spellStart"/>
      <w:r w:rsidR="00EA3E11">
        <w:rPr>
          <w:i/>
          <w:iCs/>
        </w:rPr>
        <w:t>noltii</w:t>
      </w:r>
      <w:proofErr w:type="spellEnd"/>
      <w:r w:rsidRPr="00594B40">
        <w:t xml:space="preserve"> in September. </w:t>
      </w:r>
      <w:r>
        <w:t xml:space="preserve">The temperature of 17 °C corresponds to the average in situ water temperature at high tide recorded during the sampling period in </w:t>
      </w:r>
      <w:proofErr w:type="spellStart"/>
      <w:r>
        <w:t>Bourgneuf</w:t>
      </w:r>
      <w:proofErr w:type="spellEnd"/>
      <w:r>
        <w:t xml:space="preserve"> Bay (France), thereby ensuring that acclimation occurred under representative seasonal conditions.</w:t>
      </w:r>
    </w:p>
    <w:p w14:paraId="49023EBE" w14:textId="05519D69" w:rsidR="00594B40" w:rsidRDefault="00594B40" w:rsidP="00594B40">
      <w:r>
        <w:t xml:space="preserve">The photosynthetically active radiation (PAR) of 150 µmol m⁻² s⁻¹ was selected to match the maximum light intensity achievable within the intertidal chamber system used for the experiment. Because these chambers have an inherent technical limitation in light transmission, maintaining the same PAR during acclimation prevented an abrupt reduction in light exposure when transferring samples into the chambers. This approach ensured that any subsequent changes in seagrass reflectance could be attributed to heat stress rather than to </w:t>
      </w:r>
      <w:proofErr w:type="spellStart"/>
      <w:r>
        <w:t>photoadaptive</w:t>
      </w:r>
      <w:proofErr w:type="spellEnd"/>
      <w:r>
        <w:t xml:space="preserve"> responses to lower irradiance.</w:t>
      </w:r>
    </w:p>
    <w:p w14:paraId="415BB694" w14:textId="611C4A34" w:rsidR="00067FE9" w:rsidRDefault="00594B40" w:rsidP="00594B40">
      <w:r>
        <w:t xml:space="preserve">These justifications have been </w:t>
      </w:r>
      <w:r w:rsidRPr="00172B5F">
        <w:t xml:space="preserve">added to Section 2.1.1 </w:t>
      </w:r>
      <w:r w:rsidR="00FF2058" w:rsidRPr="00172B5F">
        <w:t xml:space="preserve">(Lines 144-149) </w:t>
      </w:r>
      <w:r w:rsidRPr="00172B5F">
        <w:t>of the revised</w:t>
      </w:r>
      <w:r>
        <w:t xml:space="preserve"> manuscript to clarify that the acclimation conditions were both environmentally representative and specifically designed to match the experimental setup, minimizing artificial stress effects.</w:t>
      </w:r>
      <w:r>
        <w:br/>
      </w:r>
    </w:p>
    <w:p w14:paraId="76782D05" w14:textId="3989F14E" w:rsidR="00067FE9" w:rsidRPr="00BD7680" w:rsidRDefault="00000000">
      <w:pPr>
        <w:pStyle w:val="Listepuces"/>
        <w:rPr>
          <w:b/>
          <w:bCs/>
        </w:rPr>
      </w:pPr>
      <w:r w:rsidRPr="00BD7680">
        <w:rPr>
          <w:b/>
          <w:bCs/>
        </w:rPr>
        <w:t xml:space="preserve">Comment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35150862" w14:textId="5FC5D55F" w:rsidR="00A03D2B" w:rsidRDefault="00A03D2B" w:rsidP="00A03D2B">
      <w:r>
        <w:t>The temperature profile of the treatment scenario was established to replicate the real heatwave event that occurred in Quiberon (South Brittany, France) in September 2021, which is also analyzed in the satellite part of this study (</w:t>
      </w:r>
      <w:r w:rsidRPr="00172B5F">
        <w:t xml:space="preserve">see lines </w:t>
      </w:r>
      <w:r w:rsidR="00172B5F" w:rsidRPr="00172B5F">
        <w:t>176 - 183</w:t>
      </w:r>
      <w:r>
        <w:t>). During this natural event, both air and water temperatures exhibited a gradual, rather than abrupt, rise over several days. The incremental daily increase of 0.5 °C in water temperature and 1 °C in air temperature was therefore implemented to mimic this progressive thermal anomaly, ensuring that the laboratory experiment reproduced the temporal dynamics of the field event as realistically as possible. This approach allowed us to expose seagrasses to a realistic cumulative heat load rather than a sudden thermal shock.</w:t>
      </w:r>
    </w:p>
    <w:p w14:paraId="7B64102D" w14:textId="50D46907" w:rsidR="00067FE9" w:rsidRPr="00EF5306" w:rsidRDefault="00A03D2B" w:rsidP="00A03D2B">
      <w:pPr>
        <w:rPr>
          <w:b/>
          <w:bCs/>
        </w:rPr>
      </w:pPr>
      <w:r>
        <w:lastRenderedPageBreak/>
        <w:t xml:space="preserve">Regarding the duration of heat exposure, the experiment was intentionally limited to three days. Extending the experiment further was deemed unnecessary, as by day 3 all treatment samples exhibited visible darkening and stable reflectance values, indicating that the physiological and optical responses to heat stress had reached a plateau. Prolonging the exposure would therefore not have provided additional insight into the initial stress response phase targeted by this study. </w:t>
      </w:r>
      <w:r>
        <w:br/>
      </w:r>
    </w:p>
    <w:p w14:paraId="259E16CF" w14:textId="77777777" w:rsidR="00C967D3" w:rsidRPr="00C967D3" w:rsidRDefault="00000000" w:rsidP="00C967D3">
      <w:pPr>
        <w:pStyle w:val="Listepuces"/>
      </w:pPr>
      <w:r w:rsidRPr="00EF5306">
        <w:rPr>
          <w:b/>
          <w:bCs/>
        </w:rPr>
        <w:t xml:space="preserve">Comment 4: </w:t>
      </w:r>
      <w:r w:rsidR="00397007" w:rsidRPr="00397007">
        <w:rPr>
          <w:b/>
          <w:bCs/>
        </w:rPr>
        <w:t xml:space="preserve">Section 2.1.3: Provide explicit reasoning for selecting a 5 nm </w:t>
      </w:r>
      <w:proofErr w:type="spellStart"/>
      <w:r w:rsidR="00397007" w:rsidRPr="00397007">
        <w:rPr>
          <w:b/>
          <w:bCs/>
        </w:rPr>
        <w:t>Savitzky</w:t>
      </w:r>
      <w:proofErr w:type="spellEnd"/>
      <w:r w:rsidR="00397007" w:rsidRPr="00397007">
        <w:rPr>
          <w:b/>
          <w:bCs/>
        </w:rPr>
        <w:t>-Golay smoothing window. Why was this particular window size optimal for the spectral analysis?</w:t>
      </w:r>
    </w:p>
    <w:p w14:paraId="51D80F8C" w14:textId="77777777" w:rsidR="00C967D3" w:rsidRDefault="00C967D3" w:rsidP="00C967D3">
      <w:pPr>
        <w:pStyle w:val="Listepuces"/>
        <w:numPr>
          <w:ilvl w:val="0"/>
          <w:numId w:val="0"/>
        </w:numPr>
      </w:pPr>
    </w:p>
    <w:p w14:paraId="2995B69E" w14:textId="24A10F63" w:rsidR="00C967D3" w:rsidRDefault="00C967D3" w:rsidP="00C967D3">
      <w:pPr>
        <w:pStyle w:val="Listepuces"/>
        <w:numPr>
          <w:ilvl w:val="0"/>
          <w:numId w:val="0"/>
        </w:numPr>
      </w:pPr>
      <w:r>
        <w:t xml:space="preserve">The use of a </w:t>
      </w:r>
      <w:proofErr w:type="spellStart"/>
      <w:r>
        <w:t>Savitzky</w:t>
      </w:r>
      <w:proofErr w:type="spellEnd"/>
      <w:r>
        <w:t>–Golay filter was essential for performing second-derivative spectral analysis, which is highly sensitive to small fluctuations in reflectance values. This filtering step was therefore necessary to remove spurious slope changes caused by instrumental noise and to ensure that derivative peaks reflected real optical features rather than noise artefacts.</w:t>
      </w:r>
    </w:p>
    <w:p w14:paraId="0D2DF3A6" w14:textId="5B7CE4C3" w:rsidR="00067FE9" w:rsidRDefault="00C967D3" w:rsidP="00C967D3">
      <w:r>
        <w:t>The 5 nm moving window was selected iteratively after testing several window sizes ranging from 3 to 15 nm. The 5 nm window provided the optimal balance between noise reduction and preservation of key spectral features. Larger windows tended to over-smooth the data and blur these diagnostic features, while smaller ones failed to fully suppress high-frequency noise.</w:t>
      </w:r>
    </w:p>
    <w:p w14:paraId="31234082" w14:textId="267960CC" w:rsidR="00B27CD3" w:rsidRDefault="00B27CD3" w:rsidP="00C967D3">
      <w:r w:rsidRPr="00172B5F">
        <w:t xml:space="preserve">See lines </w:t>
      </w:r>
      <w:r w:rsidR="00172B5F" w:rsidRPr="00172B5F">
        <w:t>200 - 202</w:t>
      </w:r>
    </w:p>
    <w:p w14:paraId="36E8F289" w14:textId="1F94FB5E" w:rsidR="00067FE9" w:rsidRPr="00EF5306" w:rsidRDefault="00000000">
      <w:pPr>
        <w:pStyle w:val="Listepuces"/>
        <w:rPr>
          <w:b/>
          <w:bCs/>
        </w:rPr>
      </w:pPr>
      <w:r w:rsidRPr="00EF5306">
        <w:rPr>
          <w:b/>
          <w:bCs/>
        </w:rPr>
        <w:t xml:space="preserve">Comment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3B324B93" w14:textId="77777777" w:rsidR="005331B8" w:rsidRDefault="005331B8" w:rsidP="005331B8">
      <w:r>
        <w:t>The wavelengths used in the SHSI were selected based on a combination of empirical evidence, theoretical pigment absorption characteristics, and satellite compatibility. Specifically:</w:t>
      </w:r>
    </w:p>
    <w:p w14:paraId="23F2842C" w14:textId="77777777" w:rsidR="005331B8" w:rsidRDefault="005331B8" w:rsidP="005331B8">
      <w:pPr>
        <w:pStyle w:val="Paragraphedeliste"/>
        <w:numPr>
          <w:ilvl w:val="0"/>
          <w:numId w:val="13"/>
        </w:numPr>
      </w:pPr>
      <w:r>
        <w:t>The red-edge band at 740 nm was chosen because both experimental and satellite spectra consistently showed that the largest divergence between impacted and unimpacted seagrass occurs in this region (see Figure 6). This wavelength corresponds to the transition zone between chlorophyll absorption and near-infrared scattering, making it highly sensitive to pigment degradation and stress-induced structural changes.</w:t>
      </w:r>
    </w:p>
    <w:p w14:paraId="64EF0000" w14:textId="77777777" w:rsidR="005331B8" w:rsidRDefault="005331B8" w:rsidP="005331B8">
      <w:pPr>
        <w:pStyle w:val="Paragraphedeliste"/>
        <w:numPr>
          <w:ilvl w:val="0"/>
          <w:numId w:val="13"/>
        </w:numPr>
      </w:pPr>
      <w:r>
        <w:t xml:space="preserve">The blue (490 nm) and near-infrared (865 nm) wavelengths were selected as the anchor points for the baseline. Their choice was guided by both empirical observations and theoretical considerations: at 490 nm, impacted and non-impacted seagrass exhibit very similar reflectance, providing a stable baseline reference, </w:t>
      </w:r>
      <w:r>
        <w:lastRenderedPageBreak/>
        <w:t>whereas beyond 910 nm, the two spectra converge again, making 865 nm the optimal endpoint. This configuration allows the index to capture deviations in both the green–yellow and red-edge spectral domains most affected by heat-induced pigment loss.</w:t>
      </w:r>
    </w:p>
    <w:p w14:paraId="582FFFCB" w14:textId="32E060D1" w:rsidR="005331B8" w:rsidRDefault="005331B8" w:rsidP="005331B8">
      <w:pPr>
        <w:pStyle w:val="Paragraphedeliste"/>
        <w:numPr>
          <w:ilvl w:val="0"/>
          <w:numId w:val="13"/>
        </w:numPr>
      </w:pPr>
      <w:r>
        <w:t>From a practical standpoint, these wavelengths correspond to Sentinel-2 bands (B2, B5, and B8a), ensuring that the SHSI can be computed from operational multispectral satellite data for large-scale applications.</w:t>
      </w:r>
    </w:p>
    <w:p w14:paraId="5B1B18D9" w14:textId="77777777" w:rsidR="005331B8" w:rsidRDefault="005331B8" w:rsidP="005331B8">
      <w:r w:rsidRPr="005331B8">
        <w:t>Although no formal sensitivity analysis was performed within this study, the selection of these wavelengths was informed by a visual interpretation of the spectral signatures shown in Figure 6, which clearly indicate where stress-induced spectral changes are most pronounced. Moreover, Figure 7 demonstrates that SHSI is the most sensitive of all tested indices (including NDVI, GLI, and the second derivative at 665 nm) in detecting heat-induced spectral changes, supporting the robustness of this band configuration.</w:t>
      </w:r>
      <w:r>
        <w:t xml:space="preserve"> </w:t>
      </w:r>
    </w:p>
    <w:p w14:paraId="21AD3355" w14:textId="392F3519" w:rsidR="00067FE9" w:rsidRDefault="005331B8" w:rsidP="005331B8">
      <w:r>
        <w:t>The robustness of this band selection was further supported by the validation analysis conducted in the newly added Annex B, where SHSI successfully detected heat-stressed seagrass in an independent site (Ria de Aveiro) with an overall accuracy of 0.92 and a Cohen’s κ of 0.84.</w:t>
      </w:r>
      <w:r>
        <w:br/>
      </w:r>
    </w:p>
    <w:p w14:paraId="0C971B40" w14:textId="764E734D" w:rsidR="00067FE9" w:rsidRPr="00EF5306" w:rsidRDefault="00000000">
      <w:pPr>
        <w:pStyle w:val="Listepuces"/>
        <w:rPr>
          <w:b/>
          <w:bCs/>
        </w:rPr>
      </w:pPr>
      <w:r w:rsidRPr="00EF5306">
        <w:rPr>
          <w:b/>
          <w:bCs/>
        </w:rPr>
        <w:t xml:space="preserve">Comment 6: </w:t>
      </w:r>
      <w:r w:rsidR="00D96595" w:rsidRPr="00D96595">
        <w:rPr>
          <w:b/>
          <w:bCs/>
        </w:rPr>
        <w:t>Section 2.2.1 Temperature data and HW detection: Clarify both the temporal and spatial resolutions of the sea surface temperature (SST) data utilized in this study.</w:t>
      </w:r>
    </w:p>
    <w:p w14:paraId="1BFD11C9" w14:textId="7503E0FE" w:rsidR="00067FE9" w:rsidRDefault="00CF1559">
      <w:r w:rsidRPr="00CF1559">
        <w:t>The text in Section 2.2.1 has been updated to specify that the SST product used from CMEMS provides daily temporal resolution and a spatial resolution of approximately 0.05° × 0.05° (≈5.6 × 3.8 km at 47° N)</w:t>
      </w:r>
      <w:r w:rsidRPr="00172B5F">
        <w:t>.</w:t>
      </w:r>
      <w:r w:rsidR="00B27CD3" w:rsidRPr="00172B5F">
        <w:t xml:space="preserve"> Lines </w:t>
      </w:r>
      <w:r w:rsidR="00172B5F" w:rsidRPr="00172B5F">
        <w:t>266 - 268</w:t>
      </w:r>
    </w:p>
    <w:p w14:paraId="56A013F3" w14:textId="537FC409" w:rsidR="00067FE9" w:rsidRPr="00BD7680" w:rsidRDefault="00000000">
      <w:pPr>
        <w:pStyle w:val="Listepuces"/>
        <w:rPr>
          <w:b/>
          <w:bCs/>
        </w:rPr>
      </w:pPr>
      <w:bookmarkStart w:id="1" w:name="_Hlk210914320"/>
      <w:r w:rsidRPr="00BD7680">
        <w:rPr>
          <w:b/>
          <w:bCs/>
        </w:rPr>
        <w:t>Comment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(Level-2 products) were validated or assessed for accuracy, as this can significantly impact spectral indices used.</w:t>
      </w:r>
    </w:p>
    <w:bookmarkEnd w:id="1"/>
    <w:p w14:paraId="4B161C7F" w14:textId="7EB3E45E" w:rsidR="005A3CF5" w:rsidRDefault="005A3CF5" w:rsidP="005A3CF5">
      <w:r>
        <w:t>In this study, no independent validation of the atmospheric correction was performed. However, all Sentinel-2 images used correspond to Level-2A surface reflectance products generated with Sen2Cor, the operational atmospheric correction processor routinely distributed by the European Space Agency (ESA). While Sen2Cor is known to have limitations for subtidal or optically deep water applications, several studies have demonstrated its strong performance in intertidal and shallow coastal environments, where reflectance is dominated by exposed or partially emerged surfaces rather than by water-column effects (</w:t>
      </w:r>
      <w:proofErr w:type="spellStart"/>
      <w:r w:rsidR="008D17B4">
        <w:t>Zoffoli</w:t>
      </w:r>
      <w:proofErr w:type="spellEnd"/>
      <w:r w:rsidR="008D17B4">
        <w:t xml:space="preserve"> et al., 2020</w:t>
      </w:r>
      <w:r>
        <w:t>).</w:t>
      </w:r>
    </w:p>
    <w:p w14:paraId="2A501565" w14:textId="54BC2935" w:rsidR="005A3CF5" w:rsidRDefault="005A3CF5" w:rsidP="005A3CF5">
      <w:r>
        <w:t xml:space="preserve">For this reason, Sen2Cor is widely adopted in remote sensing studies of intertidal seagrasses and macroalgae (e.g., Davies et al., 2024a; </w:t>
      </w:r>
      <w:r w:rsidR="008D17B4">
        <w:t>Oiry et al. 2021</w:t>
      </w:r>
      <w:r w:rsidR="000F597B">
        <w:t>; Haro et al. 2022</w:t>
      </w:r>
      <w:r>
        <w:t xml:space="preserve">), and has been shown to provide reliable surface reflectance estimates. Consequently, using this </w:t>
      </w:r>
      <w:r>
        <w:lastRenderedPageBreak/>
        <w:t>standardized correction ensures both methodological consistency and comparability with existing literature on intertidal ecosystem monitoring.</w:t>
      </w:r>
    </w:p>
    <w:p w14:paraId="2CECD6BE" w14:textId="5A652C3C" w:rsidR="00067FE9" w:rsidRPr="00BD7680" w:rsidRDefault="00000000">
      <w:pPr>
        <w:pStyle w:val="Listepuces"/>
        <w:rPr>
          <w:b/>
          <w:bCs/>
        </w:rPr>
      </w:pPr>
      <w:r w:rsidRPr="00BD7680">
        <w:rPr>
          <w:b/>
          <w:bCs/>
        </w:rPr>
        <w:t xml:space="preserve">Comment 8: </w:t>
      </w:r>
      <w:r w:rsidR="00D96595" w:rsidRPr="00D96595">
        <w:rPr>
          <w:b/>
          <w:bCs/>
        </w:rPr>
        <w:t>Statistics, provide clearer justifications for selecting GLMMs and GAMs. Discuss potential autocorrelation or spatial dependency concerns explicitly and how they were managed.</w:t>
      </w:r>
    </w:p>
    <w:p w14:paraId="1ED6AFB0" w14:textId="58A25310" w:rsidR="000F597B" w:rsidRPr="00172B5F" w:rsidRDefault="000F597B" w:rsidP="000F597B">
      <w:r w:rsidRPr="00172B5F">
        <w:t xml:space="preserve">Generalized Linear Mixed Models (GLMMs) were chosen to analyze the experimental data because they provide an appropriate framework for handling hierarchical and repeated-measures designs. Specifically, the experimental setup involved multiple time steps nested within independent experimental runs, with repeated observations taken on the same samples across days. Including Run and Timestep within Run as random effects allowed us to account for this non-independence of observations and avoid </w:t>
      </w:r>
      <w:proofErr w:type="spellStart"/>
      <w:r w:rsidRPr="00172B5F">
        <w:t>pseudoreplication</w:t>
      </w:r>
      <w:proofErr w:type="spellEnd"/>
      <w:r w:rsidRPr="00172B5F">
        <w:t>, while estimating treatment effects on reflectance indices robustly. The Bayesian implementation of GLMMs further provided reliable uncertainty estimates and model convergence diagnostics (Annex C).</w:t>
      </w:r>
    </w:p>
    <w:p w14:paraId="10B9EA72" w14:textId="66596946" w:rsidR="000F597B" w:rsidRPr="00172B5F" w:rsidRDefault="000F597B" w:rsidP="000F597B">
      <w:r w:rsidRPr="00172B5F">
        <w:t>Generalized Additive Models (GAMs) were used to explore the nonlinear relationship between emersion time and SHSI at the landscape scale. The GAM framework, using a penalized spline smoother, was selected to flexibly capture the gradual and threshold-like responses observed in the SHSI-emersion relationship (Figure 12).</w:t>
      </w:r>
    </w:p>
    <w:p w14:paraId="14F6F870" w14:textId="4763BEFA" w:rsidR="00067FE9" w:rsidRDefault="000F597B" w:rsidP="000F597B">
      <w:r w:rsidRPr="00172B5F">
        <w:t>Concerning autocorrelation and spatial dependency, the spatial resolution of Sentinel-2 data (10 m) and the high number of independent pixels (&gt;8,000) ensured adequate spatial representation of the meadow. To limit spatial dependency, we restricted the GAM analysis to pixels located within homogeneous vegetation zones (based on field quadrat classification) and verified that residuals showed no large-scale spatial pattern. Temporal autocorrelation was not a concern in this case, as each time point corresponded to independent satellite acquisitions.</w:t>
      </w:r>
      <w:r>
        <w:br/>
      </w:r>
    </w:p>
    <w:p w14:paraId="61A5AA1E" w14:textId="4F3519CF" w:rsidR="00067FE9" w:rsidRPr="00BD7680" w:rsidRDefault="00000000">
      <w:pPr>
        <w:pStyle w:val="Listepuces"/>
        <w:rPr>
          <w:b/>
          <w:bCs/>
        </w:rPr>
      </w:pPr>
      <w:r w:rsidRPr="00BD7680">
        <w:rPr>
          <w:b/>
          <w:bCs/>
        </w:rPr>
        <w:t xml:space="preserve">Comment 9: </w:t>
      </w:r>
      <w:r w:rsidR="009A0DAA" w:rsidRPr="009A0DAA">
        <w:rPr>
          <w:b/>
          <w:bCs/>
        </w:rPr>
        <w:t>I recommend to include a brief analysis on the sensitivity and specificity of SHSI compared to existing indices like NDVI and GLI. Provide statistical support for the claim of SHSI's superior sensitivity.</w:t>
      </w:r>
    </w:p>
    <w:p w14:paraId="2B7C1B0A" w14:textId="63EB7BB1" w:rsidR="00067FE9" w:rsidRDefault="006256AF">
      <w:r w:rsidRPr="006256AF">
        <w:t>The superior sensitivity of SHSI to heat-induced reflectance changes was quantitatively supported by the GLMM results presented in Table 2 (Annex C). The slope coefficient of SHSI (Estimate = 1.00 ± 0.10) was the highest among all indices tested, while NDVI and GLI showed smaller and negative slopes (–0.14 ± 0.02 and –0.26 ± 0.03, respectively). This indicates that SHSI captured the strongest and most consistent spectral response to heatwave exposure over time. Moreover, Figure 7 clearly illustrates that SHSI exhibited the largest deviation between control and treatment groups, confirming its higher sensitivity relative to NDVI and GLI.</w:t>
      </w:r>
    </w:p>
    <w:p w14:paraId="532615D0" w14:textId="4970F3F0" w:rsidR="00067FE9" w:rsidRPr="00BD7680" w:rsidRDefault="00000000">
      <w:pPr>
        <w:pStyle w:val="Listepuces"/>
        <w:rPr>
          <w:b/>
          <w:bCs/>
        </w:rPr>
      </w:pPr>
      <w:r w:rsidRPr="00BD7680">
        <w:rPr>
          <w:b/>
          <w:bCs/>
        </w:rPr>
        <w:lastRenderedPageBreak/>
        <w:t xml:space="preserve">Comment 10: </w:t>
      </w:r>
      <w:r w:rsidR="006A145D" w:rsidRPr="006A145D">
        <w:rPr>
          <w:b/>
          <w:bCs/>
        </w:rPr>
        <w:t>Section 3.2.2: Clarify how pixel-based satellite analyses accounted for mixed pixels (e.g., sediment vs. seagrass) and potential biases arising from spatial resolution limitations.</w:t>
      </w:r>
    </w:p>
    <w:p w14:paraId="535CA1A8" w14:textId="000A5C11" w:rsidR="00E67467" w:rsidRDefault="00E67467" w:rsidP="00E67467">
      <w:r>
        <w:t>Spectral mixing can indeed affect the response of the SHSI when a pixel contains vegetation belonging to different functional or taxonomic groups. For instance, we do not expect saltmarsh vegetation, Phaeophyceae (brown algae), or Chlorophyceae (green algae) to exhibit the same spectral or physiological response to heat stress as seagrasses. In such cases, the sensitivity of SHSI to seagrass-specific heat stress would be reduced due to the blending of mixed spectral signals within a single pixel.</w:t>
      </w:r>
    </w:p>
    <w:p w14:paraId="1487DC05" w14:textId="287AA549" w:rsidR="00E67467" w:rsidRDefault="00E67467" w:rsidP="00E67467">
      <w:r>
        <w:t>To ensure that this issue occurred only rarely in the present study, field campaigns were conducted prior to the satellite analyses at both study sites (Quiberon and Ria de Aveiro). These field surveys provided detailed in situ classification of vegetation types, allowing us to identify areas of homogeneous seagrass cover and minimize intra-pixel vegetation mixing.</w:t>
      </w:r>
    </w:p>
    <w:p w14:paraId="771FBBD4" w14:textId="3B106BF5" w:rsidR="00067FE9" w:rsidRDefault="00E67467" w:rsidP="00E67467">
      <w:r>
        <w:t>In addition, meadow pixels were selected using the open-source algorithm ICE-CREAMS (Davies et al., 2024), which was specifically developed to discriminate among five taxonomic classes of intertidal habitats, including seagrasses, brown and green macroalgae, and saltmarsh vegetation. This approach ensured that only pixels confidently classified as seagrass were retained for SHSI computation and analysis.</w:t>
      </w:r>
      <w:r>
        <w:br/>
      </w:r>
    </w:p>
    <w:p w14:paraId="1775AA1B" w14:textId="63501AE5" w:rsidR="00067FE9" w:rsidRPr="00BD7680" w:rsidRDefault="00000000">
      <w:pPr>
        <w:pStyle w:val="Listepuces"/>
        <w:rPr>
          <w:b/>
          <w:bCs/>
        </w:rPr>
      </w:pPr>
      <w:r w:rsidRPr="00BD7680">
        <w:rPr>
          <w:b/>
          <w:bCs/>
        </w:rPr>
        <w:t>Comment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Section 3.2.2: Expand on the ecological interpretation of observed SHSI recovery one month post-heatwave. Was this primarily due to regrowth, leaf replacement, or pigment restoration?</w:t>
      </w:r>
    </w:p>
    <w:p w14:paraId="7398389A" w14:textId="70BD9CDE" w:rsidR="00E67467" w:rsidRDefault="00E67467" w:rsidP="00E67467">
      <w:r>
        <w:t xml:space="preserve">This aspect </w:t>
      </w:r>
      <w:r w:rsidR="00B27CD3">
        <w:t>has been expanded</w:t>
      </w:r>
      <w:r>
        <w:t xml:space="preserve"> in Section 4.2 of the manuscript. In brief, the recovery of SHSI values to pre-disturbance levels likely reflects the intrinsic resilience and rapid turnover capacity of </w:t>
      </w:r>
      <w:r w:rsidRPr="00E67467">
        <w:rPr>
          <w:i/>
          <w:iCs/>
        </w:rPr>
        <w:t xml:space="preserve">Zostera </w:t>
      </w:r>
      <w:proofErr w:type="spellStart"/>
      <w:r w:rsidR="00EA3E11">
        <w:rPr>
          <w:i/>
          <w:iCs/>
        </w:rPr>
        <w:t>noltii</w:t>
      </w:r>
      <w:proofErr w:type="spellEnd"/>
      <w:r>
        <w:t xml:space="preserve">. As a fast-growing, colonizing species, </w:t>
      </w:r>
      <w:r w:rsidRPr="00E67467">
        <w:rPr>
          <w:i/>
          <w:iCs/>
        </w:rPr>
        <w:t xml:space="preserve">Z. </w:t>
      </w:r>
      <w:proofErr w:type="spellStart"/>
      <w:r w:rsidR="00EA3E11">
        <w:rPr>
          <w:i/>
          <w:iCs/>
        </w:rPr>
        <w:t>noltii</w:t>
      </w:r>
      <w:proofErr w:type="spellEnd"/>
      <w:r>
        <w:t xml:space="preserve"> exhibits high leaf turnover rates, rapid rhizome elongation, and efficient regrowth from belowground reserves (Borum et al., 2004; Duarte, 1991; Roca et al., 2016). The observed return to greener spectral signatures in mid- and lower-intertidal zones therefore most plausibly results from new leaf production sustained by the energy stored in rhizomes that survived the thermal stress (</w:t>
      </w:r>
      <w:proofErr w:type="spellStart"/>
      <w:r>
        <w:t>Hemminga</w:t>
      </w:r>
      <w:proofErr w:type="spellEnd"/>
      <w:r>
        <w:t>, 1998).</w:t>
      </w:r>
    </w:p>
    <w:p w14:paraId="180B8B7A" w14:textId="73FD2180" w:rsidR="00067FE9" w:rsidRDefault="00E67467" w:rsidP="00E67467">
      <w:r>
        <w:t xml:space="preserve">This process illustrates the resilience capacity of intertidal </w:t>
      </w:r>
      <w:r w:rsidRPr="00E67467">
        <w:rPr>
          <w:i/>
          <w:iCs/>
        </w:rPr>
        <w:t xml:space="preserve">Z. </w:t>
      </w:r>
      <w:proofErr w:type="spellStart"/>
      <w:r w:rsidR="00EA3E11">
        <w:rPr>
          <w:i/>
          <w:iCs/>
        </w:rPr>
        <w:t>noltii</w:t>
      </w:r>
      <w:proofErr w:type="spellEnd"/>
      <w:r>
        <w:t xml:space="preserve"> meadows, which are adapted to frequent exposure and environmental variability. </w:t>
      </w:r>
    </w:p>
    <w:p w14:paraId="3AB01484" w14:textId="49009A0D" w:rsidR="00B27CD3" w:rsidRDefault="00B27CD3" w:rsidP="00E67467">
      <w:r w:rsidRPr="00172B5F">
        <w:t xml:space="preserve">Lines </w:t>
      </w:r>
      <w:r w:rsidR="00172B5F" w:rsidRPr="00172B5F">
        <w:t>479 - 487</w:t>
      </w:r>
    </w:p>
    <w:p w14:paraId="0DF28D9B" w14:textId="6206E4B5" w:rsidR="00067FE9" w:rsidRPr="00BD7680" w:rsidRDefault="00000000">
      <w:pPr>
        <w:pStyle w:val="Listepuces"/>
        <w:rPr>
          <w:b/>
          <w:bCs/>
        </w:rPr>
      </w:pPr>
      <w:r w:rsidRPr="00BD7680">
        <w:rPr>
          <w:b/>
          <w:bCs/>
        </w:rPr>
        <w:t xml:space="preserve">Comment 12: </w:t>
      </w:r>
      <w:r w:rsidR="00F01C0C" w:rsidRPr="00F01C0C">
        <w:rPr>
          <w:b/>
          <w:bCs/>
        </w:rPr>
        <w:t>Section 4 Discussion: Recommend to enhance the ecological discussion in Section 4.3 by addressing potential interactive effects between heatwaves and other common stressors such as eutrophication, grazing, and tidal dynamics.</w:t>
      </w:r>
    </w:p>
    <w:p w14:paraId="59EC90E7" w14:textId="77777777" w:rsidR="00C93AAB" w:rsidRDefault="00C93AAB" w:rsidP="00C93AAB">
      <w:pPr>
        <w:pStyle w:val="Listepuces"/>
        <w:numPr>
          <w:ilvl w:val="0"/>
          <w:numId w:val="0"/>
        </w:numPr>
      </w:pPr>
    </w:p>
    <w:p w14:paraId="39A61D90" w14:textId="77777777" w:rsidR="00C93AAB" w:rsidRPr="00BD03ED" w:rsidRDefault="00C93AAB" w:rsidP="00C93AAB">
      <w:pPr>
        <w:pStyle w:val="Listepuces"/>
        <w:numPr>
          <w:ilvl w:val="0"/>
          <w:numId w:val="0"/>
        </w:numPr>
      </w:pPr>
      <w:r w:rsidRPr="00C93AAB">
        <w:t xml:space="preserve">We thank the reviewer for this helpful suggestion. The text in Section 4.3 has been expanded to discuss the potential interactive effects between heatwaves and other local stressors, including eutrophication, grazing pressure, and tidal dynamics. Recent studies (e.g., Dias et al., 2025; Lawrence &amp; Bolton, 2023; Smulders et al., 2025) have been cited to </w:t>
      </w:r>
      <w:r w:rsidRPr="00BD03ED">
        <w:t>support these interactions and their influence on seagrass resilience and recovery.</w:t>
      </w:r>
    </w:p>
    <w:p w14:paraId="4F06893A" w14:textId="455F2F7D" w:rsidR="00B27CD3" w:rsidRPr="00BD03ED" w:rsidRDefault="00B27CD3" w:rsidP="00C93AAB">
      <w:pPr>
        <w:pStyle w:val="Listepuces"/>
        <w:numPr>
          <w:ilvl w:val="0"/>
          <w:numId w:val="0"/>
        </w:numPr>
      </w:pPr>
      <w:r w:rsidRPr="00BD03ED">
        <w:t xml:space="preserve">Lines </w:t>
      </w:r>
      <w:r w:rsidR="000A40BA" w:rsidRPr="00BD03ED">
        <w:t>531 - 545</w:t>
      </w:r>
    </w:p>
    <w:p w14:paraId="192C4DF8" w14:textId="77777777" w:rsidR="00C93AAB" w:rsidRPr="00BD03ED" w:rsidRDefault="00C93AAB" w:rsidP="00C93AAB">
      <w:pPr>
        <w:pStyle w:val="Listepuces"/>
        <w:numPr>
          <w:ilvl w:val="0"/>
          <w:numId w:val="0"/>
        </w:numPr>
      </w:pPr>
    </w:p>
    <w:p w14:paraId="071D659B" w14:textId="34C8DF53" w:rsidR="00067FE9" w:rsidRPr="00BD03ED" w:rsidRDefault="00000000" w:rsidP="00C93AAB">
      <w:pPr>
        <w:pStyle w:val="Listepuces"/>
        <w:numPr>
          <w:ilvl w:val="0"/>
          <w:numId w:val="15"/>
        </w:numPr>
        <w:ind w:left="426" w:hanging="426"/>
        <w:rPr>
          <w:b/>
          <w:bCs/>
        </w:rPr>
      </w:pPr>
      <w:r w:rsidRPr="00BD03ED">
        <w:rPr>
          <w:b/>
          <w:bCs/>
        </w:rPr>
        <w:t>Comment 13</w:t>
      </w:r>
      <w:r w:rsidR="00347E72" w:rsidRPr="00BD03ED">
        <w:rPr>
          <w:b/>
          <w:bCs/>
        </w:rPr>
        <w:t xml:space="preserve">: </w:t>
      </w:r>
      <w:r w:rsidR="0017577D" w:rsidRPr="00BD03ED">
        <w:rPr>
          <w:b/>
          <w:bCs/>
        </w:rPr>
        <w:t> I recommend to acknowledge how the Sentinel-2 spatial resolution might affect the accuracy of detecting smaller patches of heatwave-impacted seagrass, and discuss implications for conservation monitoring.</w:t>
      </w:r>
    </w:p>
    <w:p w14:paraId="0DCFA47B" w14:textId="32458299" w:rsidR="00067FE9" w:rsidRPr="00BD03ED" w:rsidRDefault="00C93AAB">
      <w:r w:rsidRPr="00BD03ED">
        <w:t>We thank the reviewer for this valuable suggestion. A new paragraph has been added at the end of Section 4.2 to acknowledge the potential limitations of Sentinel-2 spatial resolution (10 m) for detecting small or fragmented patches of heatwave-impacted seagrass. The paragraph also discusses the implications of this limitation for conservation monitoring and highlights the potential benefits of integrating higher-resolution sensors (e.g., drones, commercial satellites) with Sentinel-2 observations.</w:t>
      </w:r>
    </w:p>
    <w:p w14:paraId="3ADDDF80" w14:textId="586C646B" w:rsidR="00B27CD3" w:rsidRDefault="00B27CD3">
      <w:r w:rsidRPr="00BD03ED">
        <w:t xml:space="preserve">Lines </w:t>
      </w:r>
      <w:r w:rsidR="00BD03ED" w:rsidRPr="00BD03ED">
        <w:t>488 - 498</w:t>
      </w:r>
    </w:p>
    <w:p w14:paraId="71E5CCDC" w14:textId="10F4EA7F" w:rsidR="00067FE9" w:rsidRPr="00BD7680" w:rsidRDefault="00000000">
      <w:pPr>
        <w:pStyle w:val="Listepuces"/>
        <w:rPr>
          <w:b/>
          <w:bCs/>
        </w:rPr>
      </w:pPr>
      <w:r w:rsidRPr="00BD7680">
        <w:rPr>
          <w:b/>
          <w:bCs/>
        </w:rPr>
        <w:t>Comment 14:</w:t>
      </w:r>
      <w:r w:rsidR="006C04F5" w:rsidRPr="006C04F5">
        <w:rPr>
          <w:rFonts w:ascii="Verdana" w:hAnsi="Verdana"/>
          <w:color w:val="000033"/>
          <w:sz w:val="17"/>
          <w:szCs w:val="17"/>
          <w:shd w:val="clear" w:color="auto" w:fill="FFFFFF"/>
        </w:rPr>
        <w:t xml:space="preserve"> </w:t>
      </w:r>
      <w:r w:rsidR="006C04F5" w:rsidRPr="006C04F5">
        <w:rPr>
          <w:b/>
          <w:bCs/>
        </w:rPr>
        <w:t> Limitations: suggest to include a dedicated paragraph clearly outlining methodological limitations, potential biases introduced by laboratory conditions, and uncertainties in satellite data interpretation.</w:t>
      </w:r>
    </w:p>
    <w:p w14:paraId="17F10D62" w14:textId="2BDC6252" w:rsidR="00067FE9" w:rsidRDefault="00262336">
      <w:r w:rsidRPr="00262336">
        <w:t xml:space="preserve">We thank the reviewer for this valuable suggestion. We agree that acknowledging methodological limitations and uncertainties is essential for contextualizing our results. These aspects are already discussed throughout the manuscript: the laboratory-related constraints (e.g., limited light intensity and controlled environmental conditions) are explained in Sections 2.1.1–2.1.2, while potential uncertainties related to atmospheric correction, spatial resolution, and spectral mixing in satellite data are discussed in Sections 2.2.2 and 3.2.2. Moreover, Section 4.2 emphasizes that the SHSI is designed primarily for </w:t>
      </w:r>
      <w:r>
        <w:t>meadow</w:t>
      </w:r>
      <w:r w:rsidRPr="00262336">
        <w:t>-scale monitoring, recognizing the limitations inherent to the Sentinel-2 spatial resolution. We believe that these distributed discussions collectively provide a clear and transparent acknowledgment of the main methodological limitations and sources of uncertainty in both experimental and remote sensing components.</w:t>
      </w:r>
    </w:p>
    <w:p w14:paraId="159B2D04" w14:textId="1756B084" w:rsidR="00067FE9" w:rsidRPr="00BD7680" w:rsidRDefault="00000000">
      <w:pPr>
        <w:pStyle w:val="Listepuces"/>
        <w:rPr>
          <w:b/>
          <w:bCs/>
        </w:rPr>
      </w:pPr>
      <w:r w:rsidRPr="00BD7680">
        <w:rPr>
          <w:b/>
          <w:bCs/>
        </w:rPr>
        <w:t xml:space="preserve">Comment 15: </w:t>
      </w:r>
      <w:r w:rsidR="007E016B" w:rsidRPr="007E016B">
        <w:rPr>
          <w:b/>
          <w:bCs/>
        </w:rPr>
        <w:t>Please ensure consistent use of the terms "browning," "darkening," and "necrosis," as they imply potentially different physiological states or processes.</w:t>
      </w:r>
    </w:p>
    <w:p w14:paraId="7D1A9FB5" w14:textId="46F51512" w:rsidR="00067FE9" w:rsidRPr="00262336" w:rsidRDefault="00262336">
      <w:r w:rsidRPr="00262336">
        <w:t>The terminology has been harmonized throughout the manuscript to consistently use the term “darkening” when referring to the spectral and visual response of seagrass leaves to heat stress.</w:t>
      </w:r>
      <w:r w:rsidRPr="00262336">
        <w:br/>
      </w:r>
    </w:p>
    <w:p w14:paraId="016DD7DF" w14:textId="2660D549" w:rsidR="00067FE9" w:rsidRPr="00BD03ED" w:rsidRDefault="00000000">
      <w:pPr>
        <w:pStyle w:val="Listepuces"/>
        <w:rPr>
          <w:b/>
          <w:bCs/>
        </w:rPr>
      </w:pPr>
      <w:r w:rsidRPr="00BD03ED">
        <w:rPr>
          <w:b/>
          <w:bCs/>
        </w:rPr>
        <w:lastRenderedPageBreak/>
        <w:t xml:space="preserve">Comment 16: </w:t>
      </w:r>
      <w:r w:rsidR="003673BE" w:rsidRPr="00BD03ED">
        <w:rPr>
          <w:b/>
          <w:bCs/>
        </w:rPr>
        <w:t>Conclusion part was not well arranged. Basically, the authors should enhance contributions, limitations, underscore the scientific value added of this paper, and/or the applicability of the findings/results and future study in this session.</w:t>
      </w:r>
    </w:p>
    <w:p w14:paraId="6DFF35E3" w14:textId="5BC2B27E" w:rsidR="00067FE9" w:rsidRPr="00BD03ED" w:rsidRDefault="00816585">
      <w:r w:rsidRPr="00BD03ED">
        <w:t>We thank the reviewer for this helpful suggestion. The conclusion section has been completely restructured and expanded to better highlight the study’s main contributions, methodological advances, and scientific significance. It now explicitly discusses the limitations of both the experimental and satellite approaches, outlines the applicability of the SHSI for seagrass monitoring and management, and identifies future research directions to improve fine-scale detection and multi-species validation.</w:t>
      </w:r>
    </w:p>
    <w:p w14:paraId="4448F3A3" w14:textId="091B96F0" w:rsidR="00B27CD3" w:rsidRPr="00BD03ED" w:rsidRDefault="00B27CD3">
      <w:r w:rsidRPr="00BD03ED">
        <w:t xml:space="preserve">Lines </w:t>
      </w:r>
      <w:r w:rsidR="00BD03ED" w:rsidRPr="00BD03ED">
        <w:t>547 -  575</w:t>
      </w:r>
    </w:p>
    <w:p w14:paraId="72C3484A" w14:textId="30B83B3D" w:rsidR="00067FE9" w:rsidRPr="00BD03ED" w:rsidRDefault="00000000">
      <w:pPr>
        <w:pStyle w:val="Listepuces"/>
        <w:rPr>
          <w:b/>
          <w:bCs/>
        </w:rPr>
      </w:pPr>
      <w:r w:rsidRPr="00BD03ED">
        <w:rPr>
          <w:b/>
          <w:bCs/>
        </w:rPr>
        <w:t xml:space="preserve">Comment 17: </w:t>
      </w:r>
      <w:r w:rsidR="003E5CB4" w:rsidRPr="00BD03ED">
        <w:rPr>
          <w:b/>
          <w:bCs/>
        </w:rPr>
        <w:t>Figures and Tables: Please enhance figure clarity, particularly maps and spectral graphs, ensuring readability and interpretability.</w:t>
      </w:r>
    </w:p>
    <w:p w14:paraId="48B929CE" w14:textId="05648597" w:rsidR="00067FE9" w:rsidRPr="00BD03ED" w:rsidRDefault="00D16821">
      <w:r w:rsidRPr="00BD03ED">
        <w:t xml:space="preserve">We thank the reviewer for this helpful remark. The overall quality and readability of all figures and maps have been improved, with particular attention given to color contrast, font size, and legend clarity to enhance interpretability. If any apparent loss of resolution remains, this is likely due to file compression during the journal’s review process. All figures in their original high-resolution format have been provided to the editor and are also accessible at the following link: </w:t>
      </w:r>
      <w:r w:rsidRPr="00BD03ED">
        <w:br/>
      </w:r>
    </w:p>
    <w:p w14:paraId="3749F8F0" w14:textId="2BDFDCBD" w:rsidR="003E5CB4" w:rsidRPr="00BD03ED" w:rsidRDefault="00000000" w:rsidP="003E5CB4">
      <w:pPr>
        <w:pStyle w:val="Titre2"/>
      </w:pPr>
      <w:r w:rsidRPr="00BD03ED">
        <w:t>Reviewer #4</w:t>
      </w:r>
    </w:p>
    <w:p w14:paraId="163965E6" w14:textId="4EBD66A4" w:rsidR="003E5CB4" w:rsidRPr="00BD03ED" w:rsidRDefault="003E5CB4" w:rsidP="003E5CB4">
      <w:r w:rsidRPr="00BD03ED">
        <w:t>I congratulate the authors on their completion of a very interesting and thorough study. I have just a few questions/comments.</w:t>
      </w:r>
    </w:p>
    <w:p w14:paraId="5C29BA11" w14:textId="77777777" w:rsidR="00067FE9" w:rsidRPr="00BD03ED" w:rsidRDefault="00000000">
      <w:pPr>
        <w:pStyle w:val="Listepuces"/>
        <w:rPr>
          <w:b/>
          <w:bCs/>
        </w:rPr>
      </w:pPr>
      <w:r w:rsidRPr="00BD03ED">
        <w:rPr>
          <w:b/>
          <w:bCs/>
        </w:rPr>
        <w:t>Comment 1: Line 65: use 'climate warming' instead of 'climate change'.</w:t>
      </w:r>
    </w:p>
    <w:p w14:paraId="47D41756" w14:textId="06286244" w:rsidR="00067FE9" w:rsidRPr="00BD03ED" w:rsidRDefault="00D16821">
      <w:r w:rsidRPr="00BD03ED">
        <w:t>Done</w:t>
      </w:r>
      <w:r w:rsidRPr="00BD03ED">
        <w:br/>
      </w:r>
    </w:p>
    <w:p w14:paraId="2E902412" w14:textId="77777777" w:rsidR="00067FE9" w:rsidRPr="00BD03ED" w:rsidRDefault="00000000">
      <w:pPr>
        <w:pStyle w:val="Listepuces"/>
        <w:rPr>
          <w:b/>
          <w:bCs/>
        </w:rPr>
      </w:pPr>
      <w:r w:rsidRPr="00BD03ED">
        <w:rPr>
          <w:b/>
          <w:bCs/>
        </w:rPr>
        <w:t>Comment 2: Line 113: consider more extensive comparisons with terrestrial plant leaf reflectance (not mandatory for this manuscript).</w:t>
      </w:r>
    </w:p>
    <w:p w14:paraId="6AC49A9B" w14:textId="33A3BED3" w:rsidR="00067FE9" w:rsidRPr="00BD03ED" w:rsidRDefault="000B46F3">
      <w:r w:rsidRPr="00BD03ED">
        <w:t>We thank the reviewer for this constructive suggestion. The text has been expanded to provide a broader comparison between terrestrial and seagrass pigment composition and their potential spectral behavior under stress. Terrestrial vegetation and seagrasses share similar pigment assemblages—primarily chlorophylls, carotenoids, and xanthophylls—which are known to drive spectral responses to physiological stress in land plants (</w:t>
      </w:r>
      <w:proofErr w:type="spellStart"/>
      <w:r w:rsidRPr="00BD03ED">
        <w:t>Garbulsky</w:t>
      </w:r>
      <w:proofErr w:type="spellEnd"/>
      <w:r w:rsidRPr="00BD03ED">
        <w:t xml:space="preserve"> et al., 2011; </w:t>
      </w:r>
      <w:proofErr w:type="spellStart"/>
      <w:r w:rsidRPr="00BD03ED">
        <w:t>Skendžić</w:t>
      </w:r>
      <w:proofErr w:type="spellEnd"/>
      <w:r w:rsidRPr="00BD03ED">
        <w:t xml:space="preserve">, 2023; </w:t>
      </w:r>
      <w:proofErr w:type="spellStart"/>
      <w:r w:rsidRPr="00BD03ED">
        <w:t>Peñuelas</w:t>
      </w:r>
      <w:proofErr w:type="spellEnd"/>
      <w:r w:rsidRPr="00BD03ED">
        <w:t xml:space="preserve"> et al., 2004). Based on this similarity, comparable optical responses could be expected in seagrasses, although this relationship has not yet been fully demonstrated for intertidal species, where periodic emersion and water optical properties may alter pigment-related reflectance patterns.</w:t>
      </w:r>
    </w:p>
    <w:p w14:paraId="1496C5BF" w14:textId="4660B35B" w:rsidR="00B27CD3" w:rsidRDefault="00B27CD3">
      <w:r w:rsidRPr="00BD03ED">
        <w:lastRenderedPageBreak/>
        <w:t xml:space="preserve">Lines </w:t>
      </w:r>
      <w:r w:rsidR="00BD03ED" w:rsidRPr="00BD03ED">
        <w:t>107 - 116</w:t>
      </w:r>
    </w:p>
    <w:p w14:paraId="136C24DF" w14:textId="77777777" w:rsidR="00067FE9" w:rsidRPr="00BD7680" w:rsidRDefault="00000000">
      <w:pPr>
        <w:pStyle w:val="Listepuces"/>
        <w:rPr>
          <w:b/>
          <w:bCs/>
        </w:rPr>
      </w:pPr>
      <w:r w:rsidRPr="00BD7680">
        <w:rPr>
          <w:b/>
          <w:bCs/>
        </w:rPr>
        <w:t>Comment 3: Line 146: Why acclimate samples to low light intensity compared to field sunlight exposure?</w:t>
      </w:r>
    </w:p>
    <w:p w14:paraId="36CF3C87" w14:textId="6DE385DA" w:rsidR="00067FE9" w:rsidRDefault="00E67F76">
      <w:r w:rsidRPr="00E67F76">
        <w:t>We thank the reviewer for this relevant comment. The light intensity during acclimation was intentionally set to 150 µmol m⁻² s⁻¹ to match the maximum light level achievable within the experimental intertidal chambers.</w:t>
      </w:r>
      <w:r>
        <w:t xml:space="preserve"> This is a technical limitation of the intertidal chambers. </w:t>
      </w:r>
      <w:r w:rsidRPr="00E67F76">
        <w:t xml:space="preserve">Acclimating the samples under the same irradiance conditions avoided introducing an additional source of stress linked to a sudden drop in light availability when transferring seagrasses into the chambers. This ensured that the observed physiological and spectral responses were attributable to temperature treatment only, and not to </w:t>
      </w:r>
      <w:proofErr w:type="spellStart"/>
      <w:r w:rsidRPr="00E67F76">
        <w:t>photoadaptive</w:t>
      </w:r>
      <w:proofErr w:type="spellEnd"/>
      <w:r w:rsidRPr="00E67F76">
        <w:t xml:space="preserve"> effects.</w:t>
      </w:r>
      <w:r>
        <w:t xml:space="preserve"> </w:t>
      </w:r>
      <w:r w:rsidRPr="00E67F76">
        <w:t>A clarification has been added to the text</w:t>
      </w:r>
      <w:r>
        <w:t xml:space="preserve"> </w:t>
      </w:r>
      <w:r w:rsidRPr="00BD03ED">
        <w:t xml:space="preserve">(lines </w:t>
      </w:r>
      <w:r w:rsidR="00BD03ED" w:rsidRPr="00BD03ED">
        <w:t>144 - 149</w:t>
      </w:r>
      <w:r w:rsidRPr="00BD03ED">
        <w:t>).</w:t>
      </w:r>
      <w:r>
        <w:br/>
      </w:r>
    </w:p>
    <w:p w14:paraId="15F297A9" w14:textId="77777777" w:rsidR="00E67F76" w:rsidRDefault="00000000" w:rsidP="00E67F76">
      <w:pPr>
        <w:pStyle w:val="Listepuces"/>
        <w:rPr>
          <w:b/>
          <w:bCs/>
        </w:rPr>
      </w:pPr>
      <w:r w:rsidRPr="00AB418F">
        <w:rPr>
          <w:b/>
          <w:bCs/>
        </w:rPr>
        <w:t>Comment 4: Line 193: What was the power source for the lights?</w:t>
      </w:r>
    </w:p>
    <w:p w14:paraId="1B490B84" w14:textId="77777777" w:rsidR="00E67F76" w:rsidRDefault="00E67F76" w:rsidP="00E67F76">
      <w:pPr>
        <w:pStyle w:val="Listepuces"/>
        <w:numPr>
          <w:ilvl w:val="0"/>
          <w:numId w:val="0"/>
        </w:numPr>
        <w:ind w:left="360" w:hanging="360"/>
        <w:rPr>
          <w:b/>
          <w:bCs/>
        </w:rPr>
      </w:pPr>
    </w:p>
    <w:p w14:paraId="2BE7E75E" w14:textId="6DFB2142" w:rsidR="00067FE9" w:rsidRPr="00E67F76" w:rsidRDefault="00E67F76" w:rsidP="00E67F76">
      <w:pPr>
        <w:pStyle w:val="Listepuces"/>
        <w:numPr>
          <w:ilvl w:val="0"/>
          <w:numId w:val="0"/>
        </w:numPr>
        <w:rPr>
          <w:b/>
          <w:bCs/>
        </w:rPr>
      </w:pPr>
      <w:r w:rsidRPr="00E67F76">
        <w:t>The light provided inside the intertidal chambers was produced by LED panels, which delivered a constant photosynthetically active radiation (PAR) of approximately 150 µmol m⁻</w:t>
      </w:r>
      <w:r w:rsidRPr="00BD03ED">
        <w:t>² s⁻¹ at canopy level</w:t>
      </w:r>
      <w:r w:rsidR="007B3667" w:rsidRPr="00BD03ED">
        <w:t xml:space="preserve">. </w:t>
      </w:r>
      <w:r w:rsidR="00B27CD3" w:rsidRPr="00BD03ED">
        <w:t xml:space="preserve">Information </w:t>
      </w:r>
      <w:r w:rsidR="007B3667" w:rsidRPr="00BD03ED">
        <w:t xml:space="preserve">regarding the light source </w:t>
      </w:r>
      <w:r w:rsidR="00B27CD3" w:rsidRPr="00BD03ED">
        <w:t xml:space="preserve">can be founded at </w:t>
      </w:r>
      <w:r w:rsidR="007B3667" w:rsidRPr="00BD03ED">
        <w:t>Lines</w:t>
      </w:r>
      <w:r w:rsidR="00BD03ED" w:rsidRPr="00BD03ED">
        <w:t xml:space="preserve"> 159 </w:t>
      </w:r>
      <w:r w:rsidR="00BD03ED">
        <w:t>–</w:t>
      </w:r>
      <w:r w:rsidR="00BD03ED" w:rsidRPr="00BD03ED">
        <w:t xml:space="preserve"> 165</w:t>
      </w:r>
      <w:r w:rsidR="00BD03ED">
        <w:t xml:space="preserve">. </w:t>
      </w:r>
      <w:r>
        <w:br/>
      </w:r>
    </w:p>
    <w:p w14:paraId="7AA3DB36" w14:textId="77777777" w:rsidR="00067FE9" w:rsidRPr="00AB418F" w:rsidRDefault="00000000">
      <w:pPr>
        <w:pStyle w:val="Listepuces"/>
        <w:rPr>
          <w:b/>
          <w:bCs/>
        </w:rPr>
      </w:pPr>
      <w:r w:rsidRPr="00AB418F">
        <w:rPr>
          <w:b/>
          <w:bCs/>
        </w:rPr>
        <w:t>Comment 5: Line 196 and Fig. 6 legend: Were spectra in Fig. 6 the only ones standardized min-max?</w:t>
      </w:r>
    </w:p>
    <w:p w14:paraId="7B1D8D31" w14:textId="3AA7B630" w:rsidR="00067FE9" w:rsidRPr="000F4257" w:rsidRDefault="000F4257">
      <w:r w:rsidRPr="000F4257">
        <w:t xml:space="preserve">We thank the reviewer for this pertinent question. All spectral reflectance data presented in this study, including those shown in Figures 6 and 9, were standardized using min–max </w:t>
      </w:r>
      <w:proofErr w:type="spellStart"/>
      <w:r>
        <w:t>standardisation</w:t>
      </w:r>
      <w:proofErr w:type="spellEnd"/>
      <w:r w:rsidRPr="000F4257">
        <w:t xml:space="preserve"> to facilitate comparison across samples and acquisition times. This standardization was also applied prior to the computation of the Seagrass Heat Shock Index (SHSI), as it ensures that variations in reflectance magnitude are attributed to physiological differences rat</w:t>
      </w:r>
      <w:r w:rsidRPr="00BD03ED">
        <w:t>her than to biomasses differences. A clarification has been added to the text</w:t>
      </w:r>
      <w:r w:rsidR="00BD03ED" w:rsidRPr="00BD03ED">
        <w:t xml:space="preserve"> lines 225 - 228</w:t>
      </w:r>
      <w:r w:rsidRPr="000F4257">
        <w:t>.</w:t>
      </w:r>
      <w:r w:rsidRPr="000F4257">
        <w:br/>
      </w:r>
    </w:p>
    <w:p w14:paraId="37BE8444" w14:textId="77777777" w:rsidR="00067FE9" w:rsidRPr="00AB418F" w:rsidRDefault="00000000">
      <w:pPr>
        <w:pStyle w:val="Listepuces"/>
        <w:rPr>
          <w:b/>
          <w:bCs/>
        </w:rPr>
      </w:pPr>
      <w:r w:rsidRPr="00AB418F">
        <w:rPr>
          <w:b/>
          <w:bCs/>
        </w:rPr>
        <w:t xml:space="preserve">Comment 6: Line 220 and Fig. 3: Suggest notation R(int) instead of </w:t>
      </w:r>
      <w:proofErr w:type="spellStart"/>
      <w:r w:rsidRPr="00AB418F">
        <w:rPr>
          <w:b/>
          <w:bCs/>
        </w:rPr>
        <w:t>Ishshi</w:t>
      </w:r>
      <w:proofErr w:type="spellEnd"/>
      <w:r w:rsidRPr="00AB418F">
        <w:rPr>
          <w:b/>
          <w:bCs/>
        </w:rPr>
        <w:t xml:space="preserve"> for interpolated reflectance.</w:t>
      </w:r>
    </w:p>
    <w:p w14:paraId="786296E1" w14:textId="092C93AE" w:rsidR="00B27CD3" w:rsidRDefault="000F4257" w:rsidP="00B27CD3">
      <w:r>
        <w:t xml:space="preserve">Following a </w:t>
      </w:r>
      <w:r w:rsidRPr="00BD03ED">
        <w:t>comment of another reviewer, the equation of the SHSI has been totally modified and is now written as follow :</w:t>
      </w:r>
      <w:r>
        <w:t xml:space="preserve"> </w:t>
      </w:r>
    </w:p>
    <w:p w14:paraId="1FE12E19" w14:textId="0E2A27D8" w:rsidR="00B27CD3" w:rsidRDefault="00B27CD3" w:rsidP="00B27CD3">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p>
    <w:p w14:paraId="1CB2476E" w14:textId="77777777" w:rsidR="00B27CD3" w:rsidRPr="00FE1FE9" w:rsidRDefault="00B27CD3" w:rsidP="00B27CD3">
      <w:pPr>
        <w:pStyle w:val="FirstParagraph"/>
      </w:pPr>
      <w:r>
        <w:lastRenderedPageBreak/>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Pr>
          <w:rFonts w:eastAsiaTheme="minorEastAsia"/>
        </w:rPr>
        <w:t xml:space="preserve"> is the</w:t>
      </w:r>
      <w:r>
        <w:t xml:space="preserve"> 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t xml:space="preserve"> = 560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t xml:space="preserve"> = 740.</w:t>
      </w:r>
    </w:p>
    <w:p w14:paraId="4581B21E" w14:textId="77777777" w:rsidR="00067FE9" w:rsidRPr="00AB418F" w:rsidRDefault="00000000">
      <w:pPr>
        <w:pStyle w:val="Listepuces"/>
        <w:rPr>
          <w:b/>
          <w:bCs/>
        </w:rPr>
      </w:pPr>
      <w:r w:rsidRPr="00AB418F">
        <w:rPr>
          <w:b/>
          <w:bCs/>
        </w:rPr>
        <w:t>Comment 7: Include a paragraph on how water depth affects results, given strong absorption of NIR by water.</w:t>
      </w:r>
    </w:p>
    <w:p w14:paraId="1B9B000B" w14:textId="1FFE7585" w:rsidR="00067FE9" w:rsidRDefault="000F4257">
      <w:r w:rsidRPr="000F4257">
        <w:t xml:space="preserve">We thank the reviewer for this important comment. We agree that water depth strongly influences reflectance in the near-infrared (NIR) region, which is a key spectral domain for SHSI computation. As the water column rapidly absorbs NIR wavelengths, even a thin water layer significantly attenuates the signal. For this reason, the SHSI is designed to be applied exclusively to emerged intertidal seagrasses during low tide, when the canopy is fully exposed and not influenced by </w:t>
      </w:r>
      <w:r w:rsidRPr="00A9521F">
        <w:t>water optical effects. This point has been clarified in the revised manuscript to avoid any misunderstanding regarding the applicability of the index under submerged conditions</w:t>
      </w:r>
      <w:r w:rsidR="00D81E38" w:rsidRPr="00A9521F">
        <w:t xml:space="preserve"> (Lines </w:t>
      </w:r>
      <w:r w:rsidR="00BD03ED" w:rsidRPr="00A9521F">
        <w:t>244 - 247</w:t>
      </w:r>
      <w:r w:rsidR="00D81E38" w:rsidRPr="00A9521F">
        <w:t>)</w:t>
      </w:r>
      <w:r w:rsidRPr="00A9521F">
        <w:t>.</w:t>
      </w:r>
      <w:r>
        <w:br/>
      </w:r>
    </w:p>
    <w:p w14:paraId="27F3D413" w14:textId="77777777" w:rsidR="00312FA8" w:rsidRDefault="00312FA8"/>
    <w:p w14:paraId="4E3F16BC" w14:textId="2EA23C1C" w:rsidR="00312FA8" w:rsidRDefault="00312FA8"/>
    <w:sectPr w:rsidR="00312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5BA2C5F0"/>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6D14007"/>
    <w:multiLevelType w:val="hybridMultilevel"/>
    <w:tmpl w:val="225EFC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C817B7"/>
    <w:multiLevelType w:val="hybridMultilevel"/>
    <w:tmpl w:val="D39A6E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D483C96"/>
    <w:multiLevelType w:val="hybridMultilevel"/>
    <w:tmpl w:val="F56AA8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E22A6B"/>
    <w:multiLevelType w:val="hybridMultilevel"/>
    <w:tmpl w:val="2F80AB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F937A24"/>
    <w:multiLevelType w:val="hybridMultilevel"/>
    <w:tmpl w:val="312CE5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12"/>
  </w:num>
  <w:num w:numId="11" w16cid:durableId="2133282828">
    <w:abstractNumId w:val="8"/>
  </w:num>
  <w:num w:numId="12" w16cid:durableId="609824576">
    <w:abstractNumId w:val="13"/>
  </w:num>
  <w:num w:numId="13" w16cid:durableId="1106727128">
    <w:abstractNumId w:val="9"/>
  </w:num>
  <w:num w:numId="14" w16cid:durableId="155463220">
    <w:abstractNumId w:val="11"/>
  </w:num>
  <w:num w:numId="15" w16cid:durableId="44531353">
    <w:abstractNumId w:val="14"/>
  </w:num>
  <w:num w:numId="16" w16cid:durableId="7787169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72F65"/>
    <w:rsid w:val="00086174"/>
    <w:rsid w:val="000A40BA"/>
    <w:rsid w:val="000B344B"/>
    <w:rsid w:val="000B46F3"/>
    <w:rsid w:val="000C4FA4"/>
    <w:rsid w:val="000D54B5"/>
    <w:rsid w:val="000E2351"/>
    <w:rsid w:val="000F4257"/>
    <w:rsid w:val="000F597B"/>
    <w:rsid w:val="001136DA"/>
    <w:rsid w:val="0015074B"/>
    <w:rsid w:val="00172B5F"/>
    <w:rsid w:val="0017577D"/>
    <w:rsid w:val="00262336"/>
    <w:rsid w:val="0029639D"/>
    <w:rsid w:val="00312FA8"/>
    <w:rsid w:val="00326F90"/>
    <w:rsid w:val="00347E72"/>
    <w:rsid w:val="003673BE"/>
    <w:rsid w:val="00384EB7"/>
    <w:rsid w:val="00397007"/>
    <w:rsid w:val="003E5CB4"/>
    <w:rsid w:val="0045179D"/>
    <w:rsid w:val="00480BF7"/>
    <w:rsid w:val="004C4110"/>
    <w:rsid w:val="005161E1"/>
    <w:rsid w:val="00524F97"/>
    <w:rsid w:val="005331B8"/>
    <w:rsid w:val="00534261"/>
    <w:rsid w:val="00594B40"/>
    <w:rsid w:val="005A3CF5"/>
    <w:rsid w:val="005B0D5E"/>
    <w:rsid w:val="006256AF"/>
    <w:rsid w:val="0064508B"/>
    <w:rsid w:val="006A145D"/>
    <w:rsid w:val="006C04F5"/>
    <w:rsid w:val="00722280"/>
    <w:rsid w:val="00762D2C"/>
    <w:rsid w:val="0077754F"/>
    <w:rsid w:val="007B3667"/>
    <w:rsid w:val="007E016B"/>
    <w:rsid w:val="00816585"/>
    <w:rsid w:val="00865D56"/>
    <w:rsid w:val="008D17B4"/>
    <w:rsid w:val="00904A60"/>
    <w:rsid w:val="00966157"/>
    <w:rsid w:val="009A0DAA"/>
    <w:rsid w:val="00A03D2B"/>
    <w:rsid w:val="00A9521F"/>
    <w:rsid w:val="00AA1D8D"/>
    <w:rsid w:val="00AB418F"/>
    <w:rsid w:val="00AC2153"/>
    <w:rsid w:val="00B2026E"/>
    <w:rsid w:val="00B27CD3"/>
    <w:rsid w:val="00B47730"/>
    <w:rsid w:val="00B939D9"/>
    <w:rsid w:val="00BB3161"/>
    <w:rsid w:val="00BD03ED"/>
    <w:rsid w:val="00BD7680"/>
    <w:rsid w:val="00C15F22"/>
    <w:rsid w:val="00C85681"/>
    <w:rsid w:val="00C93AAB"/>
    <w:rsid w:val="00C967D3"/>
    <w:rsid w:val="00CB0664"/>
    <w:rsid w:val="00CF1559"/>
    <w:rsid w:val="00D16821"/>
    <w:rsid w:val="00D3783B"/>
    <w:rsid w:val="00D4447D"/>
    <w:rsid w:val="00D81E38"/>
    <w:rsid w:val="00D96595"/>
    <w:rsid w:val="00E67467"/>
    <w:rsid w:val="00E67F76"/>
    <w:rsid w:val="00EA3E11"/>
    <w:rsid w:val="00EC1726"/>
    <w:rsid w:val="00EE4780"/>
    <w:rsid w:val="00EF5306"/>
    <w:rsid w:val="00F01C0C"/>
    <w:rsid w:val="00FB1258"/>
    <w:rsid w:val="00FC693F"/>
    <w:rsid w:val="00FE1FE9"/>
    <w:rsid w:val="00FF20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CD3"/>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 w:type="character" w:styleId="Lienhypertexte">
    <w:name w:val="Hyperlink"/>
    <w:basedOn w:val="Policepardfaut"/>
    <w:uiPriority w:val="99"/>
    <w:unhideWhenUsed/>
    <w:rsid w:val="000E2351"/>
    <w:rPr>
      <w:color w:val="0000FF" w:themeColor="hyperlink"/>
      <w:u w:val="single"/>
    </w:rPr>
  </w:style>
  <w:style w:type="character" w:styleId="Mentionnonrsolue">
    <w:name w:val="Unresolved Mention"/>
    <w:basedOn w:val="Policepardfaut"/>
    <w:uiPriority w:val="99"/>
    <w:semiHidden/>
    <w:unhideWhenUsed/>
    <w:rsid w:val="000E2351"/>
    <w:rPr>
      <w:color w:val="605E5C"/>
      <w:shd w:val="clear" w:color="auto" w:fill="E1DFDD"/>
    </w:rPr>
  </w:style>
  <w:style w:type="character" w:styleId="Lienhypertextesuivivisit">
    <w:name w:val="FollowedHyperlink"/>
    <w:basedOn w:val="Policepardfaut"/>
    <w:uiPriority w:val="99"/>
    <w:semiHidden/>
    <w:unhideWhenUsed/>
    <w:rsid w:val="000E2351"/>
    <w:rPr>
      <w:color w:val="800080" w:themeColor="followedHyperlink"/>
      <w:u w:val="single"/>
    </w:rPr>
  </w:style>
  <w:style w:type="paragraph" w:styleId="NormalWeb">
    <w:name w:val="Normal (Web)"/>
    <w:basedOn w:val="Normal"/>
    <w:uiPriority w:val="99"/>
    <w:semiHidden/>
    <w:unhideWhenUsed/>
    <w:rsid w:val="000C4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38/s43247-024-01543-z"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16</Pages>
  <Words>6247</Words>
  <Characters>34360</Characters>
  <Application>Microsoft Office Word</Application>
  <DocSecurity>0</DocSecurity>
  <Lines>286</Lines>
  <Paragraphs>81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32</cp:revision>
  <dcterms:created xsi:type="dcterms:W3CDTF">2025-09-30T11:01:00Z</dcterms:created>
  <dcterms:modified xsi:type="dcterms:W3CDTF">2025-10-10T10:47:00Z</dcterms:modified>
  <cp:category/>
</cp:coreProperties>
</file>