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5.png" ContentType="image/png"/>
  <Override PartName="/word/media/rId31.png" ContentType="image/png"/>
  <Override PartName="/word/media/rId90.png" ContentType="image/png"/>
  <Override PartName="/word/media/rId25.png" ContentType="image/png"/>
  <Override PartName="/word/media/rId101.png" ContentType="image/png"/>
  <Override PartName="/word/media/rId84.png" ContentType="image/png"/>
  <Override PartName="/word/media/rId96.png" ContentType="image/png"/>
  <Override PartName="/word/media/rId44.png" ContentType="image/png"/>
  <Override PartName="/word/media/rId77.png" ContentType="image/png"/>
  <Override PartName="/word/media/rId49.png" ContentType="image/png"/>
  <Override PartName="/word/media/rId72.png" ContentType="image/png"/>
  <Override PartName="/word/media/rId66.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Marine and Atmospheric Heatwaves on Intertidal Seagrass: Experimental Spectroradiometry and Satellite-Based Insights</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Pierre Gernez¹</w:t>
      </w:r>
    </w:p>
    <w:p>
      <w:pPr>
        <w:pStyle w:val="Author"/>
      </w:pPr>
      <w:r>
        <w:t xml:space="preserve">Laurent Barillé¹</w:t>
      </w:r>
    </w:p>
    <w:p>
      <w:pPr>
        <w:pStyle w:val="Date"/>
      </w:pPr>
      <w:r>
        <w:t xml:space="preserve">2024-11-29</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w:t>
      </w:r>
    </w:p>
    <w:bookmarkStart w:id="23" w:name="abstract-long-version-for-lps-submission"/>
    <w:p>
      <w:pPr>
        <w:pStyle w:val="Heading1"/>
      </w:pPr>
      <w:r>
        <w:t xml:space="preserve">1. Abstract Long version (For LPS Submission)</w:t>
      </w:r>
    </w:p>
    <w:p>
      <w:pPr>
        <w:pStyle w:val="FirstParagraph"/>
      </w:pPr>
      <w:r>
        <w:t xml:space="preserve">Seagrasses are indispensable to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w:t>
      </w:r>
      <w:r>
        <w:t xml:space="preserve"> </w:t>
      </w:r>
      <w:r>
        <w:rPr>
          <w:i/>
          <w:iCs/>
        </w:rPr>
        <w:t xml:space="preserve">Zostera noltei</w:t>
      </w:r>
      <w:r>
        <w:t xml:space="preserve">, employing a combination of laboratory-controlled experiments and satellite-based remote sensing to capture changes in spectral reflectance and assess the broader ecological implications.</w:t>
      </w:r>
    </w:p>
    <w:p>
      <w:pPr>
        <w:pStyle w:val="BodyText"/>
      </w:pPr>
      <w:r>
        <w:t xml:space="preserve">In laboratory experiments,</w:t>
      </w:r>
      <w:r>
        <w:t xml:space="preserve"> </w:t>
      </w:r>
      <w:r>
        <w:rPr>
          <w:i/>
          <w:iCs/>
        </w:rPr>
        <w:t xml:space="preserve">Z. noltei</w:t>
      </w:r>
      <w:r>
        <w:t xml:space="preserve"> </w:t>
      </w:r>
      <w:r>
        <w:t xml:space="preserve">samples were exposed to simulated heatwave conditions, with hyperspectral reflectance measurements taken over time to monitor physiological and structural changes. Heatwave exposure resulted in a significant decline in reflectance, particularly in the green and near-infrared regions, aligning with visible leaf browning. Vegetation indices such as the Normalized Difference Vegetation Index (NDVI) and Green Leaf Index (GLI) decreased markedly, with reductions of up to 34% and 57%, respectively, highlighting a loss of photosynthetic efficiency and pigment degradation. To better quantify these changes, a novel Seagrass Heat Shock Index (SHSI) was developed, demonstrating a strong ability to detect the transition from green to brown leaves, thus offering a sensitive tool for assessing the effects of thermal stress on seagrass coloration.</w:t>
      </w:r>
    </w:p>
    <w:p>
      <w:pPr>
        <w:pStyle w:val="BodyText"/>
      </w:pPr>
      <w:r>
        <w:t xml:space="preserve">Complementing the experimental data, satellite observations from multispectral imagery provided evidence of widespread spectral changes in seagrass meadows during a documented heatwave event in South Brittany, France. Intertidal zones exposed to air temperatures exceeding 32°C for more than 13.5 hours per day exhibited notable leaf darkening, affecting up to 24% of the meadow’s area. Spatial analysis revealed a strong correlation between heat exposure and spectral darkening, underscoring the vulnerability of intertidal seagrasses to prolonged thermal stress. This combination of laboratory and remote sensing approaches illustrates the utility of integrating local observations with satellite data to track ecosystem changes at multiple scales.</w:t>
      </w:r>
    </w:p>
    <w:p>
      <w:pPr>
        <w:pStyle w:val="BodyText"/>
      </w:pPr>
      <w:r>
        <w:t xml:space="preserve">These findings underscore the critical role of spectral reflectance as an early warning indicator of heatwave-induced stress in seagrasses, providing a foundation for remote sensing-based monitoring and conservation efforts. The study highlights the capacity of innovative indices like SHSI to capture subtle yet ecologically significant changes, advancing the precision of habitat assessments in intertidal zones. Furthermore, the integration of experimental and satellite-derived metrics offers a comprehensive perspective on the interplay between marine and atmospheric heatwaves, enabling the identification of vulnerable areas and informing targeted management strategies.</w:t>
      </w:r>
    </w:p>
    <w:p>
      <w:pPr>
        <w:pStyle w:val="BodyText"/>
      </w:pPr>
      <w:r>
        <w:t xml:space="preserve">As heatwaves intensify under projected climate scenarios, the need for continuous monitoring of intertidal seagrass meadows becomes increasingly urgent. This research emphasizes the importance of safeguarding these ecosystems, which not only support diverse marine life but also contribute to coastal protection and carbon sequestration. By demonstrating the potential of remote sensing to capture rapid environmental changes, the study provides a valuable framework for understanding and mitigating the impacts of climate-driven stressors. It calls for the development of adaptive conservation strategies, combining technological advancements in remote sensing with field-based interventions to preserve the resilience of intertidal seagrass meadows in a rapidly warming world. The findings serve as a clarion call for action, advocating for proactive measures to address the escalating challenges posed by climate change to these indispensable coastal habitats.</w:t>
      </w:r>
    </w:p>
    <w:bookmarkEnd w:id="23"/>
    <w:bookmarkStart w:id="24" w:name="introduction"/>
    <w:p>
      <w:pPr>
        <w:pStyle w:val="Heading1"/>
      </w:pPr>
      <w:r>
        <w:t xml:space="preserve">2. Introduction</w:t>
      </w:r>
    </w:p>
    <w:p>
      <w:pPr>
        <w:pStyle w:val="FirstParagraph"/>
      </w:pPr>
      <w:r>
        <w:t xml:space="preserve">Intertidal seagrasses play a crucial role in coastal ecosystems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for several ecological functions, such as sediment stabilization or reducing the risk of eutrophication by consuming nutrients (</w:t>
      </w:r>
      <w:r>
        <w:rPr>
          <w:b/>
          <w:bCs/>
        </w:rPr>
        <w:t xml:space="preserve">REF</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agricultural and urban runoff nutrient enrichment, leading to eutrophication. This condition promotes the rapid growth of algale causing blooms that compete with seagrasses for light and nutrients, further stressing these important plants</w:t>
      </w:r>
      <w:r>
        <w:t xml:space="preserve"> </w:t>
      </w:r>
      <w:r>
        <w:t xml:space="preserve">(Oiry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Zahoor and Mushtaq, 2023)</w:t>
      </w:r>
      <w:r>
        <w:t xml:space="preserve">. These pollutants can affect the physiological processes of seagrasses, reducing their growth and survival rates</w:t>
      </w:r>
      <w:r>
        <w:t xml:space="preserve"> </w:t>
      </w:r>
      <w:r>
        <w:t xml:space="preserve">(Sevgi and Leblebici, 2022)</w:t>
      </w:r>
      <w:r>
        <w:t xml:space="preserve">. Among these anthropogenic stressors, heatwaves, exacerbated by climate change, pose a growing threat to seagrasses</w:t>
      </w:r>
      <w:r>
        <w:t xml:space="preserve"> </w:t>
      </w:r>
      <w:r>
        <w:t xml:space="preserve">(Deguette et al., 2022; Sawall et al., 2021)</w:t>
      </w:r>
      <w:r>
        <w:t xml:space="preserve">.</w:t>
      </w:r>
      <w:r>
        <w:t xml:space="preserve"> </w:t>
      </w:r>
      <w:r>
        <w:rPr>
          <w:b/>
          <w:bCs/>
        </w:rPr>
        <w:t xml:space="preserve">However, their impact on seagrass spectral reflectance has not yet been investigated.</w:t>
      </w:r>
      <w:r>
        <w:t xml:space="preserve"> </w:t>
      </w:r>
      <w:r>
        <w:t xml:space="preserve">Marine Heatwaves (MHW)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Intertidal seagrasses are exposed to both MHWs and AHWs at the interface between the land and oceans. Heatwaves profoundly impact the physiology of seagrasses, with their effects varying based on species and geographic location. The widespread species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Structural impacts on leaf coloration were also observed: in September 2021, a seagrass meadow in South Brittany (France) exhibited browning of the leaves just a few days after the start of a heatwave characterized by both water and atmospheric temperature anomalies (Barillé A-L &amp; Harin N., pers. comm.).</w:t>
      </w:r>
    </w:p>
    <w:p>
      <w:pPr>
        <w:pStyle w:val="BodyText"/>
      </w:pPr>
      <w:r>
        <w:t xml:space="preserve">Remote sensing is increasingly employed to monitor marine ecosystems, including intertidal seagrass meadows</w:t>
      </w:r>
      <w:r>
        <w:t xml:space="preserve"> </w:t>
      </w:r>
      <w:r>
        <w:t xml:space="preserve">(Davies et al., 2024a, 2024b; Oiry et al., 2024; Román et al., 2021)</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senescence,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changes associated with senescence and stress in intertidal marine vegetation, subjected to a combination of aquatic and aerial conditions, remain poorly studied.</w:t>
      </w:r>
    </w:p>
    <w:p>
      <w:pPr>
        <w:pStyle w:val="BodyText"/>
      </w:pPr>
      <w:r>
        <w:t xml:space="preserve">This study aims to experimentally test the hypothesis that heatwaves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These findings were then integrated with</w:t>
      </w:r>
      <w:r>
        <w:t xml:space="preserve"> </w:t>
      </w:r>
      <w:r>
        <w:rPr>
          <w:i/>
          <w:iCs/>
        </w:rPr>
        <w:t xml:space="preserve">in situ</w:t>
      </w:r>
      <w:r>
        <w:t xml:space="preserve"> </w:t>
      </w:r>
      <w:r>
        <w:t xml:space="preserve">satellite remote sensing data, providing critical insights into the spatial extent and temporal dynamics of heatwave effects on seagrass meadows. By linking experimental results with large-scale observations, the study underscores the potential of remote sensing to enhance our understanding of seagrass responses to extreme thermal events across diverse settings and timescales.</w:t>
      </w:r>
    </w:p>
    <w:bookmarkEnd w:id="24"/>
    <w:bookmarkStart w:id="65" w:name="material-methods"/>
    <w:p>
      <w:pPr>
        <w:pStyle w:val="Heading1"/>
      </w:pPr>
      <w:r>
        <w:t xml:space="preserve">3. Material &amp; Methods</w:t>
      </w:r>
    </w:p>
    <w:bookmarkStart w:id="43"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from a</w:t>
      </w:r>
      <w:r>
        <w:t xml:space="preserve"> </w:t>
      </w:r>
      <w:r>
        <w:rPr>
          <w:i/>
          <w:iCs/>
        </w:rPr>
        <w:t xml:space="preserve">Zostera noltei</w:t>
      </w:r>
      <w:r>
        <w:t xml:space="preserve"> </w:t>
      </w:r>
      <w:r>
        <w:t xml:space="preserve">(dwarf eelgrass) meadow Bourgneuf Bay, France (46°57’32.0”N, 2°10’37.0”W) at low tide in June 2024. A metal sampling box was used to sample seagrass from an area of 30 cm by 15 cm and 5 cm deep, maintaining the sediment structure and avoiding damage to the rhizomes and the leaves of the seagrass (</w:t>
      </w:r>
      <w:hyperlink w:anchor="fig-design">
        <w:r>
          <w:rPr>
            <w:rStyle w:val="Hyperlink"/>
          </w:rPr>
          <w:t xml:space="preserve">Figure 1</w:t>
        </w:r>
      </w:hyperlink>
      <w:r>
        <w:t xml:space="preserve"> </w:t>
      </w:r>
      <w:r>
        <w:t xml:space="preserve">A). This sampling box limited variability between replicates. The sampled sediment, including seagrass, sediment, meiofauna, and macrofauna, was placed in plastic trays. Keeping the entire biota allowed for the natural interactions between components to be maintained and reduced stress on the seagrass. Seawater was added to each tray to avoid hydric stress caused by insufficient moisture during transportation.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with light of 150 µmol.s-1.m-2 of PAR photons</w:t>
      </w:r>
      <w:r>
        <w:t xml:space="preserve"> </w:t>
      </w:r>
      <w:r>
        <w:t xml:space="preserve">(Akbar et al., 2020)</w:t>
      </w:r>
      <w:r>
        <w:t xml:space="preserve">. During high tide, a pump allowed the water to circulate and to re-oxygenate.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Example of the various steps of the experiment. A: Field sampling of seagrass using a sampling coring device; B: Intertidal chamber used during the experiment; C: Seagrass sample inside a chamber during the experiment at high tide; D: Treatment sample at the start of the experiment; E: Treatment sample at the end of the experiment, 2 days after the start of the heatwave.</w:t>
            </w:r>
          </w:p>
          <w:bookmarkEnd w:id="28"/>
        </w:tc>
      </w:tr>
    </w:tbl>
    <w:bookmarkEnd w:id="29"/>
    <w:bookmarkEnd w:id="30"/>
    <w:bookmarkStart w:id="36" w:name="experimental-design"/>
    <w:p>
      <w:pPr>
        <w:pStyle w:val="Heading3"/>
      </w:pPr>
      <w:r>
        <w:t xml:space="preserve">3.1.2 Experimental design</w:t>
      </w:r>
    </w:p>
    <w:p>
      <w:pPr>
        <w:pStyle w:val="FirstParagraph"/>
      </w:pPr>
      <w:r>
        <w:t xml:space="preserve">Two experimental intertidal chambers from ElectricBlue®</w:t>
      </w:r>
      <w:r>
        <w:t xml:space="preserve"> </w:t>
      </w:r>
      <w:r>
        <w:t xml:space="preserve">(Electric Blue, 2023)</w:t>
      </w:r>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The chambers were utilized in parallel, with one chamber serving as the control, while the other was used for the experimental treatment.</w:t>
      </w:r>
    </w:p>
    <w:p>
      <w:pPr>
        <w:pStyle w:val="BodyText"/>
      </w:pPr>
      <w:r>
        <w:t xml:space="preserve">To closely reproduce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(T7.3 EnvLoggers from from ElectricBlue®) were compared to measurements from the nearest Meteo France weather station (Annexe A1,</w:t>
      </w:r>
      <w:r>
        <w:t xml:space="preserve"> </w:t>
      </w:r>
      <w:hyperlink w:anchor="sec-AnnexeA">
        <w:r>
          <w:rPr>
            <w:rStyle w:val="Hyperlink"/>
          </w:rPr>
          <w:t xml:space="preserve">Section 7.1</w:t>
        </w:r>
      </w:hyperlink>
      <w:r>
        <w:t xml:space="preserve">). The control chamber was kept at temperatures representing typical seasonal conditions, with water temperatures at 18°C and air temperatures from 19°C to 23°C, following natural daily temperature fluctuations (</w:t>
      </w:r>
      <w:hyperlink w:anchor="fig-Profile">
        <w:r>
          <w:rPr>
            <w:rStyle w:val="Hyperlink"/>
          </w:rPr>
          <w:t xml:space="preserve">Figure 2</w:t>
        </w:r>
      </w:hyperlink>
      <w:r>
        <w:t xml:space="preserve">). For the experimental treatment, the air temperature was adjusted to mimic an atmospheric heatwave that affected the seagrass meadow in Quiberon, South Brittany, France (47°35’40.0”N, 3°07’30.0”W), from September 2 to September 6, 2021. On the first day of the experiment, air temperatures in the experimental chamber were set to range from 23°C at night to 35°C during the day, increasing by 1°C daily during three days. Water temperature in the experimental chamber was also adjusted to mimic heatwave conditions, starting at the seasonal baseline (18°C) and rising incrementally by 0.5°C daily to simulate the increasing temperatures during the heatwave. This aimed to reproduce the thermal stress experienced by the seagrass meadow during this heatwave event (</w:t>
      </w:r>
      <w:hyperlink w:anchor="fig-Profile">
        <w:r>
          <w:rPr>
            <w:rStyle w:val="Hyperlink"/>
          </w:rPr>
          <w:t xml:space="preserve">Figure 2</w:t>
        </w:r>
      </w:hyperlink>
      <w:r>
        <w:t xml:space="preserve">). The experiment was repeated three times to obtain replicates (hereafter referred to as</w:t>
      </w:r>
      <w:r>
        <w:t xml:space="preserve"> </w:t>
      </w:r>
      <w:r>
        <w:t xml:space="preserve">“Run”</w:t>
      </w:r>
      <w:r>
        <w:t xml:space="preserve">). The intertidal chambers provided by ElectricBlue® were equipped with LED lights that emitted low red and infrared radiation. To achieve a Photosynthetically Active Radiation (PAR) intensity of up to 400 μmol·m⁻²·s⁻¹, a filament bulb was added inside the chambers.</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34"/>
        </w:tc>
      </w:tr>
    </w:tbl>
    <w:bookmarkEnd w:id="35"/>
    <w:bookmarkEnd w:id="36"/>
    <w:bookmarkStart w:id="42" w:name="optical-measurements"/>
    <w:p>
      <w:pPr>
        <w:pStyle w:val="Heading3"/>
      </w:pPr>
      <w:r>
        <w:t xml:space="preserve">3.1.3 Optical measurements</w:t>
      </w:r>
    </w:p>
    <w:bookmarkStart w:id="37" w:name="hyperspectral-measurements"/>
    <w:p>
      <w:pPr>
        <w:pStyle w:val="Heading4"/>
      </w:pPr>
      <w:r>
        <w:t xml:space="preserve">3.1.3.1 Hyperspectral measurements</w:t>
      </w:r>
    </w:p>
    <w:p>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where automatic spectra acquisition was carried out</w:t>
      </w:r>
      <w:r>
        <w:t xml:space="preserve"> </w:t>
      </w:r>
      <w:r>
        <w:t xml:space="preserve">(Malvern Panalytical, 2023)</w:t>
      </w:r>
      <w:r>
        <w:t xml:space="preserve">. An average of five reflectance spectra (</w:t>
      </w:r>
      <m:oMath>
        <m:r>
          <m:t>R</m:t>
        </m:r>
        <m:d>
          <m:dPr>
            <m:begChr m:val="("/>
            <m:endChr m:val=")"/>
            <m:sepChr m:val=""/>
            <m:grow/>
          </m:dPr>
          <m:e>
            <m:r>
              <m:t>λ</m:t>
            </m:r>
          </m:e>
        </m:d>
      </m:oMath>
      <w:r>
        <w:t xml:space="preserve">), each with an integration time of 544 ms, was taken every minute during daytime. Every 10 minutes, the fiber optic was switched from one intertidal chamber to the other, in order to measure reflectance in both treatment and control. Light conditions were controlled inside of the chambers so reflectance calibration of the instrument was performed each morning at the very first moment of low tide using a Spectralon white reference with 99% Lambertian reflectivity.</w:t>
      </w:r>
    </w:p>
    <w:bookmarkEnd w:id="37"/>
    <w:bookmarkStart w:id="41" w:name="spectrum-post-processing"/>
    <w:p>
      <w:pPr>
        <w:pStyle w:val="Heading4"/>
      </w:pPr>
      <w:r>
        <w:t xml:space="preserve">3.1.3.2 Spectrum post-processing</w:t>
      </w:r>
    </w:p>
    <w:p>
      <w:pPr>
        <w:pStyle w:val="FirstParagraph"/>
      </w:pPr>
      <w:r>
        <w:t xml:space="preserve">A Savitzky-Golay smoothing function with a 5 nm moving window was applied to each spectrum prior to computing the second derivative of</w:t>
      </w:r>
      <w:r>
        <w:t xml:space="preserve"> </w:t>
      </w:r>
      <m:oMath>
        <m:r>
          <m:t>R</m:t>
        </m:r>
        <m:d>
          <m:dPr>
            <m:begChr m:val="("/>
            <m:endChr m:val=")"/>
            <m:sepChr m:val=""/>
            <m:grow/>
          </m:dPr>
          <m:e>
            <m:r>
              <m:t>λ</m:t>
            </m:r>
          </m:e>
        </m:d>
      </m:oMath>
      <w:r>
        <w:t xml:space="preserve"> </w:t>
      </w:r>
      <w:r>
        <w:t xml:space="preserve">used to estimate absorption features and compare their variability over time. This analysis was performed using the</w:t>
      </w:r>
      <w:r>
        <w:t xml:space="preserve"> </w:t>
      </w:r>
      <w:r>
        <w:t xml:space="preserve">“hsdar”</w:t>
      </w:r>
      <w:r>
        <w:t xml:space="preserve"> </w:t>
      </w:r>
      <w:r>
        <w:t xml:space="preserve">package in R</w:t>
      </w:r>
      <w:r>
        <w:t xml:space="preserve"> </w:t>
      </w:r>
      <w:r>
        <w:t xml:space="preserve">(Lehnert et al., 2017)</w:t>
      </w:r>
      <w:r>
        <w:t xml:space="preserve">.</w:t>
      </w:r>
    </w:p>
    <w:p>
      <w:pPr>
        <w:pStyle w:val="BodyText"/>
      </w:pPr>
      <w:r>
        <w:t xml:space="preserve">Two well established radiometric indices were also calculated throughout the experiment :</w:t>
      </w:r>
    </w:p>
    <w:p>
      <w:pPr>
        <w:pStyle w:val="Compact"/>
        <w:numPr>
          <w:ilvl w:val="0"/>
          <w:numId w:val="1001"/>
        </w:numPr>
      </w:pPr>
      <w:r>
        <w:t xml:space="preserve">Normalized Difference Vegetation Index (NDVI,</w:t>
      </w:r>
      <w:r>
        <w:t xml:space="preserve"> </w:t>
      </w:r>
      <w:r>
        <w:t xml:space="preserve">Rouse et al. (1974)</w:t>
      </w:r>
      <w:r>
        <w:t xml:space="preserve">), a proxy of the concentration of chlorophyll-a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Green Leaf Index (GLI,</w:t>
      </w:r>
      <w:r>
        <w:t xml:space="preserve"> </w:t>
      </w:r>
      <w:r>
        <w:t xml:space="preserve">Louhaichi et al. (2001)</w:t>
      </w:r>
      <w:r>
        <w:t xml:space="preserve">), a measurement of the greenness of seagrass leafs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‘baseline’</w:t>
      </w:r>
      <w:r>
        <w:t xml:space="preserve"> </w:t>
      </w:r>
      <w:r>
        <w:t xml:space="preserve">and 740 nm represents the central peak. The SDI can be mathematically expressed as:</w:t>
      </w:r>
    </w:p>
    <w:p>
      <w:pPr>
        <w:pStyle w:val="BodyText"/>
      </w:pPr>
      <w:bookmarkStart w:id="40" w:name="eq-SDI"/>
      <m:oMathPara>
        <m:oMathParaPr>
          <m:jc m:val="center"/>
        </m:oMathParaPr>
        <m:oMath>
          <m:r>
            <m:rPr>
              <m:nor/>
              <m:sty m:val="p"/>
            </m:rPr>
            <m:t>SDI</m:t>
          </m:r>
          <m:r>
            <m:rPr>
              <m:sty m:val="p"/>
            </m:rPr>
            <m:t>=</m:t>
          </m:r>
          <m:sSub>
            <m:e>
              <m:r>
                <m:t>I</m:t>
              </m:r>
            </m:e>
            <m:sub>
              <m:r>
                <m:t>S</m:t>
              </m:r>
              <m:r>
                <m:t>D</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D</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End w:id="41"/>
    <w:bookmarkEnd w:id="42"/>
    <w:bookmarkEnd w:id="43"/>
    <w:bookmarkStart w:id="63" w:name="in-situ-seagrass-darkening."/>
    <w:p>
      <w:pPr>
        <w:pStyle w:val="Heading2"/>
      </w:pPr>
      <w:r>
        <w:t xml:space="preserve">3.2</w:t>
      </w:r>
      <w:r>
        <w:t xml:space="preserve"> </w:t>
      </w:r>
      <w:r>
        <w:rPr>
          <w:i/>
          <w:iCs/>
        </w:rPr>
        <w:t xml:space="preserve">In situ</w:t>
      </w:r>
      <w:r>
        <w:t xml:space="preserve"> </w:t>
      </w:r>
      <w:r>
        <w:t xml:space="preserve">seagrass darkening.</w:t>
      </w:r>
    </w:p>
    <w:bookmarkStart w:id="54" w:name="field-observation"/>
    <w:p>
      <w:pPr>
        <w:pStyle w:val="Heading3"/>
      </w:pPr>
      <w:r>
        <w:t xml:space="preserve">3.2.1 Field Observation</w:t>
      </w:r>
    </w:p>
    <w:bookmarkStart w:id="48" w:name="cell-fig-quiberonMap"/>
    <w:tbl>
      <w:tblPr>
        <w:tblStyle w:val="Table"/>
        <w:tblW w:type="pct" w:w="5000"/>
        <w:tblLayout w:type="fixed"/>
        <w:tblLook w:firstRow="0" w:lastRow="0" w:firstColumn="0" w:lastColumn="0" w:noHBand="0" w:noVBand="0" w:val="0000"/>
      </w:tblPr>
      <w:tblGrid>
        <w:gridCol w:w="7920"/>
      </w:tblGrid>
      <w:tr>
        <w:tc>
          <w:tcPr/>
          <w:bookmarkStart w:id="47" w:name="fig-quiberonMap"/>
          <w:p>
            <w:pPr>
              <w:pStyle w:val="Compact"/>
              <w:jc w:val="center"/>
            </w:pPr>
            <w:r>
              <w:drawing>
                <wp:inline>
                  <wp:extent cx="5646420" cy="5646420"/>
                  <wp:effectExtent b="0" l="0" r="0" t="0"/>
                  <wp:docPr descr="" title="" id="45" name="Picture"/>
                  <a:graphic>
                    <a:graphicData uri="http://schemas.openxmlformats.org/drawingml/2006/picture">
                      <pic:pic>
                        <pic:nvPicPr>
                          <pic:cNvPr descr="Figs/Low_res/Quiberon_map.png" id="46" name="Picture"/>
                          <pic:cNvPicPr>
                            <a:picLocks noChangeArrowheads="1" noChangeAspect="1"/>
                          </pic:cNvPicPr>
                        </pic:nvPicPr>
                        <pic:blipFill>
                          <a:blip r:embed="rId44"/>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Location of the field campaign that occurred in the 10th of September 2021. The red line surround the intertidal zone (Zone between High tide and low tide, that is totally emerged at low tide) and the dark green polygon indicate the extent of the seagrass meadow. Green dots indicate location of quadrat picture over unimpacted seagrasses (i.e. showing a green color on the field) while red dots indicate location of quadrat took over impacted seagrasses (i.e. showing a dark color on the field).</w:t>
            </w:r>
          </w:p>
          <w:bookmarkEnd w:id="47"/>
        </w:tc>
      </w:tr>
    </w:tbl>
    <w:bookmarkEnd w:id="48"/>
    <w:p>
      <w:pPr>
        <w:pStyle w:val="BodyText"/>
      </w:pPr>
      <w:r>
        <w:t xml:space="preserve">A field campaign, aiming to map a seagrass meadow near Quiberon (France : 46°57’32.0”N, 2°10’37.0”W), occurred on the 10th of September 2021 (</w:t>
      </w:r>
      <w:hyperlink w:anchor="fig-quiberonMap">
        <w:r>
          <w:rPr>
            <w:rStyle w:val="Hyperlink"/>
          </w:rPr>
          <w:t xml:space="preserve">Figure 3</w:t>
        </w:r>
      </w:hyperlink>
      <w:r>
        <w:t xml:space="preserve">). During this field campaign, significant darkening of seagrass leaves was observed over large areas of the meadow alongside normal green seagrass (</w:t>
      </w:r>
      <w:hyperlink w:anchor="fig-QuiberonImg">
        <w:r>
          <w:rPr>
            <w:rStyle w:val="Hyperlink"/>
          </w:rPr>
          <w:t xml:space="preserve">Figure 4</w:t>
        </w:r>
      </w:hyperlink>
      <w:r>
        <w:t xml:space="preserve">). A total of 96 Quadrat Points (QPs) were collected in the form of georeferenced quadrat images across the meadow. These images allow for visual assessment of vegetation type, density, and coloration. The images were then divided into two categories: green seagrasses (henceforth: QPs unimpacted) and darkened seagrasses (henceforth: QPs impacted), based on a visual estimation of the leaf coloration (</w:t>
      </w:r>
      <w:hyperlink w:anchor="fig-quiberonMap">
        <w:r>
          <w:rPr>
            <w:rStyle w:val="Hyperlink"/>
          </w:rPr>
          <w:t xml:space="preserve">Figure 3</w:t>
        </w:r>
      </w:hyperlink>
      <w:r>
        <w:t xml:space="preserve">).</w:t>
      </w:r>
    </w:p>
    <w:bookmarkStart w:id="53" w:name="cell-fig-QuiberonImg"/>
    <w:tbl>
      <w:tblPr>
        <w:tblStyle w:val="Table"/>
        <w:tblW w:type="pct" w:w="5000"/>
        <w:tblLayout w:type="fixed"/>
        <w:tblLook w:firstRow="0" w:lastRow="0" w:firstColumn="0" w:lastColumn="0" w:noHBand="0" w:noVBand="0" w:val="0000"/>
      </w:tblPr>
      <w:tblGrid>
        <w:gridCol w:w="7920"/>
      </w:tblGrid>
      <w:tr>
        <w:tc>
          <w:tcPr/>
          <w:bookmarkStart w:id="52" w:name="fig-QuiberonImg"/>
          <w:p>
            <w:pPr>
              <w:pStyle w:val="Compact"/>
              <w:jc w:val="center"/>
            </w:pPr>
            <w:r>
              <w:drawing>
                <wp:inline>
                  <wp:extent cx="5646420" cy="3733115"/>
                  <wp:effectExtent b="0" l="0" r="0" t="0"/>
                  <wp:docPr descr="" title="" id="50" name="Picture"/>
                  <a:graphic>
                    <a:graphicData uri="http://schemas.openxmlformats.org/drawingml/2006/picture">
                      <pic:pic>
                        <pic:nvPicPr>
                          <pic:cNvPr descr="Figs/Low_res/img_Quiberon.png" id="51" name="Picture"/>
                          <pic:cNvPicPr>
                            <a:picLocks noChangeArrowheads="1" noChangeAspect="1"/>
                          </pic:cNvPicPr>
                        </pic:nvPicPr>
                        <pic:blipFill>
                          <a:blip r:embed="rId49"/>
                          <a:stretch>
                            <a:fillRect/>
                          </a:stretch>
                        </pic:blipFill>
                        <pic:spPr bwMode="auto">
                          <a:xfrm>
                            <a:off x="0" y="0"/>
                            <a:ext cx="5646420" cy="37331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Illustrations of the two coloration of seagrasses observed in the field. A: View of a green meadow; B: Quadrat images of green seagrasses; C: Quadrat images of darkened seagrasses; D: View of darkened area of the meadow. All images were taken on September 10th, 2021, in Quiberon.</w:t>
            </w:r>
          </w:p>
          <w:bookmarkEnd w:id="52"/>
        </w:tc>
      </w:tr>
    </w:tbl>
    <w:bookmarkEnd w:id="53"/>
    <w:bookmarkEnd w:id="54"/>
    <w:bookmarkStart w:id="59" w:name="Xf8a39f1f3d5cbc00f14159fcb612e83e416b551"/>
    <w:p>
      <w:pPr>
        <w:pStyle w:val="Heading3"/>
      </w:pPr>
      <w:r>
        <w:t xml:space="preserve">3.2.2 Temperature Data and identification of heatwaves</w:t>
      </w:r>
    </w:p>
    <w:bookmarkStart w:id="56" w:name="air-temperature"/>
    <w:p>
      <w:pPr>
        <w:pStyle w:val="Heading4"/>
      </w:pPr>
      <w:r>
        <w:t xml:space="preserve">3.2.2.1 Air temperature</w:t>
      </w:r>
    </w:p>
    <w:p>
      <w:pPr>
        <w:pStyle w:val="FirstParagraph"/>
      </w:pPr>
      <w:r>
        <w:t xml:space="preserve">Since January 1, 2024, Meteo France weather data has been freely and openly accessible. Hourly air temperature data (°C) was retrieved using a</w:t>
      </w:r>
      <w:r>
        <w:t xml:space="preserve"> </w:t>
      </w:r>
      <w:hyperlink r:id="rId55">
        <w:r>
          <w:rPr>
            <w:rStyle w:val="Hyperlink"/>
          </w:rPr>
          <w:t xml:space="preserve">custom script</w:t>
        </w:r>
      </w:hyperlink>
      <w:r>
        <w:t xml:space="preserve"> </w:t>
      </w:r>
      <w:r>
        <w:t xml:space="preserve">as no API was available at the time of this study. Data form the nearest weather station of our study site (Lorient-Lann Bihoue, 47°45’46”N 3°26’11”W) were downloaded. For this station more than 395000 observation since the 1st of February 1952 were available.</w:t>
      </w:r>
    </w:p>
    <w:bookmarkEnd w:id="56"/>
    <w:bookmarkStart w:id="57" w:name="water-temperature"/>
    <w:p>
      <w:pPr>
        <w:pStyle w:val="Heading4"/>
      </w:pPr>
      <w:r>
        <w:t xml:space="preserve">3.2.2.2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w:t>
      </w:r>
    </w:p>
    <w:bookmarkEnd w:id="57"/>
    <w:bookmarkStart w:id="58" w:name="heatwave-detection-and-characterization"/>
    <w:p>
      <w:pPr>
        <w:pStyle w:val="Heading4"/>
      </w:pPr>
      <w:r>
        <w:t xml:space="preserve">3.2.2.3 Heatwave Detection and Characterization</w:t>
      </w:r>
    </w:p>
    <w:p>
      <w:pPr>
        <w:pStyle w:val="FirstParagraph"/>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w:t>
      </w:r>
    </w:p>
    <w:bookmarkEnd w:id="58"/>
    <w:bookmarkEnd w:id="59"/>
    <w:bookmarkStart w:id="61" w:name="satellite-observation"/>
    <w:p>
      <w:pPr>
        <w:pStyle w:val="Heading3"/>
      </w:pPr>
      <w:r>
        <w:t xml:space="preserve">3.2.3 Satellite Observation</w:t>
      </w:r>
    </w:p>
    <w:p>
      <w:pPr>
        <w:pStyle w:val="FirstParagraph"/>
      </w:pPr>
      <w:r>
        <w:t xml:space="preserve">Three Sentinel-2 images covering the field campaign site (</w:t>
      </w:r>
      <w:hyperlink w:anchor="fig-quiberonMap">
        <w:r>
          <w:rPr>
            <w:rStyle w:val="Hyperlink"/>
          </w:rPr>
          <w:t xml:space="preserve">Figure 3</w:t>
        </w:r>
      </w:hyperlink>
      <w:r>
        <w:t xml:space="preserve">) were downloaded from the Copernicus platform</w:t>
      </w:r>
      <w:r>
        <w:t xml:space="preserve"> </w:t>
      </w:r>
      <w:r>
        <w:t xml:space="preserve">(European Space Agency, 2024a)</w:t>
      </w:r>
      <w:r>
        <w:t xml:space="preserve">. The first image was taken before the heatwave event on September 1, 2021, the second image during the event on September 6, 2021 and the last one, one month after the events on the 8th of October 2021. Images were acquired as Level-2 product,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of each QPs (</w:t>
      </w:r>
      <w:hyperlink w:anchor="fig-quiberonMap">
        <w:r>
          <w:rPr>
            <w:rStyle w:val="Hyperlink"/>
          </w:rPr>
          <w:t xml:space="preserve">Figure 3</w:t>
        </w:r>
      </w:hyperlink>
      <w:r>
        <w:t xml:space="preserve">) were extracted and compared before and after the heatwave event.</w:t>
      </w:r>
    </w:p>
    <w:p>
      <w:pPr>
        <w:pStyle w:val="BodyText"/>
      </w:pPr>
      <w:r>
        <w:t xml:space="preserve">A remote sensing based seagrass covers estimation equation, the SC developed by</w:t>
      </w:r>
      <w:r>
        <w:t xml:space="preserve"> </w:t>
      </w:r>
      <w:r>
        <w:t xml:space="preserve">Zoffoli et al. (2020)</w:t>
      </w:r>
      <w:r>
        <w:t xml:space="preserve">, were used to retrieve the proportion of seagrass of Sentinel-2 pixel (</w:t>
      </w:r>
      <w:hyperlink w:anchor="eq-spc">
        <w:r>
          <w:rPr>
            <w:rStyle w:val="Hyperlink"/>
          </w:rPr>
          <w:t xml:space="preserve">Equation 4</w:t>
        </w:r>
      </w:hyperlink>
      <w:r>
        <w:t xml:space="preserve">):</w:t>
      </w:r>
    </w:p>
    <w:p>
      <w:pPr>
        <w:pStyle w:val="BodyText"/>
      </w:pPr>
      <w:bookmarkStart w:id="60" w:name="eq-spc"/>
      <m:oMathPara>
        <m:oMathParaPr>
          <m:jc m:val="center"/>
        </m:oMathParaPr>
        <m:oMath>
          <m:r>
            <m:t>S</m:t>
          </m:r>
          <m:r>
            <m:t>C</m:t>
          </m:r>
          <m:r>
            <m:rPr>
              <m:sty m:val="p"/>
            </m:rPr>
            <m:t>=</m:t>
          </m:r>
          <m:r>
            <m:t>172.06</m:t>
          </m:r>
          <m:r>
            <m:rPr>
              <m:sty m:val="p"/>
            </m:rPr>
            <m:t>×</m:t>
          </m:r>
          <m:r>
            <m:t>N</m:t>
          </m:r>
          <m:r>
            <m:t>D</m:t>
          </m:r>
          <m:r>
            <m:t>V</m:t>
          </m:r>
          <m:r>
            <m:t>I</m:t>
          </m:r>
          <m:r>
            <m:rPr>
              <m:sty m:val="p"/>
            </m:rPr>
            <m:t>−</m:t>
          </m:r>
          <m:r>
            <m:t>22.18</m:t>
          </m:r>
          <m:r>
            <m:t>  </m:t>
          </m:r>
          <m:d>
            <m:dPr>
              <m:begChr m:val="("/>
              <m:endChr m:val=")"/>
              <m:sepChr m:val=""/>
              <m:grow/>
            </m:dPr>
            <m:e>
              <m:r>
                <m:t>4</m:t>
              </m:r>
            </m:e>
          </m:d>
        </m:oMath>
      </m:oMathPara>
      <w:bookmarkEnd w:id="60"/>
    </w:p>
    <w:bookmarkEnd w:id="61"/>
    <w:bookmarkStart w:id="62" w:name="emersion-time-of-seagrasses"/>
    <w:p>
      <w:pPr>
        <w:pStyle w:val="Heading3"/>
      </w:pPr>
      <w:r>
        <w:t xml:space="preserve">3.2.4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“Service Hydrographique et Océanographique de la Marine”</w:t>
      </w:r>
      <w:r>
        <w:t xml:space="preserve"> </w:t>
      </w:r>
      <w:r>
        <w:t xml:space="preserve">(SHOM, 2021)</w:t>
      </w:r>
      <w:r>
        <w:t xml:space="preserve">. It corresponds to the Litto3D® product, which is a three-dimensional land-sea elevation database, accurately depicting the coastal terrain along certain regions of the French shores. It uses the NGF/IGN69 reference</w:t>
      </w:r>
      <w:r>
        <w:t xml:space="preserve"> </w:t>
      </w:r>
      <w:r>
        <w:t xml:space="preserve">“zero”</w:t>
      </w:r>
      <w:r>
        <w:t xml:space="preserve">, which corresponds to the mean sea level recorded at the Marseille tide gauge between 1885 and 1897, commonly known as the</w:t>
      </w:r>
      <w:r>
        <w:t xml:space="preserve"> </w:t>
      </w:r>
      <w:r>
        <w:t xml:space="preserve">“Terrestrial Altimetric Zero”</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“zero”</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“Références Altimétriques Marines”</w:t>
      </w:r>
      <w:r>
        <w:t xml:space="preserve"> </w:t>
      </w:r>
      <w:r>
        <w:t xml:space="preserve">(RAM, Shom, 2022)</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2"/>
    <w:bookmarkEnd w:id="63"/>
    <w:bookmarkStart w:id="64"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For analysis of relative changes in indices calculated from experimental spectra the relative change in index was modelled as function of Days (1-3: Discrete) with Run (1-3: Factor) and Timestep within Run (1-6: Factor) as cross random factors. Satellite derived indices were modelled as function of Date (1-3: Discrete) and Treatment (Impacted vs Unimpacted: Categorical). A General Additive Model (GAM) was used to assess the relationship between relative SDI change with emersion time. SDI was modelled as function of emersion time with a basis spline. All model parameters were estimated with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modelled assuming a Gaussian distribution, with weakly informative priors (Student-T(3,0,2.5)). Model parameters were estimated using Markov Chain Monte Carlo (MCMC) sampling, with 4 chains of 5000 iterations and a warm-up of 500.</w:t>
      </w:r>
    </w:p>
    <w:bookmarkEnd w:id="64"/>
    <w:bookmarkEnd w:id="65"/>
    <w:bookmarkStart w:id="108" w:name="results"/>
    <w:p>
      <w:pPr>
        <w:pStyle w:val="Heading1"/>
      </w:pPr>
      <w:r>
        <w:t xml:space="preserve">4. Results</w:t>
      </w:r>
    </w:p>
    <w:bookmarkStart w:id="83" w:name="laboratory-experiment-1"/>
    <w:p>
      <w:pPr>
        <w:pStyle w:val="Heading2"/>
      </w:pPr>
      <w:r>
        <w:t xml:space="preserve">4.1 Laboratory Experiment</w:t>
      </w:r>
    </w:p>
    <w:bookmarkStart w:id="71" w:name="spectral-inspection"/>
    <w:p>
      <w:pPr>
        <w:pStyle w:val="Heading3"/>
      </w:pPr>
      <w:r>
        <w:t xml:space="preserve">4.1.1 Spectral inspection</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5</w:t>
        </w:r>
      </w:hyperlink>
      <w:r>
        <w:t xml:space="preserve">).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5</w:t>
        </w:r>
      </w:hyperlink>
      <w:r>
        <w:t xml:space="preserve">, left).</w:t>
      </w:r>
    </w:p>
    <w:p>
      <w:pPr>
        <w:pStyle w:val="BodyText"/>
      </w:pPr>
      <w:r>
        <w:t xml:space="preserve">In contrast, the Treatment group showed more pronounced changes in reflectance throughout the experiment (</w:t>
      </w:r>
      <w:hyperlink w:anchor="fig-Exp_Spectra">
        <w:r>
          <w:rPr>
            <w:rStyle w:val="Hyperlink"/>
          </w:rPr>
          <w:t xml:space="preserve">Figure 5</w:t>
        </w:r>
      </w:hyperlink>
      <w:r>
        <w:t xml:space="preserve">, right). At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w:t>
      </w:r>
    </w:p>
    <w:bookmarkStart w:id="70" w:name="cell-fig-Exp_Spectra"/>
    <w:tbl>
      <w:tblPr>
        <w:tblStyle w:val="Table"/>
        <w:tblW w:type="pct" w:w="5000"/>
        <w:tblLayout w:type="fixed"/>
        <w:tblLook w:firstRow="0" w:lastRow="0" w:firstColumn="0" w:lastColumn="0" w:noHBand="0" w:noVBand="0" w:val="0000"/>
      </w:tblPr>
      <w:tblGrid>
        <w:gridCol w:w="7920"/>
      </w:tblGrid>
      <w:tr>
        <w:tc>
          <w:tcPr/>
          <w:bookmarkStart w:id="69" w:name="fig-Exp_Spectra"/>
          <w:p>
            <w:pPr>
              <w:pStyle w:val="Compact"/>
              <w:jc w:val="center"/>
            </w:pPr>
            <w:r>
              <w:drawing>
                <wp:inline>
                  <wp:extent cx="5646420" cy="2823210"/>
                  <wp:effectExtent b="0" l="0" r="0" t="0"/>
                  <wp:docPr descr="" title="" id="67" name="Picture"/>
                  <a:graphic>
                    <a:graphicData uri="http://schemas.openxmlformats.org/drawingml/2006/picture">
                      <pic:pic>
                        <pic:nvPicPr>
                          <pic:cNvPr descr="Figs/Low_res/plot_Spectra_exp.png" id="68" name="Picture"/>
                          <pic:cNvPicPr>
                            <a:picLocks noChangeArrowheads="1" noChangeAspect="1"/>
                          </pic:cNvPicPr>
                        </pic:nvPicPr>
                        <pic:blipFill>
                          <a:blip r:embed="rId66"/>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Standardized Hyperspectral Reflectance signature collected during the experiment for both the Control (Left) and the Treatment (Right). Color denotes the progression along the experiment from the beginning (Day 1: green), middle (Day 2: Yellow) and end (Day 3: Brown). A min-max standardization has been applied to each individual spectrum.</w:t>
            </w:r>
          </w:p>
          <w:bookmarkEnd w:id="69"/>
        </w:tc>
      </w:tr>
    </w:tbl>
    <w:bookmarkEnd w:id="70"/>
    <w:bookmarkEnd w:id="71"/>
    <w:bookmarkStart w:id="82" w:name="evolution-of-spectral-metrics"/>
    <w:p>
      <w:pPr>
        <w:pStyle w:val="Heading3"/>
      </w:pPr>
      <w:r>
        <w:t xml:space="preserve">4.1.2 Evolution of spectral metrics</w:t>
      </w:r>
    </w:p>
    <w:p>
      <w:pPr>
        <w:pStyle w:val="FirstParagraph"/>
      </w:pPr>
      <w:r>
        <w:t xml:space="preserve">The maximum difference of</w:t>
      </w:r>
      <w:r>
        <w:t xml:space="preserve"> </w:t>
      </w:r>
      <m:oMath>
        <m:r>
          <m:t>R</m:t>
        </m:r>
        <m:r>
          <m:rPr>
            <m:sty m:val="p"/>
          </m:rPr>
          <m:t>″</m:t>
        </m:r>
        <m:d>
          <m:dPr>
            <m:begChr m:val="("/>
            <m:endChr m:val=")"/>
            <m:sepChr m:val=""/>
            <m:grow/>
          </m:dPr>
          <m:e>
            <m:r>
              <m:t>λ</m:t>
            </m:r>
          </m:e>
        </m:d>
      </m:oMath>
      <w:r>
        <w:t xml:space="preserve"> </w:t>
      </w:r>
      <w:r>
        <w:t xml:space="preserve">was observed at 665 nm where the control was</w:t>
      </w:r>
      <w:r>
        <w:t xml:space="preserve"> </w:t>
      </w:r>
      <m:oMath>
        <m:r>
          <m:t>0.95</m:t>
        </m:r>
        <m:r>
          <m:rPr>
            <m:sty m:val="p"/>
          </m:rPr>
          <m:t>×</m:t>
        </m:r>
        <m:sSup>
          <m:e>
            <m:r>
              <m:t>10</m:t>
            </m:r>
          </m:e>
          <m:sup>
            <m:r>
              <m:rPr>
                <m:sty m:val="p"/>
              </m:rPr>
              <m:t>−</m:t>
            </m:r>
            <m:r>
              <m:t>4</m:t>
            </m:r>
          </m:sup>
        </m:sSup>
      </m:oMath>
      <w:r>
        <w:t xml:space="preserve"> </w:t>
      </w:r>
      <w:r>
        <w:t xml:space="preserve">higher than the treatment groups (</w:t>
      </w:r>
      <w:hyperlink w:anchor="fig-Exp_Spectral_indices">
        <w:r>
          <w:rPr>
            <w:rStyle w:val="Hyperlink"/>
          </w:rPr>
          <w:t xml:space="preserve">Figure 6</w:t>
        </w:r>
      </w:hyperlink>
      <w:r>
        <w:t xml:space="preserve"> </w:t>
      </w:r>
      <w:r>
        <w:t xml:space="preserve">A).</w:t>
      </w:r>
    </w:p>
    <w:p>
      <w:pPr>
        <w:pStyle w:val="BodyText"/>
      </w:pPr>
      <w:r>
        <w:t xml:space="preserve">Similar patterns were found for the (</w:t>
      </w:r>
      <m:oMath>
        <m:r>
          <m:t>R</m:t>
        </m:r>
        <m:sSub>
          <m:e>
            <m:r>
              <m:rPr>
                <m:sty m:val="p"/>
              </m:rPr>
              <m:t>″</m:t>
            </m:r>
          </m:e>
          <m:sub>
            <m:r>
              <m:t>665</m:t>
            </m:r>
            <m:r>
              <m:t> </m:t>
            </m:r>
            <m:r>
              <m:rPr>
                <m:nor/>
                <m:sty m:val="p"/>
              </m:rPr>
              <m:t>nm</m:t>
            </m:r>
          </m:sub>
        </m:sSub>
      </m:oMath>
      <w:r>
        <w:t xml:space="preserve">), NDVI and GLI, where the indices start similar to the control and consistently decline over the 3 days of experiment (</w:t>
      </w:r>
      <w:hyperlink w:anchor="fig-Exp_Spectral_indices">
        <w:r>
          <w:rPr>
            <w:rStyle w:val="Hyperlink"/>
          </w:rPr>
          <w:t xml:space="preserve">Figure 6</w:t>
        </w:r>
      </w:hyperlink>
      <w:r>
        <w:t xml:space="preserve"> </w:t>
      </w:r>
      <w:r>
        <w:t xml:space="preserve">B)</w:t>
      </w:r>
    </w:p>
    <w:p>
      <w:pPr>
        <w:pStyle w:val="BodyText"/>
      </w:pPr>
      <w:r>
        <w:t xml:space="preserve">At the start of the experiment (day 1)</w:t>
      </w:r>
      <w:r>
        <w:t xml:space="preserve"> </w:t>
      </w:r>
      <m:oMath>
        <m:r>
          <m:t>R</m:t>
        </m:r>
        <m:sSub>
          <m:e>
            <m:r>
              <m:rPr>
                <m:sty m:val="p"/>
              </m:rPr>
              <m:t>″</m:t>
            </m:r>
          </m:e>
          <m:sub>
            <m:r>
              <m:t>665</m:t>
            </m:r>
            <m:r>
              <m:t> </m:t>
            </m:r>
            <m:r>
              <m:rPr>
                <m:nor/>
                <m:sty m:val="p"/>
              </m:rPr>
              <m:t>nm</m:t>
            </m:r>
          </m:sub>
        </m:sSub>
      </m:oMath>
      <w:r>
        <w:t xml:space="preserve">, NDVI and GLI in the Treatment group were on average 13% greater, 3% lower and 2% lower, respectively, than that of the Control. However, by day 2, the Treatment showed a rapid decease of approximately 27%, 17% and 28%, eventually reaching a total decline of 68%, 31% and 54% by day 3.</w:t>
      </w:r>
    </w:p>
    <w:p>
      <w:pPr>
        <w:pStyle w:val="BodyText"/>
      </w:pPr>
      <w:r>
        <w:t xml:space="preserve">Unlike the other metrics, at the start of the experiment (day 1), the SDI for the Treatment group was on average 55 % greater than that of the Control. By day 2, the SDI for the Treatment exhibited a rapid decrease of approximately 241 %, eventually reaching a cumulative decline of 420 % by day 3 (</w:t>
      </w:r>
      <w:hyperlink w:anchor="fig-Exp_Spectral_indices">
        <w:r>
          <w:rPr>
            <w:rStyle w:val="Hyperlink"/>
          </w:rPr>
          <w:t xml:space="preserve">Figure 6</w:t>
        </w:r>
      </w:hyperlink>
      <w:r>
        <w:t xml:space="preserve"> </w:t>
      </w:r>
      <w:r>
        <w:t xml:space="preserve">E).</w:t>
      </w:r>
    </w:p>
    <w:bookmarkStart w:id="76" w:name="cell-fig-Exp_Spectral_indices"/>
    <w:tbl>
      <w:tblPr>
        <w:tblStyle w:val="Table"/>
        <w:tblW w:type="pct" w:w="5000"/>
        <w:tblLayout w:type="fixed"/>
        <w:tblLook w:firstRow="0" w:lastRow="0" w:firstColumn="0" w:lastColumn="0" w:noHBand="0" w:noVBand="0" w:val="0000"/>
      </w:tblPr>
      <w:tblGrid>
        <w:gridCol w:w="7920"/>
      </w:tblGrid>
      <w:tr>
        <w:tc>
          <w:tcPr/>
          <w:bookmarkStart w:id="75" w:name="fig-Exp_Spectral_indices"/>
          <w:p>
            <w:pPr>
              <w:pStyle w:val="Compact"/>
              <w:jc w:val="center"/>
            </w:pPr>
            <w:r>
              <w:drawing>
                <wp:inline>
                  <wp:extent cx="5646420" cy="6970888"/>
                  <wp:effectExtent b="0" l="0" r="0" t="0"/>
                  <wp:docPr descr="" title="" id="73" name="Picture"/>
                  <a:graphic>
                    <a:graphicData uri="http://schemas.openxmlformats.org/drawingml/2006/picture">
                      <pic:pic>
                        <pic:nvPicPr>
                          <pic:cNvPr descr="Figs/Low_res/merged_indices.png" id="74" name="Picture"/>
                          <pic:cNvPicPr>
                            <a:picLocks noChangeArrowheads="1" noChangeAspect="1"/>
                          </pic:cNvPicPr>
                        </pic:nvPicPr>
                        <pic:blipFill>
                          <a:blip r:embed="rId72"/>
                          <a:stretch>
                            <a:fillRect/>
                          </a:stretch>
                        </pic:blipFill>
                        <pic:spPr bwMode="auto">
                          <a:xfrm>
                            <a:off x="0" y="0"/>
                            <a:ext cx="5646420" cy="69708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Absolute difference in the second derivative of hyperspectral signature at the end of the experiment (A), and relative difference of the second derivative at 665 nm (B), the NDVI (C), the GLI (D) and the SDI (E) between the Control and the Treatment over time. Points indicate raw data, the line represents a generalized linear model, and the shaded area the model’s standard error.</w:t>
            </w:r>
          </w:p>
          <w:bookmarkEnd w:id="75"/>
        </w:tc>
      </w:tr>
    </w:tbl>
    <w:bookmarkEnd w:id="76"/>
    <w:p>
      <w:pPr>
        <w:pStyle w:val="BodyText"/>
      </w:pPr>
      <w:r>
        <w:t xml:space="preserve">The SDI revealed clear distinctions between the Control and Treatment groups (</w:t>
      </w:r>
      <w:hyperlink w:anchor="fig-SDI_over_Time">
        <w:r>
          <w:rPr>
            <w:rStyle w:val="Hyperlink"/>
          </w:rPr>
          <w:t xml:space="preserve">Figure 7</w:t>
        </w:r>
      </w:hyperlink>
      <w:r>
        <w:t xml:space="preserve">). At day 1, the SDI of the Control and Treatment groups are comparable, with value of -0.11 and -0.08, respectively. By the end of the experiment, seagrasses in the Treatment group exhibited an average SDI of 0.15, consistent with their visibly darkened appearance. In contrast, the Control group retained a green appearance throughout the experiment, with an average SDI of -0.07.</w:t>
      </w:r>
    </w:p>
    <w:bookmarkStart w:id="81" w:name="cell-fig-SDI_over_Time"/>
    <w:tbl>
      <w:tblPr>
        <w:tblStyle w:val="Table"/>
        <w:tblW w:type="pct" w:w="5000"/>
        <w:tblLayout w:type="fixed"/>
        <w:tblLook w:firstRow="0" w:lastRow="0" w:firstColumn="0" w:lastColumn="0" w:noHBand="0" w:noVBand="0" w:val="0000"/>
      </w:tblPr>
      <w:tblGrid>
        <w:gridCol w:w="7920"/>
      </w:tblGrid>
      <w:tr>
        <w:tc>
          <w:tcPr/>
          <w:bookmarkStart w:id="80" w:name="fig-SDI_over_Time"/>
          <w:p>
            <w:pPr>
              <w:pStyle w:val="Compact"/>
              <w:jc w:val="center"/>
            </w:pPr>
            <w:r>
              <w:drawing>
                <wp:inline>
                  <wp:extent cx="5646420" cy="3387852"/>
                  <wp:effectExtent b="0" l="0" r="0" t="0"/>
                  <wp:docPr descr="" title="" id="78" name="Picture"/>
                  <a:graphic>
                    <a:graphicData uri="http://schemas.openxmlformats.org/drawingml/2006/picture">
                      <pic:pic>
                        <pic:nvPicPr>
                          <pic:cNvPr descr="Figs/Low_res/SDI_exp_overtime.png" id="79" name="Picture"/>
                          <pic:cNvPicPr>
                            <a:picLocks noChangeArrowheads="1" noChangeAspect="1"/>
                          </pic:cNvPicPr>
                        </pic:nvPicPr>
                        <pic:blipFill>
                          <a:blip r:embed="rId77"/>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Average and standard deviation of the Seagrass Darkening Index (SDI) across expimental runs, at each day of the experiment. Tge green line shows values of the Control group while the golden line indicates values of the Treatment group.</w:t>
            </w:r>
          </w:p>
          <w:bookmarkEnd w:id="80"/>
        </w:tc>
      </w:tr>
    </w:tbl>
    <w:bookmarkEnd w:id="81"/>
    <w:bookmarkEnd w:id="82"/>
    <w:bookmarkEnd w:id="83"/>
    <w:bookmarkStart w:id="107" w:name="heatwaves-of-quiberon"/>
    <w:p>
      <w:pPr>
        <w:pStyle w:val="Heading2"/>
      </w:pPr>
      <w:r>
        <w:t xml:space="preserve">4.2 Heatwaves of Quiberon</w:t>
      </w:r>
    </w:p>
    <w:bookmarkStart w:id="89" w:name="spectral-inspection-1"/>
    <w:p>
      <w:pPr>
        <w:pStyle w:val="Heading3"/>
      </w:pPr>
      <w:r>
        <w:t xml:space="preserve">4.2.1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8</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8</w:t>
        </w:r>
      </w:hyperlink>
      <w:r>
        <w:t xml:space="preserve"> </w:t>
      </w:r>
      <w:r>
        <w:t xml:space="preserve">B). The AHW has been classified as a strong event, and the MHW was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8</w:t>
        </w:r>
      </w:hyperlink>
      <w:r>
        <w:t xml:space="preserve"> </w:t>
      </w:r>
      <w:r>
        <w:t xml:space="preserve">C). Before the event, all QPs appeared green on the images, with similar reflectance spectra, regardless of the class attributed to the QPs in the field after the events (</w:t>
      </w:r>
      <w:hyperlink w:anchor="fig-S2_comparison">
        <w:r>
          <w:rPr>
            <w:rStyle w:val="Hyperlink"/>
          </w:rPr>
          <w:t xml:space="preserve">Figure 8</w:t>
        </w:r>
      </w:hyperlink>
      <w:r>
        <w:t xml:space="preserve"> </w:t>
      </w:r>
      <w:r>
        <w:t xml:space="preserve">A and D left). Their reflectance spectra showed a peak at 560 nm (in the green part of the spectra), low values at 665 nm and a high infrared plateau (&gt; 705 nm). However, on the 6th of September, QPs classified as impacted during the field campaign, showed significant differences in reflectance spectral shape compared to QPs classified as unimpacted during the campaign, with corresponding differences in the true color composition (</w:t>
      </w:r>
      <w:hyperlink w:anchor="fig-S2_comparison">
        <w:r>
          <w:rPr>
            <w:rStyle w:val="Hyperlink"/>
          </w:rPr>
          <w:t xml:space="preserve">Figure 8</w:t>
        </w:r>
      </w:hyperlink>
      <w:r>
        <w:t xml:space="preserve"> </w:t>
      </w:r>
      <w:r>
        <w:t xml:space="preserve">C and D right). The reflectance spectra over dark seagrass were characterized by the loss of the reflectance peak at 560 nm and a decrease in the infrared plateau, which was observed as a steady increasing slope up to 940 nm.</w:t>
      </w:r>
    </w:p>
    <w:bookmarkStart w:id="88" w:name="cell-fig-S2_comparison"/>
    <w:tbl>
      <w:tblPr>
        <w:tblStyle w:val="Table"/>
        <w:tblW w:type="pct" w:w="5000"/>
        <w:tblLayout w:type="fixed"/>
        <w:tblLook w:firstRow="0" w:lastRow="0" w:firstColumn="0" w:lastColumn="0" w:noHBand="0" w:noVBand="0" w:val="0000"/>
      </w:tblPr>
      <w:tblGrid>
        <w:gridCol w:w="7920"/>
      </w:tblGrid>
      <w:tr>
        <w:tc>
          <w:tcPr/>
          <w:bookmarkStart w:id="87" w:name="fig-S2_comparison"/>
          <w:p>
            <w:pPr>
              <w:pStyle w:val="Compact"/>
              <w:jc w:val="center"/>
            </w:pPr>
            <w:r>
              <w:drawing>
                <wp:inline>
                  <wp:extent cx="5646420" cy="5392331"/>
                  <wp:effectExtent b="0" l="0" r="0" t="0"/>
                  <wp:docPr descr="" title="" id="85" name="Picture"/>
                  <a:graphic>
                    <a:graphicData uri="http://schemas.openxmlformats.org/drawingml/2006/picture">
                      <pic:pic>
                        <pic:nvPicPr>
                          <pic:cNvPr descr="Figs/Low_res/Heatwaves_S2_plot.png" id="86" name="Picture"/>
                          <pic:cNvPicPr>
                            <a:picLocks noChangeArrowheads="1" noChangeAspect="1"/>
                          </pic:cNvPicPr>
                        </pic:nvPicPr>
                        <pic:blipFill>
                          <a:blip r:embed="rId84"/>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Spectral Comparison of Sentinel-2 Reflectance (D) of Quadrats Points (QPs) Before (A) and During (C) Heatwave Events (B); A: RGB color composition of the Sentinel-2 image on the 1st of September 2021. The points correspond to QPs collected on September 10, 2021, with unimpacted seagrass in green and impacted seagrass in golden;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with unimpacted seagrass in green and impacted seagrass in golden; D : Average spectral signatures of QPs where dark and green seagrasses (gold and green lines, respectively) were identified during the field survey. The left plot shows the reflectance of these QPs before the heatwave impact, while the right plot shows the spectral signature during the heatwaves. The ribbons around the lines represent the standard deviation.</w:t>
            </w:r>
          </w:p>
          <w:bookmarkEnd w:id="87"/>
        </w:tc>
      </w:tr>
    </w:tbl>
    <w:bookmarkEnd w:id="88"/>
    <w:bookmarkEnd w:id="89"/>
    <w:bookmarkStart w:id="95" w:name="sentinel-2-derived-metrics-comparison"/>
    <w:p>
      <w:pPr>
        <w:pStyle w:val="Heading3"/>
      </w:pPr>
      <w:r>
        <w:t xml:space="preserve">4.2.2 Sentinel-2 derived metrics comparison</w:t>
      </w:r>
    </w:p>
    <w:p>
      <w:pPr>
        <w:pStyle w:val="FirstParagraph"/>
      </w:pPr>
      <w:r>
        <w:t xml:space="preserve">Using Sentinel-2 data, NDVI, Seagrass Cover (SC), GLI and SDI estimated for pixels unaffected by the heatwave showed minimal changes for all metrics of -1 %, -1 %, -10 and 3 %, respectively between the 1st of September and the 6th of September (</w:t>
      </w:r>
      <w:hyperlink w:anchor="fig-NDVI_GLI_SPC">
        <w:r>
          <w:rPr>
            <w:rStyle w:val="Hyperlink"/>
          </w:rPr>
          <w:t xml:space="preserve">Figure 9</w:t>
        </w:r>
      </w:hyperlink>
      <w:r>
        <w:t xml:space="preserve">). In contrast, seagrass impacted by the heatwave exhibited a significant changes in all metrics. Because the SC is linearly related to the NDVI, both metrics dropped of 35 %, however the drop in SC was not due to a loss of density of seagrass on the field (</w:t>
      </w:r>
      <w:hyperlink w:anchor="fig-QuiberonImg">
        <w:r>
          <w:rPr>
            <w:rStyle w:val="Hyperlink"/>
          </w:rPr>
          <w:t xml:space="preserve">Figure 4</w:t>
        </w:r>
      </w:hyperlink>
      <w:r>
        <w:t xml:space="preserve">). The GLI drops of about 85% at the 6th of September. The SDI was the most sensitive metric to the darkening of seagrasses, showing an increase of 97 % during heatwave exposure (</w:t>
      </w:r>
      <w:hyperlink w:anchor="fig-NDVI_GLI_SPC">
        <w:r>
          <w:rPr>
            <w:rStyle w:val="Hyperlink"/>
          </w:rPr>
          <w:t xml:space="preserve">Figure 9</w:t>
        </w:r>
      </w:hyperlink>
      <w:r>
        <w:t xml:space="preserve">).</w:t>
      </w:r>
    </w:p>
    <w:p>
      <w:pPr>
        <w:pStyle w:val="BodyText"/>
      </w:pPr>
      <w:r>
        <w:t xml:space="preserve">One month later the heatwaves events, on the 8th of October, all metrics of unimpacted QPs had increased compared to the 1st of September: The NDVI and SC by 21 %, The GLI by 15 % and the SDI 14 %. Concerning QPs impacted by the heatwaves, even though all the metrics were closer to the values they had prior to the heatwaves, they have not regained their level from before the events. By the 8th of October, the NDVI and the SC of these QPs were 5 % lower, The GLI was 16 % lower and the SDI 14 % higher than on the 1st of September.</w:t>
      </w:r>
    </w:p>
    <w:bookmarkStart w:id="94" w:name="cell-fig-NDVI_GLI_SPC"/>
    <w:tbl>
      <w:tblPr>
        <w:tblStyle w:val="Table"/>
        <w:tblW w:type="pct" w:w="5000"/>
        <w:tblLayout w:type="fixed"/>
        <w:tblLook w:firstRow="0" w:lastRow="0" w:firstColumn="0" w:lastColumn="0" w:noHBand="0" w:noVBand="0" w:val="0000"/>
      </w:tblPr>
      <w:tblGrid>
        <w:gridCol w:w="7920"/>
      </w:tblGrid>
      <w:tr>
        <w:tc>
          <w:tcPr/>
          <w:bookmarkStart w:id="93" w:name="fig-NDVI_GLI_SPC"/>
          <w:p>
            <w:pPr>
              <w:pStyle w:val="Compact"/>
              <w:jc w:val="center"/>
            </w:pPr>
            <w:r>
              <w:drawing>
                <wp:inline>
                  <wp:extent cx="5646420" cy="5646420"/>
                  <wp:effectExtent b="0" l="0" r="0" t="0"/>
                  <wp:docPr descr="" title="" id="91" name="Picture"/>
                  <a:graphic>
                    <a:graphicData uri="http://schemas.openxmlformats.org/drawingml/2006/picture">
                      <pic:pic>
                        <pic:nvPicPr>
                          <pic:cNvPr descr="Figs/Low_res/Compares_Indices_S2.png" id="92" name="Picture"/>
                          <pic:cNvPicPr>
                            <a:picLocks noChangeArrowheads="1" noChangeAspect="1"/>
                          </pic:cNvPicPr>
                        </pic:nvPicPr>
                        <pic:blipFill>
                          <a:blip r:embed="rId90"/>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Relative difference of the Normalized Difference Vegetation Index (NDVI: A); Seagrass Cover (SC: B); Green Leaf Index (GLI: C); and Seagrass Darkening Index (SDI: D) to the 1st of September 2021 of Sentinel-2 based metrics at two different dates : during (2021-09-06) and after the heatwave events (2021-10-08) of Quiberons, for the two category of QPs : Unimpacted seagrasses (green) and Impacted Seagrasses (golden). Points represent predicted value of the metric using a Generalized Linear Model (GLM) while error bar represent the 89% confidance interval of it.</w:t>
            </w:r>
          </w:p>
          <w:bookmarkEnd w:id="93"/>
        </w:tc>
      </w:tr>
    </w:tbl>
    <w:bookmarkEnd w:id="94"/>
    <w:bookmarkEnd w:id="95"/>
    <w:bookmarkStart w:id="106" w:name="mapping-of-the-seagrass-darkening"/>
    <w:p>
      <w:pPr>
        <w:pStyle w:val="Heading3"/>
      </w:pPr>
      <w:r>
        <w:t xml:space="preserve">4.2.3 Mapping of the seagrass darkening</w:t>
      </w:r>
    </w:p>
    <w:p>
      <w:pPr>
        <w:pStyle w:val="FirstParagraph"/>
      </w:pPr>
      <w:r>
        <w:t xml:space="preserve">Using the SDI (</w:t>
      </w:r>
      <w:hyperlink w:anchor="eq-SDI">
        <w:r>
          <w:rPr>
            <w:rStyle w:val="Hyperlink"/>
          </w:rPr>
          <w:t xml:space="preserve">Equation 3</w:t>
        </w:r>
      </w:hyperlink>
      <w:r>
        <w:t xml:space="preserve">), we detected seagrass patches that have darkened (</w:t>
      </w:r>
      <w:hyperlink w:anchor="fig-Map_darkening_Bathy">
        <w:r>
          <w:rPr>
            <w:rStyle w:val="Hyperlink"/>
          </w:rPr>
          <w:t xml:space="preserve">Figure 10</w:t>
        </w:r>
      </w:hyperlink>
      <w:r>
        <w:t xml:space="preserve">).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revealed that 94.6 % of darkened areas were located at above 3.9 meters of bathymetry (</w:t>
      </w:r>
      <w:hyperlink w:anchor="fig-Map_darkening_Bathy">
        <w:r>
          <w:rPr>
            <w:rStyle w:val="Hyperlink"/>
          </w:rPr>
          <w:t xml:space="preserve">Figure 10</w:t>
        </w:r>
      </w:hyperlink>
      <w:r>
        <w:t xml:space="preserve">, A and B). One month later, on October 8th, areas that were previously darkened had regained their green color (</w:t>
      </w:r>
      <w:hyperlink w:anchor="fig-Map_darkening_Bathy">
        <w:r>
          <w:rPr>
            <w:rStyle w:val="Hyperlink"/>
          </w:rPr>
          <w:t xml:space="preserve">Figure 10</w:t>
        </w:r>
      </w:hyperlink>
      <w:r>
        <w:t xml:space="preserve">, C).</w:t>
      </w:r>
    </w:p>
    <w:bookmarkStart w:id="100" w:name="cell-fig-Map_darkening_Bathy"/>
    <w:tbl>
      <w:tblPr>
        <w:tblStyle w:val="Table"/>
        <w:tblW w:type="pct" w:w="5000"/>
        <w:tblLayout w:type="fixed"/>
        <w:tblLook w:firstRow="0" w:lastRow="0" w:firstColumn="0" w:lastColumn="0" w:noHBand="0" w:noVBand="0" w:val="0000"/>
      </w:tblPr>
      <w:tblGrid>
        <w:gridCol w:w="7920"/>
      </w:tblGrid>
      <w:tr>
        <w:tc>
          <w:tcPr/>
          <w:bookmarkStart w:id="99" w:name="fig-Map_darkening_Bathy"/>
          <w:p>
            <w:pPr>
              <w:pStyle w:val="Compact"/>
              <w:jc w:val="center"/>
            </w:pPr>
            <w:r>
              <w:drawing>
                <wp:inline>
                  <wp:extent cx="5646420" cy="3500780"/>
                  <wp:effectExtent b="0" l="0" r="0" t="0"/>
                  <wp:docPr descr="" title="" id="97" name="Picture"/>
                  <a:graphic>
                    <a:graphicData uri="http://schemas.openxmlformats.org/drawingml/2006/picture">
                      <pic:pic>
                        <pic:nvPicPr>
                          <pic:cNvPr descr="Figs/Low_res/Map_darkening_Bathy.png" id="98" name="Picture"/>
                          <pic:cNvPicPr>
                            <a:picLocks noChangeArrowheads="1" noChangeAspect="1"/>
                          </pic:cNvPicPr>
                        </pic:nvPicPr>
                        <pic:blipFill>
                          <a:blip r:embed="rId96"/>
                          <a:stretch>
                            <a:fillRect/>
                          </a:stretch>
                        </pic:blipFill>
                        <pic:spPr bwMode="auto">
                          <a:xfrm>
                            <a:off x="0" y="0"/>
                            <a:ext cx="5646420" cy="35007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Map of the Darkening of seagrasses during the heatwave events of September 2021 in Quiberon. A: 3.9 m bathymetry isobar (golden line); B: Result of the detection of darkened seagrass patches (Blue polygons); C: Sentinel-2 image one month after the end of the heatwaves (2021-10-08).</w:t>
            </w:r>
          </w:p>
          <w:bookmarkEnd w:id="99"/>
        </w:tc>
      </w:tr>
    </w:tbl>
    <w:bookmarkEnd w:id="100"/>
    <w:p>
      <w:pPr>
        <w:pStyle w:val="BodyText"/>
      </w:pPr>
      <w:r>
        <w:t xml:space="preserve">Additionally, seagrass emersion time revealed a clear relationship between the duration of air exposure and seagrass darkening (</w:t>
      </w:r>
      <w:hyperlink w:anchor="fig-GAM_Emersion">
        <w:r>
          <w:rPr>
            <w:rStyle w:val="Hyperlink"/>
          </w:rPr>
          <w:t xml:space="preserve">Figure 11</w:t>
        </w:r>
      </w:hyperlink>
      <w:r>
        <w:t xml:space="preserve">). During the heatwave, no significant darkening occurred with daily exposure less than 13 hours. However, above 13 hours, seagrasses began to darken, reaching peak darkening at around 14.5 hours of daily exposure.</w:t>
      </w:r>
    </w:p>
    <w:bookmarkStart w:id="105" w:name="cell-fig-GAM_Emersion"/>
    <w:tbl>
      <w:tblPr>
        <w:tblStyle w:val="Table"/>
        <w:tblW w:type="pct" w:w="5000"/>
        <w:tblLayout w:type="fixed"/>
        <w:tblLook w:firstRow="0" w:lastRow="0" w:firstColumn="0" w:lastColumn="0" w:noHBand="0" w:noVBand="0" w:val="0000"/>
      </w:tblPr>
      <w:tblGrid>
        <w:gridCol w:w="7920"/>
      </w:tblGrid>
      <w:tr>
        <w:tc>
          <w:tcPr/>
          <w:bookmarkStart w:id="104" w:name="fig-GAM_Emersion"/>
          <w:p>
            <w:pPr>
              <w:pStyle w:val="Compact"/>
              <w:jc w:val="center"/>
            </w:pPr>
            <w:r>
              <w:drawing>
                <wp:inline>
                  <wp:extent cx="5646420" cy="2823210"/>
                  <wp:effectExtent b="0" l="0" r="0" t="0"/>
                  <wp:docPr descr="" title="" id="102" name="Picture"/>
                  <a:graphic>
                    <a:graphicData uri="http://schemas.openxmlformats.org/drawingml/2006/picture">
                      <pic:pic>
                        <pic:nvPicPr>
                          <pic:cNvPr descr="Figs/Low_res/GAM_emersion.png" id="103" name="Picture"/>
                          <pic:cNvPicPr>
                            <a:picLocks noChangeArrowheads="1" noChangeAspect="1"/>
                          </pic:cNvPicPr>
                        </pic:nvPicPr>
                        <pic:blipFill>
                          <a:blip r:embed="rId101"/>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Relative change of the Seagrass Darkening Index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bookmarkEnd w:id="104"/>
        </w:tc>
      </w:tr>
    </w:tbl>
    <w:bookmarkEnd w:id="105"/>
    <w:bookmarkEnd w:id="106"/>
    <w:bookmarkEnd w:id="107"/>
    <w:bookmarkEnd w:id="108"/>
    <w:bookmarkStart w:id="113" w:name="discussion"/>
    <w:p>
      <w:pPr>
        <w:pStyle w:val="Heading1"/>
      </w:pPr>
      <w:r>
        <w:t xml:space="preserve">5. Discussion</w:t>
      </w:r>
    </w:p>
    <w:bookmarkStart w:id="109" w:name="Xd32f8be805d1b37672f96d647c22fdb6e508461"/>
    <w:p>
      <w:pPr>
        <w:pStyle w:val="Heading2"/>
      </w:pPr>
      <w:r>
        <w:t xml:space="preserve">5.1 Physiological impacts of heatwaves on seagrasses</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w:t>
      </w:r>
      <w:hyperlink w:anchor="fig-Exp_Spectral_indices">
        <w:r>
          <w:rPr>
            <w:rStyle w:val="Hyperlink"/>
          </w:rPr>
          <w:t xml:space="preserve">Figure 6</w:t>
        </w:r>
      </w:hyperlink>
      <w:r>
        <w:t xml:space="preserve">). The second derivative at 665 nm (R’’665), NDVI, and GLI (</w:t>
      </w:r>
      <w:hyperlink w:anchor="fig-Exp_Spectral_indices">
        <w:r>
          <w:rPr>
            <w:rStyle w:val="Hyperlink"/>
          </w:rPr>
          <w:t xml:space="preserve">Figure 6</w:t>
        </w:r>
      </w:hyperlink>
      <w:r>
        <w:t xml:space="preserve"> </w:t>
      </w:r>
      <w:r>
        <w:t xml:space="preserve">B, C, and D) all demonstrated a clear decline over the experimental period (days 1-3), suggesting a progressive reduction in photosynthetic activity or pigment levels in the treatment group relative to the control. In contrast, SDI shows a marked increase, reaching up to 600% for some samples by day 3 (</w:t>
      </w:r>
      <w:hyperlink w:anchor="fig-Exp_Spectral_indices">
        <w:r>
          <w:rPr>
            <w:rStyle w:val="Hyperlink"/>
          </w:rPr>
          <w:t xml:space="preserve">Figure 6</w:t>
        </w:r>
      </w:hyperlink>
      <w:r>
        <w:t xml:space="preserve"> </w:t>
      </w:r>
      <w:r>
        <w:t xml:space="preserve">E). This positive trend in SDI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SDI than for the other indices. This suggests that while darkening is a consistent response, it may vary in intensity between individual samples or experimental runs. Furthermore, the contrasting magnitudes of change—especially the pronounced increases in SDI versus the declines in other indices—highlight the sensitivity of SDI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w:t>
      </w:r>
      <w:r>
        <w:t xml:space="preserve"> </w:t>
      </w:r>
      <w:r>
        <w:t xml:space="preserve">(Dascaliuc et al., 2007; Jones and Clayton-Greene, 1992)</w:t>
      </w:r>
      <w:r>
        <w:t xml:space="preserve">.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hyperlink w:anchor="fig-GAM_Emersion">
        <w:r>
          <w:rPr>
            <w:rStyle w:val="Hyperlink"/>
          </w:rPr>
          <w:t xml:space="preserve">Figure 11</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3</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109"/>
    <w:bookmarkStart w:id="110" w:name="climate-change-and-heatwaves"/>
    <w:p>
      <w:pPr>
        <w:pStyle w:val="Heading2"/>
      </w:pPr>
      <w:r>
        <w:t xml:space="preserve">5.2 Climate change and heatwaves</w:t>
      </w:r>
    </w:p>
    <w:p>
      <w:pPr>
        <w:pStyle w:val="FirstParagraph"/>
      </w:pPr>
      <w:r>
        <w:t xml:space="preserve">The rapid global escalation of heatwave frequency, intensity and duration is a defining characteristic of the current climate crisis, heavily influenced by anthropogenic activities and greenhouse gas emissions</w:t>
      </w:r>
      <w:r>
        <w:t xml:space="preserve"> </w:t>
      </w:r>
      <w:r>
        <w:t xml:space="preserve">(Devi et al., 2024; Russo and Domeisen, 2023)</w:t>
      </w:r>
      <w:r>
        <w:t xml:space="preserve">. Recent research suggests that the magnitude of these events has surged in the recent decades, with climate projections predicting a continuation of this trend. For example, heatwaves that were once considered rare are now up to ten times more likely to occur, with some regions experiencing events three times as intense as those in the early 20th century.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“Blob”</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110"/>
    <w:bookmarkStart w:id="111" w:name="seagrass-resilience-to-heatwaves"/>
    <w:p>
      <w:pPr>
        <w:pStyle w:val="Heading2"/>
      </w:pPr>
      <w:r>
        <w:t xml:space="preserve">5.3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experience prolonged immersion throughout the tidal cycle,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w:t>
      </w:r>
      <w:r>
        <w:t xml:space="preserve"> </w:t>
      </w:r>
      <w:r>
        <w:rPr>
          <w:i/>
          <w:iCs/>
        </w:rPr>
        <w:t xml:space="preserve">Z. noltei</w:t>
      </w:r>
      <w:r>
        <w:t xml:space="preserve"> </w:t>
      </w:r>
      <w:r>
        <w:t xml:space="preserve">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Zostera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w:t>
      </w:r>
      <w:r>
        <w:t xml:space="preserve"> </w:t>
      </w:r>
      <w:r>
        <w:t xml:space="preserve">(Franssen et al., 2014; Massa et al., 2009)</w:t>
      </w:r>
      <w:r>
        <w:t xml:space="preserve">. However, prolonged or more intense heat events posed a greater challenge, highlighting the species’ limited capacity to withstand chronic thermal stress. The long-term impact of heatwaves is especially evident in changes to seagrass cover (SC). Before the heatwave event on 1st September 2021, impacted seagrass patches exhibited higher SC than non-impacted areas. However, during the event on 6th September, SC in the impacted patch experienced a sharp decline. By 8th October, one month post-event, the SC of impacted seagrasses, initially higher, had fallen below that of non-impacted seagrasses (</w:t>
      </w:r>
      <w:hyperlink w:anchor="fig-NDVI_GLI_SPC">
        <w:r>
          <w:rPr>
            <w:rStyle w:val="Hyperlink"/>
          </w:rPr>
          <w:t xml:space="preserve">Figure 9</w:t>
        </w:r>
      </w:hyperlink>
      <w:r>
        <w:t xml:space="preserve">). The observed decrease in seagrass cover on 6th September was primarily due to leaf darkening, which influenced the NDVI measurements used to estimate SC. This darkening effect reduced the NDVI values, creating an apparent decrease in SC in the impacted patch when, in reality, the density of seagrass remained stable (</w:t>
      </w:r>
      <w:hyperlink w:anchor="fig-QuiberonImg">
        <w:r>
          <w:rPr>
            <w:rStyle w:val="Hyperlink"/>
          </w:rPr>
          <w:t xml:space="preserve">Figure 4</w:t>
        </w:r>
      </w:hyperlink>
      <w:r>
        <w:t xml:space="preserv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 xml:space="preserve">Figure 9</w:t>
        </w:r>
      </w:hyperlink>
      <w:r>
        <w:t xml:space="preserve">).</w:t>
      </w:r>
    </w:p>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bookmarkEnd w:id="111"/>
    <w:bookmarkStart w:id="112" w:name="big-picture"/>
    <w:p>
      <w:pPr>
        <w:pStyle w:val="Heading2"/>
      </w:pPr>
      <w:r>
        <w:t xml:space="preserve">5.4 Big picture</w:t>
      </w:r>
    </w:p>
    <w:p>
      <w:pPr>
        <w:pStyle w:val="FirstParagraph"/>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12"/>
    <w:bookmarkEnd w:id="113"/>
    <w:bookmarkStart w:id="114" w:name="conclusion"/>
    <w:p>
      <w:pPr>
        <w:pStyle w:val="Heading1"/>
      </w:pPr>
      <w:r>
        <w:t xml:space="preserve">6.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14"/>
    <w:bookmarkStart w:id="119" w:name="annexes"/>
    <w:p>
      <w:pPr>
        <w:pStyle w:val="Heading1"/>
      </w:pPr>
      <w:r>
        <w:t xml:space="preserve">7. Annexes</w:t>
      </w:r>
    </w:p>
    <w:bookmarkStart w:id="118"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6" name="Picture"/>
            <a:graphic>
              <a:graphicData uri="http://schemas.openxmlformats.org/drawingml/2006/picture">
                <pic:pic>
                  <pic:nvPicPr>
                    <pic:cNvPr descr="Figs/High_res/Temperature_compare.png" id="117" name="Picture"/>
                    <pic:cNvPicPr>
                      <a:picLocks noChangeArrowheads="1" noChangeAspect="1"/>
                    </pic:cNvPicPr>
                  </pic:nvPicPr>
                  <pic:blipFill>
                    <a:blip r:embed="rId11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18"/>
    <w:bookmarkEnd w:id="119"/>
    <w:bookmarkStart w:id="228" w:name="references"/>
    <w:p>
      <w:pPr>
        <w:pStyle w:val="Heading1"/>
      </w:pPr>
      <w:r>
        <w:t xml:space="preserve">8. References</w:t>
      </w:r>
    </w:p>
    <w:bookmarkStart w:id="227" w:name="refs"/>
    <w:bookmarkStart w:id="120"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0"/>
    <w:bookmarkStart w:id="121"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1"/>
    <w:bookmarkStart w:id="122"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2"/>
    <w:bookmarkStart w:id="124"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3">
        <w:r>
          <w:rPr>
            <w:rStyle w:val="Hyperlink"/>
          </w:rPr>
          <w:t xml:space="preserve">https://doi.org/10.3354/meps14588</w:t>
        </w:r>
      </w:hyperlink>
    </w:p>
    <w:bookmarkEnd w:id="124"/>
    <w:bookmarkStart w:id="125"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5"/>
    <w:bookmarkStart w:id="127" w:name="ref-JSSv100i05"/>
    <w:p>
      <w:pPr>
        <w:pStyle w:val="Bibliography"/>
      </w:pPr>
      <w:r>
        <w:t xml:space="preserve">Bürkner, P.-C., 2021. Bayesian item response modeling in r with brms and stan. Journal of Statistical Software 100, 1–54.</w:t>
      </w:r>
      <w:r>
        <w:t xml:space="preserve"> </w:t>
      </w:r>
      <w:hyperlink r:id="rId126">
        <w:r>
          <w:rPr>
            <w:rStyle w:val="Hyperlink"/>
          </w:rPr>
          <w:t xml:space="preserve">https://doi.org/10.18637/jss.v100.i05</w:t>
        </w:r>
      </w:hyperlink>
    </w:p>
    <w:bookmarkEnd w:id="127"/>
    <w:bookmarkStart w:id="128"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8"/>
    <w:bookmarkStart w:id="129"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29"/>
    <w:bookmarkStart w:id="130" w:name="ref-canadell2021ecosystem"/>
    <w:p>
      <w:pPr>
        <w:pStyle w:val="Bibliography"/>
      </w:pPr>
      <w:r>
        <w:t xml:space="preserve">Canadell, J.G., Jackson, R.B., 2021. Ecosystem collapse and climate change. Springer.</w:t>
      </w:r>
    </w:p>
    <w:bookmarkEnd w:id="130"/>
    <w:bookmarkStart w:id="132"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1">
        <w:r>
          <w:rPr>
            <w:rStyle w:val="Hyperlink"/>
          </w:rPr>
          <w:t xml:space="preserve">https://doi.org/10.18637/jss.v076.i01</w:t>
        </w:r>
      </w:hyperlink>
    </w:p>
    <w:bookmarkEnd w:id="132"/>
    <w:bookmarkStart w:id="134"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3">
        <w:r>
          <w:rPr>
            <w:rStyle w:val="Hyperlink"/>
          </w:rPr>
          <w:t xml:space="preserve">https://doi.org/10.48670/moi-00311</w:t>
        </w:r>
      </w:hyperlink>
    </w:p>
    <w:bookmarkEnd w:id="134"/>
    <w:bookmarkStart w:id="136"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5">
        <w:r>
          <w:rPr>
            <w:rStyle w:val="Hyperlink"/>
          </w:rPr>
          <w:t xml:space="preserve">https://doi.org/10.1007/s11099-007-0084-3</w:t>
        </w:r>
      </w:hyperlink>
    </w:p>
    <w:bookmarkEnd w:id="136"/>
    <w:bookmarkStart w:id="137"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37"/>
    <w:bookmarkStart w:id="139"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8">
        <w:r>
          <w:rPr>
            <w:rStyle w:val="Hyperlink"/>
          </w:rPr>
          <w:t xml:space="preserve">https://doi.org/10.1038/s43247-024-01543-z</w:t>
        </w:r>
      </w:hyperlink>
    </w:p>
    <w:bookmarkEnd w:id="139"/>
    <w:bookmarkStart w:id="141"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0">
        <w:r>
          <w:rPr>
            <w:rStyle w:val="Hyperlink"/>
          </w:rPr>
          <w:t xml:space="preserve">https://doi.org/10.1016/j.rse.2024.114340</w:t>
        </w:r>
      </w:hyperlink>
    </w:p>
    <w:bookmarkEnd w:id="141"/>
    <w:bookmarkStart w:id="142"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2"/>
    <w:bookmarkStart w:id="143" w:name="ref-deguette2022physiological"/>
    <w:p>
      <w:pPr>
        <w:pStyle w:val="Bibliography"/>
      </w:pPr>
      <w:r>
        <w:t xml:space="preserve">Deguette, A., Barrote, I., Silva, J., 2022. Physiological and morphological effects of a marine heatwave on the seagrass cymodocea nodosa. Scientific Reports 12, 7950.</w:t>
      </w:r>
    </w:p>
    <w:bookmarkEnd w:id="143"/>
    <w:bookmarkStart w:id="144" w:name="ref-devi2024intensity"/>
    <w:p>
      <w:pPr>
        <w:pStyle w:val="Bibliography"/>
      </w:pPr>
      <w:r>
        <w:t xml:space="preserve">Devi, R., Gouda, K., Lenka, S., 2024. Intensity duration and frequency of heat wave in different phases of MJO over india. Atmospheric Research 300, 107250.</w:t>
      </w:r>
    </w:p>
    <w:bookmarkEnd w:id="144"/>
    <w:bookmarkStart w:id="145" w:name="ref-douay2022new"/>
    <w:p>
      <w:pPr>
        <w:pStyle w:val="Bibliography"/>
      </w:pPr>
      <w:r>
        <w:t xml:space="preserve">Douay, F., Verpoorter, C., Duong, G., Spilmont, N., Gevaert, F., 2022. New hyperspectral procedure to discriminate intertidal macroalgae. Remote Sensing 14, 346.</w:t>
      </w:r>
    </w:p>
    <w:bookmarkEnd w:id="145"/>
    <w:bookmarkStart w:id="147" w:name="ref-electricblue_intertidal_chamber"/>
    <w:p>
      <w:pPr>
        <w:pStyle w:val="Bibliography"/>
      </w:pPr>
      <w:r>
        <w:t xml:space="preserve">Electric Blue, 2023.</w:t>
      </w:r>
      <w:r>
        <w:t xml:space="preserve"> </w:t>
      </w:r>
      <w:hyperlink r:id="rId146">
        <w:r>
          <w:rPr>
            <w:rStyle w:val="Hyperlink"/>
          </w:rPr>
          <w:t xml:space="preserve">Intertidal chamber</w:t>
        </w:r>
      </w:hyperlink>
      <w:r>
        <w:t xml:space="preserve">.</w:t>
      </w:r>
    </w:p>
    <w:bookmarkEnd w:id="147"/>
    <w:bookmarkStart w:id="148" w:name="ref-sen2cor"/>
    <w:p>
      <w:pPr>
        <w:pStyle w:val="Bibliography"/>
      </w:pPr>
      <w:r>
        <w:t xml:space="preserve">European Space Agency, 2024b. Sen2Cor: Sentinel-2 atmospheric correction processor.</w:t>
      </w:r>
    </w:p>
    <w:bookmarkEnd w:id="148"/>
    <w:bookmarkStart w:id="149" w:name="ref-copernicus_sentinel2"/>
    <w:p>
      <w:pPr>
        <w:pStyle w:val="Bibliography"/>
      </w:pPr>
      <w:r>
        <w:t xml:space="preserve">European Space Agency, 2024a. Copernicus open access hub.</w:t>
      </w:r>
    </w:p>
    <w:bookmarkEnd w:id="149"/>
    <w:bookmarkStart w:id="150"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0"/>
    <w:bookmarkStart w:id="151"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1"/>
    <w:bookmarkStart w:id="152"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2"/>
    <w:bookmarkStart w:id="153"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3"/>
    <w:bookmarkStart w:id="154" w:name="ref-gardner2018global"/>
    <w:p>
      <w:pPr>
        <w:pStyle w:val="Bibliography"/>
      </w:pPr>
      <w:r>
        <w:t xml:space="preserve">Gardner, R.C., Finlayson, C., 2018. Global wetland outlook: State of the world’s wetlands and their services to people, in: Ramsar Convention Secretariat. pp. 2020–5.</w:t>
      </w:r>
    </w:p>
    <w:bookmarkEnd w:id="154"/>
    <w:bookmarkStart w:id="155"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5"/>
    <w:bookmarkStart w:id="157"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6">
        <w:r>
          <w:rPr>
            <w:rStyle w:val="Hyperlink"/>
          </w:rPr>
          <w:t xml:space="preserve">https://doi.org/10.1002/aqc.4210</w:t>
        </w:r>
      </w:hyperlink>
    </w:p>
    <w:bookmarkEnd w:id="157"/>
    <w:bookmarkStart w:id="158"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58"/>
    <w:bookmarkStart w:id="159"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59"/>
    <w:bookmarkStart w:id="161"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60">
        <w:r>
          <w:rPr>
            <w:rStyle w:val="Hyperlink"/>
          </w:rPr>
          <w:t xml:space="preserve">https://doi.org/10.1073/pnas.0402642101</w:t>
        </w:r>
      </w:hyperlink>
    </w:p>
    <w:bookmarkEnd w:id="161"/>
    <w:bookmarkStart w:id="163" w:name="ref-ioc_sea_level_lecy"/>
    <w:p>
      <w:pPr>
        <w:pStyle w:val="Bibliography"/>
      </w:pPr>
      <w:r>
        <w:t xml:space="preserve">IOC, 2024.</w:t>
      </w:r>
      <w:r>
        <w:t xml:space="preserve"> </w:t>
      </w:r>
      <w:hyperlink r:id="rId162">
        <w:r>
          <w:rPr>
            <w:rStyle w:val="Hyperlink"/>
          </w:rPr>
          <w:t xml:space="preserve">Intergovernmental oceanographic commission ; sea level monitoring station - le conquet, france (LECY)</w:t>
        </w:r>
      </w:hyperlink>
      <w:r>
        <w:t xml:space="preserve">.</w:t>
      </w:r>
    </w:p>
    <w:bookmarkEnd w:id="163"/>
    <w:bookmarkStart w:id="164"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4"/>
    <w:bookmarkStart w:id="166"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5">
        <w:r>
          <w:rPr>
            <w:rStyle w:val="Hyperlink"/>
          </w:rPr>
          <w:t xml:space="preserve">https://doi.org/10.1016/S0304-4238(05)80016-0</w:t>
        </w:r>
      </w:hyperlink>
    </w:p>
    <w:bookmarkEnd w:id="166"/>
    <w:bookmarkStart w:id="168"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7">
        <w:r>
          <w:rPr>
            <w:rStyle w:val="Hyperlink"/>
          </w:rPr>
          <w:t xml:space="preserve">https://doi.org/10.1016/S0034-4257(70)80021-9</w:t>
        </w:r>
      </w:hyperlink>
    </w:p>
    <w:bookmarkEnd w:id="168"/>
    <w:bookmarkStart w:id="169" w:name="ref-hsdar"/>
    <w:p>
      <w:pPr>
        <w:pStyle w:val="Bibliography"/>
      </w:pPr>
      <w:r>
        <w:t xml:space="preserve">Lehnert, L.W., Meyer, H., Bendix, J., 2017. Hsdar: Manage, analyse and simulate hyperspectral data in r.</w:t>
      </w:r>
    </w:p>
    <w:bookmarkEnd w:id="169"/>
    <w:bookmarkStart w:id="170" w:name="ref-loarie2009velocity"/>
    <w:p>
      <w:pPr>
        <w:pStyle w:val="Bibliography"/>
      </w:pPr>
      <w:r>
        <w:t xml:space="preserve">Loarie, S.R., Duffy, P.B., Hamilton, H., Asner, G.P., Field, C.B., Ackerly, D.D., 2009. The velocity of climate change. Nature 462, 1052–1055.</w:t>
      </w:r>
    </w:p>
    <w:bookmarkEnd w:id="170"/>
    <w:bookmarkStart w:id="171"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1"/>
    <w:bookmarkStart w:id="173" w:name="ref-malvern_panalytical_rs3"/>
    <w:p>
      <w:pPr>
        <w:pStyle w:val="Bibliography"/>
      </w:pPr>
      <w:r>
        <w:t xml:space="preserve">Malvern Panalytical, 2023.</w:t>
      </w:r>
      <w:r>
        <w:t xml:space="preserve"> </w:t>
      </w:r>
      <w:hyperlink r:id="rId172">
        <w:r>
          <w:rPr>
            <w:rStyle w:val="Hyperlink"/>
          </w:rPr>
          <w:t xml:space="preserve">RS3 software</w:t>
        </w:r>
      </w:hyperlink>
      <w:r>
        <w:t xml:space="preserve">.</w:t>
      </w:r>
    </w:p>
    <w:bookmarkEnd w:id="173"/>
    <w:bookmarkStart w:id="174"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4"/>
    <w:bookmarkStart w:id="175"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5"/>
    <w:bookmarkStart w:id="177"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76">
        <w:r>
          <w:rPr>
            <w:rStyle w:val="Hyperlink"/>
          </w:rPr>
          <w:t xml:space="preserve">https://doi.org/10.1038/s41598-019-50643-w</w:t>
        </w:r>
      </w:hyperlink>
    </w:p>
    <w:bookmarkEnd w:id="177"/>
    <w:bookmarkStart w:id="178"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78"/>
    <w:bookmarkStart w:id="180"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79">
        <w:r>
          <w:rPr>
            <w:rStyle w:val="Hyperlink"/>
          </w:rPr>
          <w:t xml:space="preserve">https://doi.org/10.3390/rs16234383</w:t>
        </w:r>
      </w:hyperlink>
    </w:p>
    <w:bookmarkEnd w:id="180"/>
    <w:bookmarkStart w:id="182"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81">
        <w:r>
          <w:rPr>
            <w:rStyle w:val="Hyperlink"/>
          </w:rPr>
          <w:t xml:space="preserve">https://doi.org/10.3389/fmars.2019.00734</w:t>
        </w:r>
      </w:hyperlink>
    </w:p>
    <w:bookmarkEnd w:id="182"/>
    <w:bookmarkStart w:id="183"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3"/>
    <w:bookmarkStart w:id="185"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84">
        <w:r>
          <w:rPr>
            <w:rStyle w:val="Hyperlink"/>
          </w:rPr>
          <w:t xml:space="preserve">https://doi.org/10.1111/gcb.14282</w:t>
        </w:r>
      </w:hyperlink>
    </w:p>
    <w:bookmarkEnd w:id="185"/>
    <w:bookmarkStart w:id="186"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6"/>
    <w:bookmarkStart w:id="187" w:name="ref-perkins2013measurement"/>
    <w:p>
      <w:pPr>
        <w:pStyle w:val="Bibliography"/>
      </w:pPr>
      <w:r>
        <w:t xml:space="preserve">Perkins, S.E., Alexander, L.V., 2013. On the measurement of heat waves. Journal of climate 26, 4500–4517.</w:t>
      </w:r>
    </w:p>
    <w:bookmarkEnd w:id="187"/>
    <w:bookmarkStart w:id="189" w:name="ref-Rbase"/>
    <w:p>
      <w:pPr>
        <w:pStyle w:val="Bibliography"/>
      </w:pPr>
      <w:r>
        <w:t xml:space="preserve">R Core Team, 2023.</w:t>
      </w:r>
      <w:r>
        <w:t xml:space="preserve"> </w:t>
      </w:r>
      <w:hyperlink r:id="rId188">
        <w:r>
          <w:rPr>
            <w:rStyle w:val="Hyperlink"/>
          </w:rPr>
          <w:t xml:space="preserve">R: A language and environment for statistical computing</w:t>
        </w:r>
      </w:hyperlink>
      <w:r>
        <w:t xml:space="preserve">. R Foundation for Statistical Computing, Vienna, Austria.</w:t>
      </w:r>
    </w:p>
    <w:bookmarkEnd w:id="189"/>
    <w:bookmarkStart w:id="190" w:name="ref-ramesh2020seagrass"/>
    <w:p>
      <w:pPr>
        <w:pStyle w:val="Bibliography"/>
      </w:pPr>
      <w:r>
        <w:t xml:space="preserve">Ramesh, C., Mohanraju, R., 2020. Seagrass ecosystems of andaman and nicobar islands: Status and future perspective. Environmental &amp; Earth Sciences Research Journal 7.</w:t>
      </w:r>
    </w:p>
    <w:bookmarkEnd w:id="190"/>
    <w:bookmarkStart w:id="192"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91">
        <w:r>
          <w:rPr>
            <w:rStyle w:val="Hyperlink"/>
          </w:rPr>
          <w:t xml:space="preserve">https://doi.org/10.1073/pnas.0500008102</w:t>
        </w:r>
      </w:hyperlink>
    </w:p>
    <w:bookmarkEnd w:id="192"/>
    <w:bookmarkStart w:id="193" w:name="ref-roman2021using"/>
    <w:p>
      <w:pPr>
        <w:pStyle w:val="Bibliography"/>
      </w:pPr>
      <w:r>
        <w:t xml:space="preserve">Román, A., Tovar-Sánchez, A., Olivé, I., Navarro, G., 2021. Using a UAV-mounted multispectral camera for the monitoring of marine macrophytes. Frontiers in Marine Science 8, 722698.</w:t>
      </w:r>
    </w:p>
    <w:bookmarkEnd w:id="193"/>
    <w:bookmarkStart w:id="194" w:name="ref-rouse1974monitoring"/>
    <w:p>
      <w:pPr>
        <w:pStyle w:val="Bibliography"/>
      </w:pPr>
      <w:r>
        <w:t xml:space="preserve">Rouse, J.W., Haas, R.H., Schell, J.A., Deering, D.W., others, 1974. Monitoring vegetation systems in the great plains with ERTS. NASA Spec. Publ 351, 309.</w:t>
      </w:r>
    </w:p>
    <w:bookmarkEnd w:id="194"/>
    <w:bookmarkStart w:id="196"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95">
        <w:r>
          <w:rPr>
            <w:rStyle w:val="Hyperlink"/>
          </w:rPr>
          <w:t xml:space="preserve">https://doi.org/10.1029/2023GL103540</w:t>
        </w:r>
      </w:hyperlink>
    </w:p>
    <w:bookmarkEnd w:id="196"/>
    <w:bookmarkStart w:id="197"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97"/>
    <w:bookmarkStart w:id="198"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98"/>
    <w:bookmarkStart w:id="200"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99">
        <w:r>
          <w:rPr>
            <w:rStyle w:val="Hyperlink"/>
          </w:rPr>
          <w:t xml:space="preserve">https://doi.org/10.21105/joss.00821</w:t>
        </w:r>
      </w:hyperlink>
    </w:p>
    <w:bookmarkEnd w:id="200"/>
    <w:bookmarkStart w:id="201"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201"/>
    <w:bookmarkStart w:id="202"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202"/>
    <w:bookmarkStart w:id="204" w:name="ref-shom_ram_2022"/>
    <w:p>
      <w:pPr>
        <w:pStyle w:val="Bibliography"/>
      </w:pPr>
      <w:r>
        <w:t xml:space="preserve">Shom, 2022.</w:t>
      </w:r>
      <w:r>
        <w:t xml:space="preserve"> </w:t>
      </w:r>
      <w:hyperlink r:id="rId203">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04"/>
    <w:bookmarkStart w:id="206" w:name="Xbef41143b4d4042e58f11cfc27e216202646012"/>
    <w:p>
      <w:pPr>
        <w:pStyle w:val="Bibliography"/>
      </w:pPr>
      <w:r>
        <w:t xml:space="preserve">SHOM, 2021.</w:t>
      </w:r>
      <w:r>
        <w:t xml:space="preserve"> </w:t>
      </w:r>
      <w:hyperlink r:id="rId205">
        <w:r>
          <w:rPr>
            <w:rStyle w:val="Hyperlink"/>
          </w:rPr>
          <w:t xml:space="preserve">Service hydrographique et océanographique de la marine ; bathymétrie Litto3D® bretagne 2018-2021</w:t>
        </w:r>
      </w:hyperlink>
      <w:r>
        <w:t xml:space="preserve">.</w:t>
      </w:r>
    </w:p>
    <w:bookmarkEnd w:id="206"/>
    <w:bookmarkStart w:id="208" w:name="ref-simolo2022quantifying"/>
    <w:p>
      <w:pPr>
        <w:pStyle w:val="Bibliography"/>
      </w:pPr>
      <w:r>
        <w:t xml:space="preserve">Simolo, C., Corti, S., 2022. Quantifying the role of variability in future intensification of heat extremes. Nature Communications 13.</w:t>
      </w:r>
      <w:r>
        <w:t xml:space="preserve"> </w:t>
      </w:r>
      <w:hyperlink r:id="rId207">
        <w:r>
          <w:rPr>
            <w:rStyle w:val="Hyperlink"/>
          </w:rPr>
          <w:t xml:space="preserve">https://doi.org/10.1038/s41467-022-35571-0</w:t>
        </w:r>
      </w:hyperlink>
    </w:p>
    <w:bookmarkEnd w:id="208"/>
    <w:bookmarkStart w:id="209"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09"/>
    <w:bookmarkStart w:id="211"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210">
        <w:r>
          <w:rPr>
            <w:rStyle w:val="Hyperlink"/>
          </w:rPr>
          <w:t xml:space="preserve">https://doi.org/10.1038/s41558-019-0412-1</w:t>
        </w:r>
      </w:hyperlink>
    </w:p>
    <w:bookmarkEnd w:id="211"/>
    <w:bookmarkStart w:id="212"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12"/>
    <w:bookmarkStart w:id="213" w:name="ref-stan2020rstan"/>
    <w:p>
      <w:pPr>
        <w:pStyle w:val="Bibliography"/>
      </w:pPr>
      <w:r>
        <w:t xml:space="preserve">Stan Development Team, C., others, 2020. RStan: The r interface to stan. R package version 2.21. 2.</w:t>
      </w:r>
    </w:p>
    <w:bookmarkEnd w:id="213"/>
    <w:bookmarkStart w:id="215"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14">
        <w:r>
          <w:rPr>
            <w:rStyle w:val="Hyperlink"/>
          </w:rPr>
          <w:t xml:space="preserve">https://doi.org/10.1152/physiol.00040.2018</w:t>
        </w:r>
      </w:hyperlink>
    </w:p>
    <w:bookmarkEnd w:id="215"/>
    <w:bookmarkStart w:id="216"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16"/>
    <w:bookmarkStart w:id="217" w:name="ref-unsworth2014biodiversity"/>
    <w:p>
      <w:pPr>
        <w:pStyle w:val="Bibliography"/>
      </w:pPr>
      <w:r>
        <w:t xml:space="preserve">Unsworth, R., Cullen-Unsworth, L.C., 2014. Biodiversity, ecosystem services, and the conservation of seagrass meadows. Coast. Conserv 19, 95.</w:t>
      </w:r>
    </w:p>
    <w:bookmarkEnd w:id="217"/>
    <w:bookmarkStart w:id="218" w:name="ref-unsworth2022planetary"/>
    <w:p>
      <w:pPr>
        <w:pStyle w:val="Bibliography"/>
      </w:pPr>
      <w:r>
        <w:t xml:space="preserve">Unsworth, R.K., Cullen-Unsworth, L.C., Jones, B.L., Lilley, R.J., 2022. The planetary role of seagrass conservation. Science 377, 609–613.</w:t>
      </w:r>
    </w:p>
    <w:bookmarkEnd w:id="218"/>
    <w:bookmarkStart w:id="219"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19"/>
    <w:bookmarkStart w:id="220"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20"/>
    <w:bookmarkStart w:id="221"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21"/>
    <w:bookmarkStart w:id="222" w:name="ref-zahoor2023water"/>
    <w:p>
      <w:pPr>
        <w:pStyle w:val="Bibliography"/>
      </w:pPr>
      <w:r>
        <w:t xml:space="preserve">Zahoor, I., Mushtaq, A., 2023. Water pollution from agricultural activities: A critical global review. Int. J. Chem. Biochem. Sci 23, 164–176.</w:t>
      </w:r>
    </w:p>
    <w:bookmarkEnd w:id="222"/>
    <w:bookmarkStart w:id="223"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23"/>
    <w:bookmarkStart w:id="225"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24">
        <w:r>
          <w:rPr>
            <w:rStyle w:val="Hyperlink"/>
          </w:rPr>
          <w:t xml:space="preserve">https://doi.org/10.1002/rse2.319</w:t>
        </w:r>
      </w:hyperlink>
    </w:p>
    <w:bookmarkEnd w:id="225"/>
    <w:bookmarkStart w:id="226"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26"/>
    <w:bookmarkEnd w:id="227"/>
    <w:bookmarkEnd w:id="228"/>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15" Target="media/rId115.png" /><Relationship Type="http://schemas.openxmlformats.org/officeDocument/2006/relationships/image" Id="rId31" Target="media/rId31.png" /><Relationship Type="http://schemas.openxmlformats.org/officeDocument/2006/relationships/image" Id="rId90" Target="media/rId90.png" /><Relationship Type="http://schemas.openxmlformats.org/officeDocument/2006/relationships/image" Id="rId25" Target="media/rId25.png" /><Relationship Type="http://schemas.openxmlformats.org/officeDocument/2006/relationships/image" Id="rId101" Target="media/rId101.png" /><Relationship Type="http://schemas.openxmlformats.org/officeDocument/2006/relationships/image" Id="rId84" Target="media/rId84.png" /><Relationship Type="http://schemas.openxmlformats.org/officeDocument/2006/relationships/image" Id="rId96" Target="media/rId96.png" /><Relationship Type="http://schemas.openxmlformats.org/officeDocument/2006/relationships/image" Id="rId44" Target="media/rId44.png" /><Relationship Type="http://schemas.openxmlformats.org/officeDocument/2006/relationships/image" Id="rId77" Target="media/rId77.png" /><Relationship Type="http://schemas.openxmlformats.org/officeDocument/2006/relationships/image" Id="rId49" Target="media/rId49.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hyperlink" Id="rId203" Target="https://diffusion.shom.fr/references-altimetriques-maritimes-ram.html" TargetMode="External" /><Relationship Type="http://schemas.openxmlformats.org/officeDocument/2006/relationships/hyperlink" Id="rId156" Target="https://doi.org/10.1002/aqc.4210" TargetMode="External" /><Relationship Type="http://schemas.openxmlformats.org/officeDocument/2006/relationships/hyperlink" Id="rId224" Target="https://doi.org/10.1002/rse2.319" TargetMode="External" /><Relationship Type="http://schemas.openxmlformats.org/officeDocument/2006/relationships/hyperlink" Id="rId135" Target="https://doi.org/10.1007/s11099-007-0084-3" TargetMode="External" /><Relationship Type="http://schemas.openxmlformats.org/officeDocument/2006/relationships/hyperlink" Id="rId167" Target="https://doi.org/10.1016/S0034-4257(70)80021-9" TargetMode="External" /><Relationship Type="http://schemas.openxmlformats.org/officeDocument/2006/relationships/hyperlink" Id="rId165" Target="https://doi.org/10.1016/S0304-4238(05)80016-0" TargetMode="External" /><Relationship Type="http://schemas.openxmlformats.org/officeDocument/2006/relationships/hyperlink" Id="rId140" Target="https://doi.org/10.1016/j.rse.2024.114340" TargetMode="External" /><Relationship Type="http://schemas.openxmlformats.org/officeDocument/2006/relationships/hyperlink" Id="rId195" Target="https://doi.org/10.1029/2023GL103540" TargetMode="External" /><Relationship Type="http://schemas.openxmlformats.org/officeDocument/2006/relationships/hyperlink" Id="rId207" Target="https://doi.org/10.1038/s41467-022-35571-0" TargetMode="External" /><Relationship Type="http://schemas.openxmlformats.org/officeDocument/2006/relationships/hyperlink" Id="rId210" Target="https://doi.org/10.1038/s41558-019-0412-1" TargetMode="External" /><Relationship Type="http://schemas.openxmlformats.org/officeDocument/2006/relationships/hyperlink" Id="rId176" Target="https://doi.org/10.1038/s41598-019-50643-w" TargetMode="External" /><Relationship Type="http://schemas.openxmlformats.org/officeDocument/2006/relationships/hyperlink" Id="rId138" Target="https://doi.org/10.1038/s43247-024-01543-z" TargetMode="External" /><Relationship Type="http://schemas.openxmlformats.org/officeDocument/2006/relationships/hyperlink" Id="rId160" Target="https://doi.org/10.1073/pnas.0402642101" TargetMode="External" /><Relationship Type="http://schemas.openxmlformats.org/officeDocument/2006/relationships/hyperlink" Id="rId191" Target="https://doi.org/10.1073/pnas.0500008102" TargetMode="External" /><Relationship Type="http://schemas.openxmlformats.org/officeDocument/2006/relationships/hyperlink" Id="rId184" Target="https://doi.org/10.1111/gcb.14282" TargetMode="External" /><Relationship Type="http://schemas.openxmlformats.org/officeDocument/2006/relationships/hyperlink" Id="rId214" Target="https://doi.org/10.1152/physiol.00040.2018" TargetMode="External" /><Relationship Type="http://schemas.openxmlformats.org/officeDocument/2006/relationships/hyperlink" Id="rId131" Target="https://doi.org/10.18637/jss.v076.i01" TargetMode="External" /><Relationship Type="http://schemas.openxmlformats.org/officeDocument/2006/relationships/hyperlink" Id="rId126" Target="https://doi.org/10.18637/jss.v100.i05" TargetMode="External" /><Relationship Type="http://schemas.openxmlformats.org/officeDocument/2006/relationships/hyperlink" Id="rId199" Target="https://doi.org/10.21105/joss.00821" TargetMode="External" /><Relationship Type="http://schemas.openxmlformats.org/officeDocument/2006/relationships/hyperlink" Id="rId123" Target="https://doi.org/10.3354/meps14588" TargetMode="External" /><Relationship Type="http://schemas.openxmlformats.org/officeDocument/2006/relationships/hyperlink" Id="rId181" Target="https://doi.org/10.3389/fmars.2019.00734" TargetMode="External" /><Relationship Type="http://schemas.openxmlformats.org/officeDocument/2006/relationships/hyperlink" Id="rId179" Target="https://doi.org/10.3390/rs16234383" TargetMode="External" /><Relationship Type="http://schemas.openxmlformats.org/officeDocument/2006/relationships/hyperlink" Id="rId133" Target="https://doi.org/10.48670/moi-00311" TargetMode="External" /><Relationship Type="http://schemas.openxmlformats.org/officeDocument/2006/relationships/hyperlink" Id="rId146" Target="https://electricblue.eu/intertidal-chamber" TargetMode="External" /><Relationship Type="http://schemas.openxmlformats.org/officeDocument/2006/relationships/hyperlink" Id="rId55" Target="https://github.com/SigOiry/HeatWave_Seagrasses/blob/main/Scripts/MeteoFrance_Extraction.qmd" TargetMode="External" /><Relationship Type="http://schemas.openxmlformats.org/officeDocument/2006/relationships/hyperlink" Id="rId205" Target="https://services.data.shom.fr/geonetwork/srv/fre/catalog.search#/metadata/BATHYMETRIE_LITTO3D_BZH_2018_2021.xml" TargetMode="External" /><Relationship Type="http://schemas.openxmlformats.org/officeDocument/2006/relationships/hyperlink" Id="rId188" Target="https://www.R-project.org/" TargetMode="External" /><Relationship Type="http://schemas.openxmlformats.org/officeDocument/2006/relationships/hyperlink" Id="rId162" Target="https://www.ioc-sealevelmonitoring.org/station.php?code=lecy" TargetMode="External" /><Relationship Type="http://schemas.openxmlformats.org/officeDocument/2006/relationships/hyperlink" Id="rId172"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203" Target="https://diffusion.shom.fr/references-altimetriques-maritimes-ram.html" TargetMode="External" /><Relationship Type="http://schemas.openxmlformats.org/officeDocument/2006/relationships/hyperlink" Id="rId156" Target="https://doi.org/10.1002/aqc.4210" TargetMode="External" /><Relationship Type="http://schemas.openxmlformats.org/officeDocument/2006/relationships/hyperlink" Id="rId224" Target="https://doi.org/10.1002/rse2.319" TargetMode="External" /><Relationship Type="http://schemas.openxmlformats.org/officeDocument/2006/relationships/hyperlink" Id="rId135" Target="https://doi.org/10.1007/s11099-007-0084-3" TargetMode="External" /><Relationship Type="http://schemas.openxmlformats.org/officeDocument/2006/relationships/hyperlink" Id="rId167" Target="https://doi.org/10.1016/S0034-4257(70)80021-9" TargetMode="External" /><Relationship Type="http://schemas.openxmlformats.org/officeDocument/2006/relationships/hyperlink" Id="rId165" Target="https://doi.org/10.1016/S0304-4238(05)80016-0" TargetMode="External" /><Relationship Type="http://schemas.openxmlformats.org/officeDocument/2006/relationships/hyperlink" Id="rId140" Target="https://doi.org/10.1016/j.rse.2024.114340" TargetMode="External" /><Relationship Type="http://schemas.openxmlformats.org/officeDocument/2006/relationships/hyperlink" Id="rId195" Target="https://doi.org/10.1029/2023GL103540" TargetMode="External" /><Relationship Type="http://schemas.openxmlformats.org/officeDocument/2006/relationships/hyperlink" Id="rId207" Target="https://doi.org/10.1038/s41467-022-35571-0" TargetMode="External" /><Relationship Type="http://schemas.openxmlformats.org/officeDocument/2006/relationships/hyperlink" Id="rId210" Target="https://doi.org/10.1038/s41558-019-0412-1" TargetMode="External" /><Relationship Type="http://schemas.openxmlformats.org/officeDocument/2006/relationships/hyperlink" Id="rId176" Target="https://doi.org/10.1038/s41598-019-50643-w" TargetMode="External" /><Relationship Type="http://schemas.openxmlformats.org/officeDocument/2006/relationships/hyperlink" Id="rId138" Target="https://doi.org/10.1038/s43247-024-01543-z" TargetMode="External" /><Relationship Type="http://schemas.openxmlformats.org/officeDocument/2006/relationships/hyperlink" Id="rId160" Target="https://doi.org/10.1073/pnas.0402642101" TargetMode="External" /><Relationship Type="http://schemas.openxmlformats.org/officeDocument/2006/relationships/hyperlink" Id="rId191" Target="https://doi.org/10.1073/pnas.0500008102" TargetMode="External" /><Relationship Type="http://schemas.openxmlformats.org/officeDocument/2006/relationships/hyperlink" Id="rId184" Target="https://doi.org/10.1111/gcb.14282" TargetMode="External" /><Relationship Type="http://schemas.openxmlformats.org/officeDocument/2006/relationships/hyperlink" Id="rId214" Target="https://doi.org/10.1152/physiol.00040.2018" TargetMode="External" /><Relationship Type="http://schemas.openxmlformats.org/officeDocument/2006/relationships/hyperlink" Id="rId131" Target="https://doi.org/10.18637/jss.v076.i01" TargetMode="External" /><Relationship Type="http://schemas.openxmlformats.org/officeDocument/2006/relationships/hyperlink" Id="rId126" Target="https://doi.org/10.18637/jss.v100.i05" TargetMode="External" /><Relationship Type="http://schemas.openxmlformats.org/officeDocument/2006/relationships/hyperlink" Id="rId199" Target="https://doi.org/10.21105/joss.00821" TargetMode="External" /><Relationship Type="http://schemas.openxmlformats.org/officeDocument/2006/relationships/hyperlink" Id="rId123" Target="https://doi.org/10.3354/meps14588" TargetMode="External" /><Relationship Type="http://schemas.openxmlformats.org/officeDocument/2006/relationships/hyperlink" Id="rId181" Target="https://doi.org/10.3389/fmars.2019.00734" TargetMode="External" /><Relationship Type="http://schemas.openxmlformats.org/officeDocument/2006/relationships/hyperlink" Id="rId179" Target="https://doi.org/10.3390/rs16234383" TargetMode="External" /><Relationship Type="http://schemas.openxmlformats.org/officeDocument/2006/relationships/hyperlink" Id="rId133" Target="https://doi.org/10.48670/moi-00311" TargetMode="External" /><Relationship Type="http://schemas.openxmlformats.org/officeDocument/2006/relationships/hyperlink" Id="rId146" Target="https://electricblue.eu/intertidal-chamber" TargetMode="External" /><Relationship Type="http://schemas.openxmlformats.org/officeDocument/2006/relationships/hyperlink" Id="rId55" Target="https://github.com/SigOiry/HeatWave_Seagrasses/blob/main/Scripts/MeteoFrance_Extraction.qmd" TargetMode="External" /><Relationship Type="http://schemas.openxmlformats.org/officeDocument/2006/relationships/hyperlink" Id="rId205" Target="https://services.data.shom.fr/geonetwork/srv/fre/catalog.search#/metadata/BATHYMETRIE_LITTO3D_BZH_2018_2021.xml" TargetMode="External" /><Relationship Type="http://schemas.openxmlformats.org/officeDocument/2006/relationships/hyperlink" Id="rId188" Target="https://www.R-project.org/" TargetMode="External" /><Relationship Type="http://schemas.openxmlformats.org/officeDocument/2006/relationships/hyperlink" Id="rId162" Target="https://www.ioc-sealevelmonitoring.org/station.php?code=lecy" TargetMode="External" /><Relationship Type="http://schemas.openxmlformats.org/officeDocument/2006/relationships/hyperlink" Id="rId172"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2024-11-29T15:15:33Z</dcterms:created>
  <dcterms:modified xsi:type="dcterms:W3CDTF">2024-11-29T15:15:33Z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2024-11-29</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