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9.png" ContentType="image/png"/>
  <Override PartName="/word/media/rId112.png" ContentType="image/png"/>
  <Override PartName="/word/media/rId84.png" ContentType="image/png"/>
  <Override PartName="/word/media/rId24.png" ContentType="image/png"/>
  <Override PartName="/word/media/rId95.png" ContentType="image/png"/>
  <Override PartName="/word/media/rId78.png" ContentType="image/png"/>
  <Override PartName="/word/media/rId90.png" ContentType="image/png"/>
  <Override PartName="/word/media/rId38.png" ContentType="image/png"/>
  <Override PartName="/word/media/rId71.png" ContentType="image/png"/>
  <Override PartName="/word/media/rId43.png" ContentType="image/png"/>
  <Override PartName="/word/media/rId66.png" ContentType="image/png"/>
  <Override PartName="/word/media/rId6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 of Marine and Atmospheric Heatwaves on Reflectance of Intertidal</w:t>
      </w:r>
      <w:r>
        <w:t xml:space="preserve"> </w:t>
      </w:r>
      <w:r>
        <w:rPr>
          <w:i/>
          <w:iCs/>
        </w:rPr>
        <w:t xml:space="preserve">Zostera noltei</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2024-11-14</w:t>
      </w:r>
    </w:p>
    <w:p>
      <w:pPr>
        <w:pStyle w:val="AbstractTitle"/>
      </w:pPr>
      <w:r>
        <w:t xml:space="preserve">Abstract</w:t>
      </w:r>
    </w:p>
    <w:p>
      <w:pPr>
        <w:pStyle w:val="Abstract"/>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reflectance of the intertidal seagrass</w:t>
      </w:r>
      <w:r>
        <w:t xml:space="preserve"> </w:t>
      </w:r>
      <w:r>
        <w:rPr>
          <w:i/>
          <w:iCs/>
        </w:rPr>
        <w:t xml:space="preserve">Zostera noltei</w:t>
      </w:r>
      <w:r>
        <w:t xml:space="preserve">. We performed laboratory experiments, exposing</w:t>
      </w:r>
      <w:r>
        <w:t xml:space="preserve"> </w:t>
      </w:r>
      <w:r>
        <w:rPr>
          <w:i/>
          <w:iCs/>
        </w:rPr>
        <w:t xml:space="preserve">Z.noltei</w:t>
      </w:r>
      <w:r>
        <w:t xml:space="preserve"> </w:t>
      </w:r>
      <w:r>
        <w:t xml:space="preserve">samples to controlled heatwave conditions while measuring hyperspectral reflectance to assess impact over time. We found that heatwaves induced significant declines in seagrass reflectance, particularly in the green and near-infrared regions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the atmospheric heatwave for more than 13.5 hours a day. This work highlights the need for continuous monitoring of seagrass meadows under the current and future climate regimes, underscoring the potential of remote sensing to capture rapid environmental changes in intertidal zones.</w:t>
      </w:r>
    </w:p>
    <w:bookmarkStart w:id="23"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which not only reduce the available habitat for seagrasses but also increase water turbidity, which limits light penetration and photosynthesis</w:t>
      </w:r>
      <w:r>
        <w:t xml:space="preserve"> </w:t>
      </w:r>
      <w:r>
        <w:t xml:space="preserve">(Waycott et al., 2009)</w:t>
      </w:r>
      <w:r>
        <w:t xml:space="preserve">. Seagrasses are also threatened by nutrient enrichment from agricultural and urban runoff, leading to eutrophication. This condition promotes the rapid growth of algale causing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sources introduce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to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Remote sensing is increasingly being used to monitor marine ecosystems, including intertidal seagrass meadows</w:t>
      </w:r>
      <w:r>
        <w:t xml:space="preserve"> </w:t>
      </w:r>
      <w:r>
        <w:t xml:space="preserve">(Davies et al., 2024a, 2024b)</w:t>
      </w:r>
      <w:r>
        <w:t xml:space="preserve">. Spectral indices such as the Normalized Difference Vegetation Index (NDVI) and the Green Leaf Index (GLI)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reflectance of the intertidal seagrass</w:t>
      </w:r>
      <w:r>
        <w:t xml:space="preserve"> </w:t>
      </w:r>
      <w:r>
        <w:rPr>
          <w:i/>
          <w:iCs/>
        </w:rPr>
        <w:t xml:space="preserve">Zostera noltei</w:t>
      </w:r>
      <w:r>
        <w:t xml:space="preserve">. By linking these changes with satellite remote sensing data, the study seeks to provide insights into how heatwaves affect seagrass meadows and to assess the potential of remote sensing in monitoring these impacts</w:t>
      </w:r>
    </w:p>
    <w:bookmarkEnd w:id="23"/>
    <w:bookmarkStart w:id="59" w:name="material-methods"/>
    <w:p>
      <w:pPr>
        <w:pStyle w:val="Heading1"/>
      </w:pPr>
      <w:r>
        <w:t xml:space="preserve">2. Material &amp; Methods</w:t>
      </w:r>
    </w:p>
    <w:bookmarkStart w:id="37"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on Noirmoutier Island, France (46°57’32.0”N, 2°10’37.0”W) at low tide in June 2024. A metal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limitated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caused by insufficient moisture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646420" cy="5554024"/>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30" w:name="experimental-design"/>
    <w:p>
      <w:pPr>
        <w:pStyle w:val="Heading3"/>
      </w:pPr>
      <w:r>
        <w:t xml:space="preserve">2.1.2 Experimental design</w:t>
      </w:r>
    </w:p>
    <w:p>
      <w:pPr>
        <w:pStyle w:val="FirstParagraph"/>
      </w:pPr>
      <w:r>
        <w:t xml:space="preserve">Two intertidal chambers were used to simulate tidal cycles and control water temperature during high tide and air temperature during low tide , </w:t>
      </w:r>
      <w:hyperlink w:anchor="fig-design">
        <w:r>
          <w:rPr>
            <w:rStyle w:val="Hyperlink"/>
          </w:rPr>
          <w:t xml:space="preserve">Figure 1</w:t>
        </w:r>
      </w:hyperlink>
      <w:r>
        <w:t xml:space="preserve">. Chambers were utilized in parallel with one chamber serving as the control, while the other was used for the experimental treatment.</w:t>
      </w:r>
    </w:p>
    <w:p>
      <w:pPr>
        <w:pStyle w:val="BodyText"/>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(Annexe A1,</w:t>
      </w:r>
      <w:r>
        <w:t xml:space="preserve"> </w:t>
      </w:r>
      <w:hyperlink w:anchor="sec-AnnexeA">
        <w:r>
          <w:rPr>
            <w:rStyle w:val="Hyperlink"/>
          </w:rPr>
          <w:t xml:space="preserve">Section 6.1</w:t>
        </w:r>
      </w:hyperlink>
      <w:r>
        <w:t xml:space="preserve">).</w:t>
      </w:r>
      <w:r>
        <w:t xml:space="preserve"> </w:t>
      </w:r>
      <w:r>
        <w:t xml:space="preserve">The control chamber was kept at temperatures representing typical seasonal conditions, with water temperatures at 18°C and air temperatures from 19°C to 23°C, following natural daily temperature fluctuations (Annexe A2,</w:t>
      </w:r>
      <w:r>
        <w:t xml:space="preserve"> </w:t>
      </w:r>
      <w:hyperlink w:anchor="sec-AnnexeA">
        <w:r>
          <w:rPr>
            <w:rStyle w:val="Hyperlink"/>
          </w:rPr>
          <w:t xml:space="preserve">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w:t>
      </w:r>
      <w:r>
        <w:t xml:space="preserve"> </w:t>
      </w:r>
      <w:hyperlink w:anchor="sec-AnnexeA">
        <w:r>
          <w:rPr>
            <w:rStyle w:val="Hyperlink"/>
          </w:rPr>
          <w:t xml:space="preserve">Section 6.1</w:t>
        </w:r>
      </w:hyperlink>
      <w:r>
        <w:t xml:space="preserve">).</w:t>
      </w:r>
    </w:p>
    <w:bookmarkEnd w:id="30"/>
    <w:bookmarkStart w:id="36" w:name="optical-measurements"/>
    <w:p>
      <w:pPr>
        <w:pStyle w:val="Heading3"/>
      </w:pPr>
      <w:r>
        <w:t xml:space="preserve">2.1.3 Optical measurements</w:t>
      </w:r>
    </w:p>
    <w:bookmarkStart w:id="31"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1"/>
    <w:bookmarkStart w:id="35" w:name="spectrum-post-processing"/>
    <w:p>
      <w:pPr>
        <w:pStyle w:val="Heading4"/>
      </w:pPr>
      <w:r>
        <w:t xml:space="preserve">2.1.3.2 Spectrum post-processing</w:t>
      </w:r>
    </w:p>
    <w:p>
      <w:pPr>
        <w:pStyle w:val="FirstParagraph"/>
      </w:pPr>
      <w:r>
        <w:t xml:space="preserve">A Savitzky-Golay smoothing function with a 5 nm moving window was applied to each spectrum prior to computing the second derivative of</w:t>
      </w:r>
      <w:r>
        <w:t xml:space="preserve"> </w:t>
      </w:r>
      <m:oMath>
        <m:r>
          <m:t>R</m:t>
        </m:r>
        <m:d>
          <m:dPr>
            <m:begChr m:val="("/>
            <m:endChr m:val=")"/>
            <m:sepChr m:val=""/>
            <m:grow/>
          </m:dPr>
          <m:e>
            <m:r>
              <m:t>λ</m:t>
            </m:r>
          </m:e>
        </m:d>
      </m:oMath>
      <w:r>
        <w:t xml:space="preserve"> </w:t>
      </w:r>
      <w:r>
        <w:t xml:space="preserve">used to estimate absorption features and compare their variability over time. This analysis was performed using the</w:t>
      </w:r>
      <w:r>
        <w:t xml:space="preserve"> </w:t>
      </w:r>
      <w:r>
        <w:t xml:space="preserve">“hsdar”</w:t>
      </w:r>
      <w:r>
        <w:t xml:space="preserve"> </w:t>
      </w:r>
      <w:r>
        <w:t xml:space="preserve">package in R</w:t>
      </w:r>
      <w:r>
        <w:t xml:space="preserve"> </w:t>
      </w:r>
      <w:r>
        <w:t xml:space="preserve">(Lehnert et al., 2017)</w:t>
      </w:r>
      <w:r>
        <w:t xml:space="preserve">.</w:t>
      </w:r>
    </w:p>
    <w:p>
      <w:pPr>
        <w:pStyle w:val="BodyText"/>
      </w:pPr>
      <w:r>
        <w:t xml:space="preserve">Two well established radiometric indices were also calculated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2"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2"/>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3"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3"/>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w:bookmarkStart w:id="34"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3</m:t>
              </m:r>
            </m:e>
          </m:d>
        </m:oMath>
      </m:oMathPara>
      <w:bookmarkEnd w:id="34"/>
    </w:p>
    <w:p>
      <w:pPr>
        <w:pStyle w:val="FirstParagraph"/>
      </w:pPr>
      <w:r>
        <w:t xml:space="preserve">where :</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35"/>
    <w:bookmarkEnd w:id="36"/>
    <w:bookmarkEnd w:id="37"/>
    <w:bookmarkStart w:id="57" w:name="in-situ-seagrass-darkening."/>
    <w:p>
      <w:pPr>
        <w:pStyle w:val="Heading2"/>
      </w:pPr>
      <w:r>
        <w:t xml:space="preserve">2.2</w:t>
      </w:r>
      <w:r>
        <w:t xml:space="preserve"> </w:t>
      </w:r>
      <w:r>
        <w:rPr>
          <w:i/>
          <w:iCs/>
        </w:rPr>
        <w:t xml:space="preserve">In situ</w:t>
      </w:r>
      <w:r>
        <w:t xml:space="preserve"> </w:t>
      </w:r>
      <w:r>
        <w:t xml:space="preserve">seagrass darkening.</w:t>
      </w:r>
    </w:p>
    <w:bookmarkStart w:id="48" w:name="field-observation"/>
    <w:p>
      <w:pPr>
        <w:pStyle w:val="Heading3"/>
      </w:pPr>
      <w:r>
        <w:t xml:space="preserve">2.2.1 Field Observation</w:t>
      </w:r>
    </w:p>
    <w:bookmarkStart w:id="42" w:name="cell-fig-quiberonMap"/>
    <w:tbl>
      <w:tblPr>
        <w:tblStyle w:val="Table"/>
        <w:tblW w:type="pct" w:w="5000"/>
        <w:tblLayout w:type="fixed"/>
        <w:tblLook w:firstRow="0" w:lastRow="0" w:firstColumn="0" w:lastColumn="0" w:noHBand="0" w:noVBand="0" w:val="0000"/>
      </w:tblPr>
      <w:tblGrid>
        <w:gridCol w:w="7920"/>
      </w:tblGrid>
      <w:tr>
        <w:tc>
          <w:tcPr/>
          <w:bookmarkStart w:id="41" w:name="fig-quiberonMap"/>
          <w:p>
            <w:pPr>
              <w:pStyle w:val="Compact"/>
              <w:jc w:val="center"/>
            </w:pPr>
            <w:r>
              <w:drawing>
                <wp:inline>
                  <wp:extent cx="5646420" cy="5646420"/>
                  <wp:effectExtent b="0" l="0" r="0" t="0"/>
                  <wp:docPr descr="" title="" id="39" name="Picture"/>
                  <a:graphic>
                    <a:graphicData uri="http://schemas.openxmlformats.org/drawingml/2006/picture">
                      <pic:pic>
                        <pic:nvPicPr>
                          <pic:cNvPr descr="Figs/Low_res/Quiberon_map.png" id="40" name="Picture"/>
                          <pic:cNvPicPr>
                            <a:picLocks noChangeArrowheads="1" noChangeAspect="1"/>
                          </pic:cNvPicPr>
                        </pic:nvPicPr>
                        <pic:blipFill>
                          <a:blip r:embed="rId38"/>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 of the field campaign that occurred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1"/>
        </w:tc>
      </w:tr>
    </w:tbl>
    <w:bookmarkEnd w:id="42"/>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2</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3</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2</w:t>
        </w:r>
      </w:hyperlink>
      <w:r>
        <w:t xml:space="preserve">).</w:t>
      </w:r>
    </w:p>
    <w:bookmarkStart w:id="47" w:name="cell-fig-QuiberonImg"/>
    <w:tbl>
      <w:tblPr>
        <w:tblStyle w:val="Table"/>
        <w:tblW w:type="pct" w:w="5000"/>
        <w:tblLayout w:type="fixed"/>
        <w:tblLook w:firstRow="0" w:lastRow="0" w:firstColumn="0" w:lastColumn="0" w:noHBand="0" w:noVBand="0" w:val="0000"/>
      </w:tblPr>
      <w:tblGrid>
        <w:gridCol w:w="7920"/>
      </w:tblGrid>
      <w:tr>
        <w:tc>
          <w:tcPr/>
          <w:bookmarkStart w:id="46" w:name="fig-QuiberonImg"/>
          <w:p>
            <w:pPr>
              <w:pStyle w:val="Compact"/>
              <w:jc w:val="center"/>
            </w:pPr>
            <w:r>
              <w:drawing>
                <wp:inline>
                  <wp:extent cx="5646420" cy="3733115"/>
                  <wp:effectExtent b="0" l="0" r="0" t="0"/>
                  <wp:docPr descr="" title="" id="44" name="Picture"/>
                  <a:graphic>
                    <a:graphicData uri="http://schemas.openxmlformats.org/drawingml/2006/picture">
                      <pic:pic>
                        <pic:nvPicPr>
                          <pic:cNvPr descr="Figs/Low_res/img_Quiberon.png" id="45" name="Picture"/>
                          <pic:cNvPicPr>
                            <a:picLocks noChangeArrowheads="1" noChangeAspect="1"/>
                          </pic:cNvPicPr>
                        </pic:nvPicPr>
                        <pic:blipFill>
                          <a:blip r:embed="rId43"/>
                          <a:stretch>
                            <a:fillRect/>
                          </a:stretch>
                        </pic:blipFill>
                        <pic:spPr bwMode="auto">
                          <a:xfrm>
                            <a:off x="0" y="0"/>
                            <a:ext cx="5646420" cy="37331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Illustrations of the two coloration of seagrasses observed in the field. A: View of a green meadow; B: Quadrat images of green seagrasses; C: Quadrat images of darkened seagrasses; D: View of darkened area of the meadow. All images were taken on September 10th, 2021, in Quiberon.</w:t>
            </w:r>
          </w:p>
          <w:bookmarkEnd w:id="46"/>
        </w:tc>
      </w:tr>
    </w:tbl>
    <w:bookmarkEnd w:id="47"/>
    <w:bookmarkEnd w:id="48"/>
    <w:bookmarkStart w:id="53" w:name="Xf8a39f1f3d5cbc00f14159fcb612e83e416b551"/>
    <w:p>
      <w:pPr>
        <w:pStyle w:val="Heading3"/>
      </w:pPr>
      <w:r>
        <w:t xml:space="preserve">2.2.2 Temperature Data and identification of heatwaves</w:t>
      </w:r>
    </w:p>
    <w:bookmarkStart w:id="50"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was retrieved using a</w:t>
      </w:r>
      <w:r>
        <w:t xml:space="preserve"> </w:t>
      </w:r>
      <w:hyperlink r:id="rId49">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bookmarkEnd w:id="50"/>
    <w:bookmarkStart w:id="51"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51"/>
    <w:bookmarkStart w:id="52" w:name="heatwave-detection-and-characterization"/>
    <w:p>
      <w:pPr>
        <w:pStyle w:val="Heading4"/>
      </w:pPr>
      <w:r>
        <w:t xml:space="preserve">2.2.2.3 Heatwave Detection and Characterization</w:t>
      </w:r>
    </w:p>
    <w:p>
      <w:pPr>
        <w:pStyle w:val="FirstParagraph"/>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2"/>
    <w:bookmarkEnd w:id="53"/>
    <w:bookmarkStart w:id="55" w:name="satellite-observation"/>
    <w:p>
      <w:pPr>
        <w:pStyle w:val="Heading3"/>
      </w:pPr>
      <w:r>
        <w:t xml:space="preserve">2.2.3 Satellite Observation</w:t>
      </w:r>
    </w:p>
    <w:p>
      <w:pPr>
        <w:pStyle w:val="FirstParagraph"/>
      </w:pPr>
      <w:r>
        <w:t xml:space="preserve">Three Sentinel-2 images covering the field campaign site (</w:t>
      </w:r>
      <w:hyperlink w:anchor="fig-quiberonMap">
        <w:r>
          <w:rPr>
            <w:rStyle w:val="Hyperlink"/>
          </w:rPr>
          <w:t xml:space="preserve">Figure 2</w:t>
        </w:r>
      </w:hyperlink>
      <w:r>
        <w:t xml:space="preserve">) were downloaded from the Copernicus platform</w:t>
      </w:r>
      <w:r>
        <w:t xml:space="preserve"> </w:t>
      </w:r>
      <w:r>
        <w:t xml:space="preserve">(European Space Agency, 2024a)</w:t>
      </w:r>
      <w:r>
        <w:t xml:space="preserve">. The first image was taken before the heatwave event on September 1, 2021, the second image during the event on September 6,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QPs (</w:t>
      </w:r>
      <w:hyperlink w:anchor="fig-quiberonMap">
        <w:r>
          <w:rPr>
            <w:rStyle w:val="Hyperlink"/>
          </w:rPr>
          <w:t xml:space="preserve">Figure 2</w:t>
        </w:r>
      </w:hyperlink>
      <w:r>
        <w:t xml:space="preserve">) were extracted and compared before and after the heatwave event.</w:t>
      </w:r>
    </w:p>
    <w:p>
      <w:pPr>
        <w:pStyle w:val="BodyText"/>
      </w:pPr>
      <w:r>
        <w:t xml:space="preserve">A remote sensing based seagrass covers estimation equation, the SC developed by</w:t>
      </w:r>
      <w:r>
        <w:t xml:space="preserve"> </w:t>
      </w:r>
      <w:r>
        <w:t xml:space="preserve">Zoffoli et al. (2020)</w:t>
      </w:r>
      <w:r>
        <w:t xml:space="preserve">, were used to retrieve the proportion of seagrass of Sentinel-2 pixel (</w:t>
      </w:r>
      <w:hyperlink w:anchor="eq-spc">
        <w:r>
          <w:rPr>
            <w:rStyle w:val="Hyperlink"/>
          </w:rPr>
          <w:t xml:space="preserve">Equation 4</w:t>
        </w:r>
      </w:hyperlink>
      <w:r>
        <w:t xml:space="preserve">):</w:t>
      </w:r>
    </w:p>
    <w:p>
      <w:pPr>
        <w:pStyle w:val="BodyText"/>
      </w:pPr>
      <w:bookmarkStart w:id="54" w:name="eq-spc"/>
      <m:oMathPara>
        <m:oMathParaPr>
          <m:jc m:val="center"/>
        </m:oMathParaPr>
        <m:oMath>
          <m:r>
            <m:t>S</m:t>
          </m:r>
          <m:r>
            <m:t>C</m:t>
          </m:r>
          <m:r>
            <m:rPr>
              <m:sty m:val="p"/>
            </m:rPr>
            <m:t>=</m:t>
          </m:r>
          <m:r>
            <m:t>172.06</m:t>
          </m:r>
          <m:r>
            <m:rPr>
              <m:sty m:val="p"/>
            </m:rPr>
            <m:t>×</m:t>
          </m:r>
          <m:r>
            <m:t>N</m:t>
          </m:r>
          <m:r>
            <m:t>D</m:t>
          </m:r>
          <m:r>
            <m:t>V</m:t>
          </m:r>
          <m:r>
            <m:t>I</m:t>
          </m:r>
          <m:r>
            <m:rPr>
              <m:sty m:val="p"/>
            </m:rPr>
            <m:t>−</m:t>
          </m:r>
          <m:r>
            <m:t>22.18</m:t>
          </m:r>
          <m:r>
            <m:t>  </m:t>
          </m:r>
          <m:d>
            <m:dPr>
              <m:begChr m:val="("/>
              <m:endChr m:val=")"/>
              <m:sepChr m:val=""/>
              <m:grow/>
            </m:dPr>
            <m:e>
              <m:r>
                <m:t>4</m:t>
              </m:r>
            </m:e>
          </m:d>
        </m:oMath>
      </m:oMathPara>
      <w:bookmarkEnd w:id="54"/>
    </w:p>
    <w:bookmarkEnd w:id="55"/>
    <w:bookmarkStart w:id="56"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56"/>
    <w:bookmarkEnd w:id="57"/>
    <w:bookmarkStart w:id="58" w:name="statistics"/>
    <w:p>
      <w:pPr>
        <w:pStyle w:val="Heading2"/>
      </w:pPr>
      <w:r>
        <w:t xml:space="preserve">2.3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Run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58"/>
    <w:bookmarkEnd w:id="59"/>
    <w:bookmarkStart w:id="102" w:name="results"/>
    <w:p>
      <w:pPr>
        <w:pStyle w:val="Heading1"/>
      </w:pPr>
      <w:r>
        <w:t xml:space="preserve">3. Results</w:t>
      </w:r>
    </w:p>
    <w:bookmarkStart w:id="77" w:name="laboratory-experiment-1"/>
    <w:p>
      <w:pPr>
        <w:pStyle w:val="Heading2"/>
      </w:pPr>
      <w:r>
        <w:t xml:space="preserve">3.1 Laboratory Experiment</w:t>
      </w:r>
    </w:p>
    <w:bookmarkStart w:id="65" w:name="spectral-inspection"/>
    <w:p>
      <w:pPr>
        <w:pStyle w:val="Heading3"/>
      </w:pPr>
      <w:r>
        <w:t xml:space="preserve">3.1.1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4</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4</w:t>
        </w:r>
      </w:hyperlink>
      <w:r>
        <w:t xml:space="preserve">, left).</w:t>
      </w:r>
    </w:p>
    <w:p>
      <w:pPr>
        <w:pStyle w:val="BodyText"/>
      </w:pPr>
      <w:r>
        <w:t xml:space="preserve">In contrast, the Treatment group showed more pronounced changes in reflectance throughout the experiment (</w:t>
      </w:r>
      <w:hyperlink w:anchor="fig-Exp_Spectra">
        <w:r>
          <w:rPr>
            <w:rStyle w:val="Hyperlink"/>
          </w:rPr>
          <w:t xml:space="preserve">Figure 4</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64" w:name="cell-fig-Exp_Spectra"/>
    <w:tbl>
      <w:tblPr>
        <w:tblStyle w:val="Table"/>
        <w:tblW w:type="pct" w:w="5000"/>
        <w:tblLayout w:type="fixed"/>
        <w:tblLook w:firstRow="0" w:lastRow="0" w:firstColumn="0" w:lastColumn="0" w:noHBand="0" w:noVBand="0" w:val="0000"/>
      </w:tblPr>
      <w:tblGrid>
        <w:gridCol w:w="7920"/>
      </w:tblGrid>
      <w:tr>
        <w:tc>
          <w:tcPr/>
          <w:bookmarkStart w:id="63" w:name="fig-Exp_Spectra"/>
          <w:p>
            <w:pPr>
              <w:pStyle w:val="Compact"/>
              <w:jc w:val="center"/>
            </w:pPr>
            <w:r>
              <w:drawing>
                <wp:inline>
                  <wp:extent cx="5646420" cy="2823210"/>
                  <wp:effectExtent b="0" l="0" r="0" t="0"/>
                  <wp:docPr descr="" title="" id="61" name="Picture"/>
                  <a:graphic>
                    <a:graphicData uri="http://schemas.openxmlformats.org/drawingml/2006/picture">
                      <pic:pic>
                        <pic:nvPicPr>
                          <pic:cNvPr descr="Figs/Low_res/plot_Spectra_exp.png" id="62" name="Picture"/>
                          <pic:cNvPicPr>
                            <a:picLocks noChangeArrowheads="1" noChangeAspect="1"/>
                          </pic:cNvPicPr>
                        </pic:nvPicPr>
                        <pic:blipFill>
                          <a:blip r:embed="rId6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3"/>
        </w:tc>
      </w:tr>
    </w:tbl>
    <w:bookmarkEnd w:id="64"/>
    <w:bookmarkEnd w:id="65"/>
    <w:bookmarkStart w:id="76" w:name="evolution-of-spectral-metrics"/>
    <w:p>
      <w:pPr>
        <w:pStyle w:val="Heading3"/>
      </w:pPr>
      <w:r>
        <w:t xml:space="preserve">3.1.2 Evolution of spectral metrics</w:t>
      </w:r>
    </w:p>
    <w:p>
      <w:pPr>
        <w:pStyle w:val="FirstParagraph"/>
      </w:pPr>
      <w:r>
        <w:t xml:space="preserve">The maximum difference of</w:t>
      </w:r>
      <w:r>
        <w:t xml:space="preserve"> </w:t>
      </w:r>
      <m:oMath>
        <m:r>
          <m:t>R</m:t>
        </m:r>
        <m:r>
          <m:rPr>
            <m:sty m:val="p"/>
          </m:rPr>
          <m:t>″</m:t>
        </m:r>
        <m:d>
          <m:dPr>
            <m:begChr m:val="("/>
            <m:endChr m:val=")"/>
            <m:sepChr m:val=""/>
            <m:grow/>
          </m:dPr>
          <m:e>
            <m:r>
              <m:t>λ</m:t>
            </m:r>
          </m:e>
        </m:d>
      </m:oMath>
      <w:r>
        <w:t xml:space="preserve"> </w:t>
      </w:r>
      <w:r>
        <w:t xml:space="preserve">was observed at 665 nm where the control was</w:t>
      </w:r>
      <w:r>
        <w:t xml:space="preserve"> </w:t>
      </w:r>
      <m:oMath>
        <m:r>
          <m:t>0.95</m:t>
        </m:r>
        <m:r>
          <m:rPr>
            <m:sty m:val="p"/>
          </m:rPr>
          <m:t>×</m:t>
        </m:r>
        <m:sSup>
          <m:e>
            <m:r>
              <m:t>10</m:t>
            </m:r>
          </m:e>
          <m:sup>
            <m:r>
              <m:rPr>
                <m:sty m:val="p"/>
              </m:rPr>
              <m:t>−</m:t>
            </m:r>
            <m:r>
              <m:t>4</m:t>
            </m:r>
          </m:sup>
        </m:sSup>
      </m:oMath>
      <w:r>
        <w:t xml:space="preserve"> </w:t>
      </w:r>
      <w:r>
        <w:t xml:space="preserve">higher than the treatment groups (</w:t>
      </w:r>
      <w:hyperlink w:anchor="fig-Exp_Spectral_indices">
        <w:r>
          <w:rPr>
            <w:rStyle w:val="Hyperlink"/>
          </w:rPr>
          <w:t xml:space="preserve">Figure 5</w:t>
        </w:r>
      </w:hyperlink>
      <w:r>
        <w:t xml:space="preserve"> </w:t>
      </w:r>
      <w:r>
        <w:t xml:space="preserve">A).</w:t>
      </w:r>
    </w:p>
    <w:p>
      <w:pPr>
        <w:pStyle w:val="BodyText"/>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5</w:t>
        </w:r>
      </w:hyperlink>
      <w:r>
        <w:t xml:space="preserve"> </w:t>
      </w:r>
      <w:r>
        <w:t xml:space="preserve">B)</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SDI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5</w:t>
        </w:r>
      </w:hyperlink>
      <w:r>
        <w:t xml:space="preserve"> </w:t>
      </w:r>
      <w:r>
        <w:t xml:space="preserve">E).</w:t>
      </w:r>
    </w:p>
    <w:bookmarkStart w:id="70" w:name="cell-fig-Exp_Spectral_indices"/>
    <w:tbl>
      <w:tblPr>
        <w:tblStyle w:val="Table"/>
        <w:tblW w:type="pct" w:w="5000"/>
        <w:tblLayout w:type="fixed"/>
        <w:tblLook w:firstRow="0" w:lastRow="0" w:firstColumn="0" w:lastColumn="0" w:noHBand="0" w:noVBand="0" w:val="0000"/>
      </w:tblPr>
      <w:tblGrid>
        <w:gridCol w:w="7920"/>
      </w:tblGrid>
      <w:tr>
        <w:tc>
          <w:tcPr/>
          <w:bookmarkStart w:id="69" w:name="fig-Exp_Spectral_indices"/>
          <w:p>
            <w:pPr>
              <w:pStyle w:val="Compact"/>
              <w:jc w:val="center"/>
            </w:pPr>
            <w:r>
              <w:drawing>
                <wp:inline>
                  <wp:extent cx="5646420" cy="6970888"/>
                  <wp:effectExtent b="0" l="0" r="0" t="0"/>
                  <wp:docPr descr="" title="" id="67" name="Picture"/>
                  <a:graphic>
                    <a:graphicData uri="http://schemas.openxmlformats.org/drawingml/2006/picture">
                      <pic:pic>
                        <pic:nvPicPr>
                          <pic:cNvPr descr="Figs/Low_res/merged_indices.png" id="68" name="Picture"/>
                          <pic:cNvPicPr>
                            <a:picLocks noChangeArrowheads="1" noChangeAspect="1"/>
                          </pic:cNvPicPr>
                        </pic:nvPicPr>
                        <pic:blipFill>
                          <a:blip r:embed="rId66"/>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Absolute difference in the second derivative of hyperspectral signature at the end of the experiment (A), and relative difference of the second derivative at 665 nm (B), the NDVI (C), the GLI (D) and the SDI (E) between the Control and the Treatment over time. Points indicate raw data, the line represents a generalized linear model, and the shaded area the model’s standard error.</w:t>
            </w:r>
          </w:p>
          <w:bookmarkEnd w:id="69"/>
        </w:tc>
      </w:tr>
    </w:tbl>
    <w:bookmarkEnd w:id="70"/>
    <w:p>
      <w:pPr>
        <w:pStyle w:val="BodyText"/>
      </w:pPr>
      <w:r>
        <w:t xml:space="preserve">The SDI revealed clear distinctions between the Control and Treatment groups (</w:t>
      </w:r>
      <w:hyperlink w:anchor="fig-SDI_over_Time">
        <w:r>
          <w:rPr>
            <w:rStyle w:val="Hyperlink"/>
          </w:rPr>
          <w:t xml:space="preserve">Figure 6</w:t>
        </w:r>
      </w:hyperlink>
      <w:r>
        <w:t xml:space="preserve">). At day 1, the SDI of the Control and Treatment groups are comparable, with value of -0.11 and -0.08, respectively. By the end of the experiment, seagrasses in the Treatment group exhibited an average SDI of 0.15, consistent with their visibly darkened appearance. In contrast, the Control group retained a green appearance throughout the experiment, with an average SDI of -0.07.</w:t>
      </w:r>
    </w:p>
    <w:bookmarkStart w:id="75" w:name="cell-fig-SDI_over_Time"/>
    <w:tbl>
      <w:tblPr>
        <w:tblStyle w:val="Table"/>
        <w:tblW w:type="pct" w:w="5000"/>
        <w:tblLayout w:type="fixed"/>
        <w:tblLook w:firstRow="0" w:lastRow="0" w:firstColumn="0" w:lastColumn="0" w:noHBand="0" w:noVBand="0" w:val="0000"/>
      </w:tblPr>
      <w:tblGrid>
        <w:gridCol w:w="7920"/>
      </w:tblGrid>
      <w:tr>
        <w:tc>
          <w:tcPr/>
          <w:bookmarkStart w:id="74" w:name="fig-SDI_over_Time"/>
          <w:p>
            <w:pPr>
              <w:pStyle w:val="Compact"/>
              <w:jc w:val="center"/>
            </w:pPr>
            <w:r>
              <w:drawing>
                <wp:inline>
                  <wp:extent cx="5646420" cy="5646420"/>
                  <wp:effectExtent b="0" l="0" r="0" t="0"/>
                  <wp:docPr descr="" title="" id="72" name="Picture"/>
                  <a:graphic>
                    <a:graphicData uri="http://schemas.openxmlformats.org/drawingml/2006/picture">
                      <pic:pic>
                        <pic:nvPicPr>
                          <pic:cNvPr descr="Figs/Low_res/SDI_exp_overtime.png" id="73" name="Picture"/>
                          <pic:cNvPicPr>
                            <a:picLocks noChangeArrowheads="1" noChangeAspect="1"/>
                          </pic:cNvPicPr>
                        </pic:nvPicPr>
                        <pic:blipFill>
                          <a:blip r:embed="rId7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Average and standard deviation of the Seagrass Darkening Index (SDI) across expimental runs, at each day of the experiment. Tge green line shows values of the Control group while the golden line indicates values of the Treatment group.</w:t>
            </w:r>
          </w:p>
          <w:bookmarkEnd w:id="74"/>
        </w:tc>
      </w:tr>
    </w:tbl>
    <w:bookmarkEnd w:id="75"/>
    <w:bookmarkEnd w:id="76"/>
    <w:bookmarkEnd w:id="77"/>
    <w:bookmarkStart w:id="101" w:name="heatwaves-of-quiberon"/>
    <w:p>
      <w:pPr>
        <w:pStyle w:val="Heading2"/>
      </w:pPr>
      <w:r>
        <w:t xml:space="preserve">3.2 Heatwaves of Quiberon</w:t>
      </w:r>
    </w:p>
    <w:bookmarkStart w:id="8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7</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7</w:t>
        </w:r>
      </w:hyperlink>
      <w:r>
        <w:t xml:space="preserve"> </w:t>
      </w:r>
      <w:r>
        <w:t xml:space="preserve">B). The AHW has been classified as a strong event, and the MHW was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7</w:t>
        </w:r>
      </w:hyperlink>
      <w:r>
        <w:t xml:space="preserve"> </w:t>
      </w:r>
      <w:r>
        <w:t xml:space="preserve">C). Before the event, all QPs appeared green on the images, with similar reflectance spectra, regardless of the class attributed to the QPs in the field after the events (</w:t>
      </w:r>
      <w:hyperlink w:anchor="fig-S2_comparison">
        <w:r>
          <w:rPr>
            <w:rStyle w:val="Hyperlink"/>
          </w:rPr>
          <w:t xml:space="preserve">Figure 7</w:t>
        </w:r>
      </w:hyperlink>
      <w:r>
        <w:t xml:space="preserve"> </w:t>
      </w:r>
      <w:r>
        <w:t xml:space="preserve">A and D left). Their reflectance spectra showed a peak at 560 nm (in the green part of the spectra), low values at 665 nm and a high infrared plateau (&gt; 705 nm). However, on the 6th of September, QPs classified as impacted during the field campaign, showed significant differences in reflectance spectral shape compared to QPs classified as unimpacted during the campaign, with corresponding differences in the true color composition (</w:t>
      </w:r>
      <w:hyperlink w:anchor="fig-S2_comparison">
        <w:r>
          <w:rPr>
            <w:rStyle w:val="Hyperlink"/>
          </w:rPr>
          <w:t xml:space="preserve">Figure 7</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82" w:name="cell-fig-S2_comparison"/>
    <w:tbl>
      <w:tblPr>
        <w:tblStyle w:val="Table"/>
        <w:tblW w:type="pct" w:w="5000"/>
        <w:tblLayout w:type="fixed"/>
        <w:tblLook w:firstRow="0" w:lastRow="0" w:firstColumn="0" w:lastColumn="0" w:noHBand="0" w:noVBand="0" w:val="0000"/>
      </w:tblPr>
      <w:tblGrid>
        <w:gridCol w:w="7920"/>
      </w:tblGrid>
      <w:tr>
        <w:tc>
          <w:tcPr/>
          <w:bookmarkStart w:id="81" w:name="fig-S2_comparison"/>
          <w:p>
            <w:pPr>
              <w:pStyle w:val="Compact"/>
              <w:jc w:val="center"/>
            </w:pPr>
            <w:r>
              <w:drawing>
                <wp:inline>
                  <wp:extent cx="5646420" cy="5392331"/>
                  <wp:effectExtent b="0" l="0" r="0" t="0"/>
                  <wp:docPr descr="" title="" id="79" name="Picture"/>
                  <a:graphic>
                    <a:graphicData uri="http://schemas.openxmlformats.org/drawingml/2006/picture">
                      <pic:pic>
                        <pic:nvPicPr>
                          <pic:cNvPr descr="Figs/Low_res/Heatwaves_S2_plot.png" id="80" name="Picture"/>
                          <pic:cNvPicPr>
                            <a:picLocks noChangeArrowheads="1" noChangeAspect="1"/>
                          </pic:cNvPicPr>
                        </pic:nvPicPr>
                        <pic:blipFill>
                          <a:blip r:embed="rId78"/>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81"/>
        </w:tc>
      </w:tr>
    </w:tbl>
    <w:bookmarkEnd w:id="82"/>
    <w:bookmarkEnd w:id="83"/>
    <w:bookmarkStart w:id="89" w:name="sentinel-2-derived-metrics-comparison"/>
    <w:p>
      <w:pPr>
        <w:pStyle w:val="Heading3"/>
      </w:pPr>
      <w:r>
        <w:t xml:space="preserve">3.2.2 Sentinel-2 derived metrics comparison</w:t>
      </w:r>
    </w:p>
    <w:p>
      <w:pPr>
        <w:pStyle w:val="FirstParagraph"/>
      </w:pPr>
      <w:r>
        <w:t xml:space="preserve">Using Sentinel-2 data, NDVI, Seagrass Cover (SC), GLI and SDI estimated for pixels unaffected by the heatwave showed minimal changes for all metrics of -1 %, -1 %, -10 and 3 %, respectively between the 1st of September and the 6th of September (</w:t>
      </w:r>
      <w:hyperlink w:anchor="fig-NDVI_GLI_SPC">
        <w:r>
          <w:rPr>
            <w:rStyle w:val="Hyperlink"/>
          </w:rPr>
          <w:t xml:space="preserve">Figure 8</w:t>
        </w:r>
      </w:hyperlink>
      <w:r>
        <w:t xml:space="preserve">). In contrast, seagrass impacted by the heatwave exhibited a significant changes in all metrics. Because the SC is linearly related to the NDVI, both metrics dropped of 35 %, however the drop in SC was not due to a loss of density of seagrass on the field (</w:t>
      </w:r>
      <w:hyperlink w:anchor="fig-QuiberonImg">
        <w:r>
          <w:rPr>
            <w:rStyle w:val="Hyperlink"/>
          </w:rPr>
          <w:t xml:space="preserve">Figure 3</w:t>
        </w:r>
      </w:hyperlink>
      <w:r>
        <w:t xml:space="preserve">). The GLI drops of about 85% at the 6th of September. The SDI was the most sensitive metric to the darkening of seagrasses, showing an increase of 97 % during heatwave exposure (</w:t>
      </w:r>
      <w:hyperlink w:anchor="fig-NDVI_GLI_SPC">
        <w:r>
          <w:rPr>
            <w:rStyle w:val="Hyperlink"/>
          </w:rPr>
          <w:t xml:space="preserve">Figure 8</w:t>
        </w:r>
      </w:hyperlink>
      <w:r>
        <w:t xml:space="preserve">).</w:t>
      </w:r>
    </w:p>
    <w:p>
      <w:pPr>
        <w:pStyle w:val="BodyText"/>
      </w:pPr>
      <w:r>
        <w:t xml:space="preserve">One month later the heatwaves events, on the 8th of October, all metrics of unimpacted QPs had increased compared to the 1st of September: The NDVI and SC by 21 %, The GLI by 15 % and the SDI 14 %. Concerning QPs impacted by the heatwaves, even though all the metrics were closer to the values they had prior to the heatwaves, they have not regained their level from before the events. By the 8th of October, the NDVI and the SC of these QPs were 5 % lower, The GLI was 16 % lower and the SDI 14 % higher than on the 1st of September.</w:t>
      </w:r>
    </w:p>
    <w:bookmarkStart w:id="88" w:name="cell-fig-NDVI_GLI_SPC"/>
    <w:tbl>
      <w:tblPr>
        <w:tblStyle w:val="Table"/>
        <w:tblW w:type="pct" w:w="5000"/>
        <w:tblLayout w:type="fixed"/>
        <w:tblLook w:firstRow="0" w:lastRow="0" w:firstColumn="0" w:lastColumn="0" w:noHBand="0" w:noVBand="0" w:val="0000"/>
      </w:tblPr>
      <w:tblGrid>
        <w:gridCol w:w="7920"/>
      </w:tblGrid>
      <w:tr>
        <w:tc>
          <w:tcPr/>
          <w:bookmarkStart w:id="87" w:name="fig-NDVI_GLI_SPC"/>
          <w:p>
            <w:pPr>
              <w:pStyle w:val="Compact"/>
              <w:jc w:val="center"/>
            </w:pPr>
            <w:r>
              <w:drawing>
                <wp:inline>
                  <wp:extent cx="5646420" cy="5646420"/>
                  <wp:effectExtent b="0" l="0" r="0" t="0"/>
                  <wp:docPr descr="" title="" id="85" name="Picture"/>
                  <a:graphic>
                    <a:graphicData uri="http://schemas.openxmlformats.org/drawingml/2006/picture">
                      <pic:pic>
                        <pic:nvPicPr>
                          <pic:cNvPr descr="Figs/Low_res/Compares_Indices_S2.png" id="86" name="Picture"/>
                          <pic:cNvPicPr>
                            <a:picLocks noChangeArrowheads="1" noChangeAspect="1"/>
                          </pic:cNvPicPr>
                        </pic:nvPicPr>
                        <pic:blipFill>
                          <a:blip r:embed="rId8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Relative difference of the Normalized Difference Vegetation Index (NDVI: A); Seagrass Cover (SC: B); Green Leaf Index (GLI: C); and Seagrass Darkening Index (SDI: D) to the 1st of September 2021 of Sentinel-2 based metrics at two different dates : during (2021-09-06) and after the heatwave events (2021-10-08) of Quiberons, for the two category of QPs : Unimpacted seagrasses (green) and Impacted Seagrasses (golden). Points represent predicted value of the metric using a Generalized Linear Model (GLM) while error bar represent the 89% confidance interval of it.</w:t>
            </w:r>
          </w:p>
          <w:bookmarkEnd w:id="87"/>
        </w:tc>
      </w:tr>
    </w:tbl>
    <w:bookmarkEnd w:id="88"/>
    <w:bookmarkEnd w:id="89"/>
    <w:bookmarkStart w:id="100" w:name="mapping-of-the-seagrass-darkening"/>
    <w:p>
      <w:pPr>
        <w:pStyle w:val="Heading3"/>
      </w:pPr>
      <w:r>
        <w:t xml:space="preserve">3.2.3 Mapping of the seagrass darkening</w:t>
      </w:r>
    </w:p>
    <w:p>
      <w:pPr>
        <w:pStyle w:val="FirstParagraph"/>
      </w:pPr>
      <w:r>
        <w:t xml:space="preserve">Using the SDI (</w:t>
      </w:r>
      <w:hyperlink w:anchor="eq-SDI">
        <w:r>
          <w:rPr>
            <w:rStyle w:val="Hyperlink"/>
          </w:rPr>
          <w:t xml:space="preserve">Equation 3</w:t>
        </w:r>
      </w:hyperlink>
      <w:r>
        <w:t xml:space="preserve">), we detected seagrass patches that have darkened (</w:t>
      </w:r>
      <w:hyperlink w:anchor="fig-Map_darkening_Bathy">
        <w:r>
          <w:rPr>
            <w:rStyle w:val="Hyperlink"/>
          </w:rPr>
          <w:t xml:space="preserve">Figure 9</w:t>
        </w:r>
      </w:hyperlink>
      <w:r>
        <w:t xml:space="preserve">).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revealed that 94.6 % of darkened areas were located at above 3.9 meters of bathymetry (</w:t>
      </w:r>
      <w:hyperlink w:anchor="fig-Map_darkening_Bathy">
        <w:r>
          <w:rPr>
            <w:rStyle w:val="Hyperlink"/>
          </w:rPr>
          <w:t xml:space="preserve">Figure 9</w:t>
        </w:r>
      </w:hyperlink>
      <w:r>
        <w:t xml:space="preserve">, A and B).</w:t>
      </w:r>
      <w:r>
        <w:t xml:space="preserve"> </w:t>
      </w:r>
      <w:r>
        <w:t xml:space="preserve">One month later, on October 8th, areas that were previously darkened had regained their green color (</w:t>
      </w:r>
      <w:hyperlink w:anchor="fig-Map_darkening_Bathy">
        <w:r>
          <w:rPr>
            <w:rStyle w:val="Hyperlink"/>
          </w:rPr>
          <w:t xml:space="preserve">Figure 9</w:t>
        </w:r>
      </w:hyperlink>
      <w:r>
        <w:t xml:space="preserve">, C).</w:t>
      </w:r>
    </w:p>
    <w:bookmarkStart w:id="94" w:name="cell-fig-Map_darkening_Bathy"/>
    <w:tbl>
      <w:tblPr>
        <w:tblStyle w:val="Table"/>
        <w:tblW w:type="pct" w:w="5000"/>
        <w:tblLayout w:type="fixed"/>
        <w:tblLook w:firstRow="0" w:lastRow="0" w:firstColumn="0" w:lastColumn="0" w:noHBand="0" w:noVBand="0" w:val="0000"/>
      </w:tblPr>
      <w:tblGrid>
        <w:gridCol w:w="7920"/>
      </w:tblGrid>
      <w:tr>
        <w:tc>
          <w:tcPr/>
          <w:bookmarkStart w:id="93" w:name="fig-Map_darkening_Bathy"/>
          <w:p>
            <w:pPr>
              <w:pStyle w:val="Compact"/>
              <w:jc w:val="center"/>
            </w:pPr>
            <w:r>
              <w:drawing>
                <wp:inline>
                  <wp:extent cx="5646420" cy="3500780"/>
                  <wp:effectExtent b="0" l="0" r="0" t="0"/>
                  <wp:docPr descr="" title="" id="91" name="Picture"/>
                  <a:graphic>
                    <a:graphicData uri="http://schemas.openxmlformats.org/drawingml/2006/picture">
                      <pic:pic>
                        <pic:nvPicPr>
                          <pic:cNvPr descr="Figs/Low_res/Map_darkening_Bathy.png" id="92" name="Picture"/>
                          <pic:cNvPicPr>
                            <a:picLocks noChangeArrowheads="1" noChangeAspect="1"/>
                          </pic:cNvPicPr>
                        </pic:nvPicPr>
                        <pic:blipFill>
                          <a:blip r:embed="rId90"/>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Map of the Darkening of seagrasses during the heatwave events of September 2021 in Quiberon. A: 3.9 m bathymetry isobar (golden line); B: Result of the detection of darkened seagrass patches (Blue polygons); C: Sentinel-2 image one month after the end of the heatwaves (2021-10-08).</w:t>
            </w:r>
          </w:p>
          <w:bookmarkEnd w:id="93"/>
        </w:tc>
      </w:tr>
    </w:tbl>
    <w:bookmarkEnd w:id="94"/>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10</w:t>
        </w:r>
      </w:hyperlink>
      <w:r>
        <w:t xml:space="preserve">). During the heatwave, no significant darkening occurred with daily exposure less than 13 hours. However, above 13 hours, seagrasses began to darken, reaching peak darkening at around 14.5 hours of daily exposure.</w:t>
      </w:r>
    </w:p>
    <w:bookmarkStart w:id="99" w:name="cell-fig-GAM_Emersion"/>
    <w:tbl>
      <w:tblPr>
        <w:tblStyle w:val="Table"/>
        <w:tblW w:type="pct" w:w="5000"/>
        <w:tblLayout w:type="fixed"/>
        <w:tblLook w:firstRow="0" w:lastRow="0" w:firstColumn="0" w:lastColumn="0" w:noHBand="0" w:noVBand="0" w:val="0000"/>
      </w:tblPr>
      <w:tblGrid>
        <w:gridCol w:w="7920"/>
      </w:tblGrid>
      <w:tr>
        <w:tc>
          <w:tcPr/>
          <w:bookmarkStart w:id="98" w:name="fig-GAM_Emersion"/>
          <w:p>
            <w:pPr>
              <w:pStyle w:val="Compact"/>
              <w:jc w:val="center"/>
            </w:pPr>
            <w:r>
              <w:drawing>
                <wp:inline>
                  <wp:extent cx="5646420" cy="2823210"/>
                  <wp:effectExtent b="0" l="0" r="0" t="0"/>
                  <wp:docPr descr="" title="" id="96" name="Picture"/>
                  <a:graphic>
                    <a:graphicData uri="http://schemas.openxmlformats.org/drawingml/2006/picture">
                      <pic:pic>
                        <pic:nvPicPr>
                          <pic:cNvPr descr="Figs/Low_res/GAM_emersion.png" id="97" name="Picture"/>
                          <pic:cNvPicPr>
                            <a:picLocks noChangeArrowheads="1" noChangeAspect="1"/>
                          </pic:cNvPicPr>
                        </pic:nvPicPr>
                        <pic:blipFill>
                          <a:blip r:embed="rId95"/>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Relative change of the Seagrass Darkening Index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98"/>
        </w:tc>
      </w:tr>
    </w:tbl>
    <w:bookmarkEnd w:id="99"/>
    <w:bookmarkEnd w:id="100"/>
    <w:bookmarkEnd w:id="101"/>
    <w:bookmarkEnd w:id="102"/>
    <w:bookmarkStart w:id="107" w:name="discussion"/>
    <w:p>
      <w:pPr>
        <w:pStyle w:val="Heading1"/>
      </w:pPr>
      <w:r>
        <w:t xml:space="preserve">4. Discussion</w:t>
      </w:r>
    </w:p>
    <w:bookmarkStart w:id="103" w:name="Xd32f8be805d1b37672f96d647c22fdb6e508461"/>
    <w:p>
      <w:pPr>
        <w:pStyle w:val="Heading2"/>
      </w:pPr>
      <w:r>
        <w:t xml:space="preserve">4.1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5</w:t>
        </w:r>
      </w:hyperlink>
      <w:r>
        <w:t xml:space="preserve">). The second derivative at 665 nm (R’’665), NDVI, and GLI (</w:t>
      </w:r>
      <w:hyperlink w:anchor="fig-Exp_Spectral_indices">
        <w:r>
          <w:rPr>
            <w:rStyle w:val="Hyperlink"/>
          </w:rPr>
          <w:t xml:space="preserve">Figure 5</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5</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10</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03"/>
    <w:bookmarkStart w:id="104" w:name="climate-change-and-heatwaves"/>
    <w:p>
      <w:pPr>
        <w:pStyle w:val="Heading2"/>
      </w:pPr>
      <w:r>
        <w:t xml:space="preserve">4.2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04"/>
    <w:bookmarkStart w:id="105" w:name="seagrass-resilience-to-heatwaves"/>
    <w:p>
      <w:pPr>
        <w:pStyle w:val="Heading2"/>
      </w:pPr>
      <w:r>
        <w:t xml:space="preserve">4.3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8</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3</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8</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05"/>
    <w:bookmarkStart w:id="106" w:name="big-picture"/>
    <w:p>
      <w:pPr>
        <w:pStyle w:val="Heading2"/>
      </w:pPr>
      <w:r>
        <w:t xml:space="preserve">4.4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06"/>
    <w:bookmarkEnd w:id="107"/>
    <w:bookmarkStart w:id="108"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08"/>
    <w:bookmarkStart w:id="116" w:name="annexes"/>
    <w:p>
      <w:pPr>
        <w:pStyle w:val="Heading1"/>
      </w:pPr>
      <w:r>
        <w:t xml:space="preserve">6. Annexes</w:t>
      </w:r>
    </w:p>
    <w:bookmarkStart w:id="115"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0" name="Picture"/>
            <a:graphic>
              <a:graphicData uri="http://schemas.openxmlformats.org/drawingml/2006/picture">
                <pic:pic>
                  <pic:nvPicPr>
                    <pic:cNvPr descr="Figs/High_res/Temperature_compare.png" id="111" name="Picture"/>
                    <pic:cNvPicPr>
                      <a:picLocks noChangeArrowheads="1" noChangeAspect="1"/>
                    </pic:cNvPicPr>
                  </pic:nvPicPr>
                  <pic:blipFill>
                    <a:blip r:embed="rId109"/>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CaptionedFigure"/>
      </w:pPr>
      <w:r>
        <w:drawing>
          <wp:inline>
            <wp:extent cx="5943600" cy="2718555"/>
            <wp:effectExtent b="0" l="0" r="0" t="0"/>
            <wp:docPr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title="" id="113" name="Picture"/>
            <a:graphic>
              <a:graphicData uri="http://schemas.openxmlformats.org/drawingml/2006/picture">
                <pic:pic>
                  <pic:nvPicPr>
                    <pic:cNvPr descr="Figs/Low_res/Chamber_Profils.png" id="114" name="Picture"/>
                    <pic:cNvPicPr>
                      <a:picLocks noChangeArrowheads="1" noChangeAspect="1"/>
                    </pic:cNvPicPr>
                  </pic:nvPicPr>
                  <pic:blipFill>
                    <a:blip r:embed="rId112"/>
                    <a:stretch>
                      <a:fillRect/>
                    </a:stretch>
                  </pic:blipFill>
                  <pic:spPr bwMode="auto">
                    <a:xfrm>
                      <a:off x="0" y="0"/>
                      <a:ext cx="5943600" cy="2718555"/>
                    </a:xfrm>
                    <a:prstGeom prst="rect">
                      <a:avLst/>
                    </a:prstGeom>
                    <a:noFill/>
                    <a:ln w="9525">
                      <a:noFill/>
                      <a:headEnd/>
                      <a:tailEnd/>
                    </a:ln>
                  </pic:spPr>
                </pic:pic>
              </a:graphicData>
            </a:graphic>
          </wp:inline>
        </w:drawing>
      </w:r>
    </w:p>
    <w:p>
      <w:pPr>
        <w:pStyle w:val="ImageCaption"/>
      </w:pPr>
      <w:r>
        <w:t xml:space="preserve">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115"/>
    <w:bookmarkEnd w:id="116"/>
    <w:bookmarkStart w:id="215" w:name="references"/>
    <w:p>
      <w:pPr>
        <w:pStyle w:val="Heading1"/>
      </w:pPr>
      <w:r>
        <w:t xml:space="preserve">7. References</w:t>
      </w:r>
    </w:p>
    <w:bookmarkStart w:id="214" w:name="refs"/>
    <w:bookmarkStart w:id="117"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17"/>
    <w:bookmarkStart w:id="118" w:name="ref-armitage2016carbon"/>
    <w:p>
      <w:pPr>
        <w:pStyle w:val="Bibliography"/>
      </w:pPr>
      <w:r>
        <w:t xml:space="preserve">Armitage, A., Fourqurean, J.W., 2016. Carbon storage in seagrass soils: Long-term nutrient history exceeds the effects of near-term nutrient enrichment. Biogeosciences 13, 313–321.</w:t>
      </w:r>
    </w:p>
    <w:bookmarkEnd w:id="118"/>
    <w:bookmarkStart w:id="119"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19"/>
    <w:bookmarkStart w:id="121"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0">
        <w:r>
          <w:rPr>
            <w:rStyle w:val="Hyperlink"/>
          </w:rPr>
          <w:t xml:space="preserve">https://doi.org/10.3354/meps14588</w:t>
        </w:r>
      </w:hyperlink>
    </w:p>
    <w:bookmarkEnd w:id="121"/>
    <w:bookmarkStart w:id="123" w:name="ref-JSSv100i05"/>
    <w:p>
      <w:pPr>
        <w:pStyle w:val="Bibliography"/>
      </w:pPr>
      <w:r>
        <w:t xml:space="preserve">Bürkner, P.-C., 2021. Bayesian item response modeling in r with brms and stan. Journal of Statistical Software 100, 1–54.</w:t>
      </w:r>
      <w:r>
        <w:t xml:space="preserve"> </w:t>
      </w:r>
      <w:hyperlink r:id="rId122">
        <w:r>
          <w:rPr>
            <w:rStyle w:val="Hyperlink"/>
          </w:rPr>
          <w:t xml:space="preserve">https://doi.org/10.18637/jss.v100.i05</w:t>
        </w:r>
      </w:hyperlink>
    </w:p>
    <w:bookmarkEnd w:id="123"/>
    <w:bookmarkStart w:id="124"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4"/>
    <w:bookmarkStart w:id="125"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5"/>
    <w:bookmarkStart w:id="126" w:name="ref-canadell2021ecosystem"/>
    <w:p>
      <w:pPr>
        <w:pStyle w:val="Bibliography"/>
      </w:pPr>
      <w:r>
        <w:t xml:space="preserve">Canadell, J.G., Jackson, R.B., 2021. Ecosystem collapse and climate change. Springer.</w:t>
      </w:r>
    </w:p>
    <w:bookmarkEnd w:id="126"/>
    <w:bookmarkStart w:id="127"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7"/>
    <w:bookmarkStart w:id="129"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28">
        <w:r>
          <w:rPr>
            <w:rStyle w:val="Hyperlink"/>
          </w:rPr>
          <w:t xml:space="preserve">https://doi.org/10.18637/jss.v076.i01</w:t>
        </w:r>
      </w:hyperlink>
    </w:p>
    <w:bookmarkEnd w:id="129"/>
    <w:bookmarkStart w:id="131"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0">
        <w:r>
          <w:rPr>
            <w:rStyle w:val="Hyperlink"/>
          </w:rPr>
          <w:t xml:space="preserve">https://doi.org/10.48670/moi-00311</w:t>
        </w:r>
      </w:hyperlink>
    </w:p>
    <w:bookmarkEnd w:id="131"/>
    <w:bookmarkStart w:id="133"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2">
        <w:r>
          <w:rPr>
            <w:rStyle w:val="Hyperlink"/>
          </w:rPr>
          <w:t xml:space="preserve">https://doi.org/10.1007/s11099-007-0084-3</w:t>
        </w:r>
      </w:hyperlink>
    </w:p>
    <w:bookmarkEnd w:id="133"/>
    <w:bookmarkStart w:id="135"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4">
        <w:r>
          <w:rPr>
            <w:rStyle w:val="Hyperlink"/>
          </w:rPr>
          <w:t xml:space="preserve">https://doi.org/10.1038/s43247-024-01543-z</w:t>
        </w:r>
      </w:hyperlink>
    </w:p>
    <w:bookmarkEnd w:id="135"/>
    <w:bookmarkStart w:id="137"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6">
        <w:r>
          <w:rPr>
            <w:rStyle w:val="Hyperlink"/>
          </w:rPr>
          <w:t xml:space="preserve">https://doi.org/10.1016/j.rse.2024.114340</w:t>
        </w:r>
      </w:hyperlink>
    </w:p>
    <w:bookmarkEnd w:id="137"/>
    <w:bookmarkStart w:id="138"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8"/>
    <w:bookmarkStart w:id="139" w:name="ref-deguette2022physiological"/>
    <w:p>
      <w:pPr>
        <w:pStyle w:val="Bibliography"/>
      </w:pPr>
      <w:r>
        <w:t xml:space="preserve">Deguette, A., Barrote, I., Silva, J., 2022. Physiological and morphological effects of a marine heatwave on the seagrass cymodocea nodosa. Scientific Reports 12, 7950.</w:t>
      </w:r>
    </w:p>
    <w:bookmarkEnd w:id="139"/>
    <w:bookmarkStart w:id="140" w:name="ref-devi2024intensity"/>
    <w:p>
      <w:pPr>
        <w:pStyle w:val="Bibliography"/>
      </w:pPr>
      <w:r>
        <w:t xml:space="preserve">Devi, R., Gouda, K., Lenka, S., 2024. Intensity duration and frequency of heat wave in different phases of MJO over india. Atmospheric Research 300, 107250.</w:t>
      </w:r>
    </w:p>
    <w:bookmarkEnd w:id="140"/>
    <w:bookmarkStart w:id="141" w:name="ref-sen2cor"/>
    <w:p>
      <w:pPr>
        <w:pStyle w:val="Bibliography"/>
      </w:pPr>
      <w:r>
        <w:t xml:space="preserve">European Space Agency, 2024b. Sen2Cor: Sentinel-2 atmospheric correction processor.</w:t>
      </w:r>
    </w:p>
    <w:bookmarkEnd w:id="141"/>
    <w:bookmarkStart w:id="142" w:name="ref-copernicus_sentinel2"/>
    <w:p>
      <w:pPr>
        <w:pStyle w:val="Bibliography"/>
      </w:pPr>
      <w:r>
        <w:t xml:space="preserve">European Space Agency, 2024a. Copernicus open access hub.</w:t>
      </w:r>
    </w:p>
    <w:bookmarkEnd w:id="142"/>
    <w:bookmarkStart w:id="143"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3"/>
    <w:bookmarkStart w:id="144"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4"/>
    <w:bookmarkStart w:id="145"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5"/>
    <w:bookmarkStart w:id="146" w:name="ref-gardner2018global"/>
    <w:p>
      <w:pPr>
        <w:pStyle w:val="Bibliography"/>
      </w:pPr>
      <w:r>
        <w:t xml:space="preserve">Gardner, R.C., Finlayson, C., 2018. Global wetland outlook: State of the world’s wetlands and their services to people, in: Ramsar Convention Secretariat. pp. 2020–5.</w:t>
      </w:r>
    </w:p>
    <w:bookmarkEnd w:id="146"/>
    <w:bookmarkStart w:id="147"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7"/>
    <w:bookmarkStart w:id="149"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8">
        <w:r>
          <w:rPr>
            <w:rStyle w:val="Hyperlink"/>
          </w:rPr>
          <w:t xml:space="preserve">https://doi.org/10.1002/aqc.4210</w:t>
        </w:r>
      </w:hyperlink>
    </w:p>
    <w:bookmarkEnd w:id="149"/>
    <w:bookmarkStart w:id="150"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0"/>
    <w:bookmarkStart w:id="151"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1"/>
    <w:bookmarkStart w:id="152" w:name="ref-huete2012vegetation"/>
    <w:p>
      <w:pPr>
        <w:pStyle w:val="Bibliography"/>
      </w:pPr>
      <w:r>
        <w:t xml:space="preserve">Huete, A.R., 2012. Vegetation indices, remote sensing and forest monitoring. Geography Compass 6, 513–532.</w:t>
      </w:r>
    </w:p>
    <w:bookmarkEnd w:id="152"/>
    <w:bookmarkStart w:id="154"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3">
        <w:r>
          <w:rPr>
            <w:rStyle w:val="Hyperlink"/>
          </w:rPr>
          <w:t xml:space="preserve">https://doi.org/10.1073/pnas.0402642101</w:t>
        </w:r>
      </w:hyperlink>
    </w:p>
    <w:bookmarkEnd w:id="154"/>
    <w:bookmarkStart w:id="156" w:name="ref-ioc_sea_level_lecy"/>
    <w:p>
      <w:pPr>
        <w:pStyle w:val="Bibliography"/>
      </w:pPr>
      <w:r>
        <w:t xml:space="preserve">IOC, 2024.</w:t>
      </w:r>
      <w:r>
        <w:t xml:space="preserve"> </w:t>
      </w:r>
      <w:hyperlink r:id="rId155">
        <w:r>
          <w:rPr>
            <w:rStyle w:val="Hyperlink"/>
          </w:rPr>
          <w:t xml:space="preserve">Intergovernmental oceanographic commission ; sea level monitoring station - le conquet, france (LECY)</w:t>
        </w:r>
      </w:hyperlink>
      <w:r>
        <w:t xml:space="preserve">.</w:t>
      </w:r>
    </w:p>
    <w:bookmarkEnd w:id="156"/>
    <w:bookmarkStart w:id="157"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7"/>
    <w:bookmarkStart w:id="159"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58">
        <w:r>
          <w:rPr>
            <w:rStyle w:val="Hyperlink"/>
          </w:rPr>
          <w:t xml:space="preserve">https://doi.org/10.1016/S0304-4238(05)80016-0</w:t>
        </w:r>
      </w:hyperlink>
    </w:p>
    <w:bookmarkEnd w:id="159"/>
    <w:bookmarkStart w:id="160" w:name="ref-kloos2021agricultural"/>
    <w:p>
      <w:pPr>
        <w:pStyle w:val="Bibliography"/>
      </w:pPr>
      <w:r>
        <w:t xml:space="preserve">Kloos, S., Yuan, Y., Castelli, M., Menzel, A., 2021. Agricultural drought detection with MODIS based vegetation health indices in southeast germany. Remote Sensing 13, 3907.</w:t>
      </w:r>
    </w:p>
    <w:bookmarkEnd w:id="160"/>
    <w:bookmarkStart w:id="162"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1">
        <w:r>
          <w:rPr>
            <w:rStyle w:val="Hyperlink"/>
          </w:rPr>
          <w:t xml:space="preserve">https://doi.org/10.1016/S0034-4257(70)80021-9</w:t>
        </w:r>
      </w:hyperlink>
    </w:p>
    <w:bookmarkEnd w:id="162"/>
    <w:bookmarkStart w:id="163" w:name="ref-hsdar"/>
    <w:p>
      <w:pPr>
        <w:pStyle w:val="Bibliography"/>
      </w:pPr>
      <w:r>
        <w:t xml:space="preserve">Lehnert, L.W., Meyer, H., Bendix, J., 2017. Hsdar: Manage, analyse and simulate hyperspectral data in r.</w:t>
      </w:r>
    </w:p>
    <w:bookmarkEnd w:id="163"/>
    <w:bookmarkStart w:id="164" w:name="ref-loarie2009velocity"/>
    <w:p>
      <w:pPr>
        <w:pStyle w:val="Bibliography"/>
      </w:pPr>
      <w:r>
        <w:t xml:space="preserve">Loarie, S.R., Duffy, P.B., Hamilton, H., Asner, G.P., Field, C.B., Ackerly, D.D., 2009. The velocity of climate change. Nature 462, 1052–1055.</w:t>
      </w:r>
    </w:p>
    <w:bookmarkEnd w:id="164"/>
    <w:bookmarkStart w:id="165"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5"/>
    <w:bookmarkStart w:id="167" w:name="ref-malvern_panalytical_rs3"/>
    <w:p>
      <w:pPr>
        <w:pStyle w:val="Bibliography"/>
      </w:pPr>
      <w:r>
        <w:t xml:space="preserve">Malvern Panalytical, 2023.</w:t>
      </w:r>
      <w:r>
        <w:t xml:space="preserve"> </w:t>
      </w:r>
      <w:hyperlink r:id="rId166">
        <w:r>
          <w:rPr>
            <w:rStyle w:val="Hyperlink"/>
          </w:rPr>
          <w:t xml:space="preserve">RS3 software</w:t>
        </w:r>
      </w:hyperlink>
      <w:r>
        <w:t xml:space="preserve">.</w:t>
      </w:r>
    </w:p>
    <w:bookmarkEnd w:id="167"/>
    <w:bookmarkStart w:id="16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8"/>
    <w:bookmarkStart w:id="170"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9">
        <w:r>
          <w:rPr>
            <w:rStyle w:val="Hyperlink"/>
          </w:rPr>
          <w:t xml:space="preserve">https://doi.org/10.1038/s41598-019-50643-w</w:t>
        </w:r>
      </w:hyperlink>
    </w:p>
    <w:bookmarkEnd w:id="170"/>
    <w:bookmarkStart w:id="17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1"/>
    <w:bookmarkStart w:id="173"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72">
        <w:r>
          <w:rPr>
            <w:rStyle w:val="Hyperlink"/>
          </w:rPr>
          <w:t xml:space="preserve">https://doi.org/10.3389/fmars.2019.00734</w:t>
        </w:r>
      </w:hyperlink>
    </w:p>
    <w:bookmarkEnd w:id="173"/>
    <w:bookmarkStart w:id="175"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4">
        <w:r>
          <w:rPr>
            <w:rStyle w:val="Hyperlink"/>
          </w:rPr>
          <w:t xml:space="preserve">https://doi.org/10.1111/gcb.14282</w:t>
        </w:r>
      </w:hyperlink>
    </w:p>
    <w:bookmarkEnd w:id="175"/>
    <w:bookmarkStart w:id="176"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6"/>
    <w:bookmarkStart w:id="177" w:name="ref-perkins2013measurement"/>
    <w:p>
      <w:pPr>
        <w:pStyle w:val="Bibliography"/>
      </w:pPr>
      <w:r>
        <w:t xml:space="preserve">Perkins, S.E., Alexander, L.V., 2013. On the measurement of heat waves. Journal of climate 26, 4500–4517.</w:t>
      </w:r>
    </w:p>
    <w:bookmarkEnd w:id="177"/>
    <w:bookmarkStart w:id="179" w:name="ref-Rbase"/>
    <w:p>
      <w:pPr>
        <w:pStyle w:val="Bibliography"/>
      </w:pPr>
      <w:r>
        <w:t xml:space="preserve">R Core Team, 2023.</w:t>
      </w:r>
      <w:r>
        <w:t xml:space="preserve"> </w:t>
      </w:r>
      <w:hyperlink r:id="rId178">
        <w:r>
          <w:rPr>
            <w:rStyle w:val="Hyperlink"/>
          </w:rPr>
          <w:t xml:space="preserve">R: A language and environment for statistical computing</w:t>
        </w:r>
      </w:hyperlink>
      <w:r>
        <w:t xml:space="preserve">. R Foundation for Statistical Computing, Vienna, Austria.</w:t>
      </w:r>
    </w:p>
    <w:bookmarkEnd w:id="179"/>
    <w:bookmarkStart w:id="180" w:name="ref-ramesh2020seagrass"/>
    <w:p>
      <w:pPr>
        <w:pStyle w:val="Bibliography"/>
      </w:pPr>
      <w:r>
        <w:t xml:space="preserve">Ramesh, C., Mohanraju, R., 2020. Seagrass ecosystems of andaman and nicobar islands: Status and future perspective. Environmental &amp; Earth Sciences Research Journal 7.</w:t>
      </w:r>
    </w:p>
    <w:bookmarkEnd w:id="180"/>
    <w:bookmarkStart w:id="182"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81">
        <w:r>
          <w:rPr>
            <w:rStyle w:val="Hyperlink"/>
          </w:rPr>
          <w:t xml:space="preserve">https://doi.org/10.1073/pnas.0500008102</w:t>
        </w:r>
      </w:hyperlink>
    </w:p>
    <w:bookmarkEnd w:id="182"/>
    <w:bookmarkStart w:id="183" w:name="ref-rouse1974monitoring"/>
    <w:p>
      <w:pPr>
        <w:pStyle w:val="Bibliography"/>
      </w:pPr>
      <w:r>
        <w:t xml:space="preserve">Rouse, J.W., Haas, R.H., Schell, J.A., Deering, D.W., others, 1974. Monitoring vegetation systems in the great plains with ERTS. NASA Spec. Publ 351, 309.</w:t>
      </w:r>
    </w:p>
    <w:bookmarkEnd w:id="183"/>
    <w:bookmarkStart w:id="185"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84">
        <w:r>
          <w:rPr>
            <w:rStyle w:val="Hyperlink"/>
          </w:rPr>
          <w:t xml:space="preserve">https://doi.org/10.1029/2023GL103540</w:t>
        </w:r>
      </w:hyperlink>
    </w:p>
    <w:bookmarkEnd w:id="185"/>
    <w:bookmarkStart w:id="186"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6"/>
    <w:bookmarkStart w:id="187"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7"/>
    <w:bookmarkStart w:id="189"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8">
        <w:r>
          <w:rPr>
            <w:rStyle w:val="Hyperlink"/>
          </w:rPr>
          <w:t xml:space="preserve">https://doi.org/10.21105/joss.00821</w:t>
        </w:r>
      </w:hyperlink>
    </w:p>
    <w:bookmarkEnd w:id="189"/>
    <w:bookmarkStart w:id="190"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0"/>
    <w:bookmarkStart w:id="191"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91"/>
    <w:bookmarkStart w:id="193" w:name="ref-shom_ram_2022"/>
    <w:p>
      <w:pPr>
        <w:pStyle w:val="Bibliography"/>
      </w:pPr>
      <w:r>
        <w:t xml:space="preserve">Shom, 2022.</w:t>
      </w:r>
      <w:r>
        <w:t xml:space="preserve"> </w:t>
      </w:r>
      <w:hyperlink r:id="rId192">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3"/>
    <w:bookmarkStart w:id="195" w:name="Xbef41143b4d4042e58f11cfc27e216202646012"/>
    <w:p>
      <w:pPr>
        <w:pStyle w:val="Bibliography"/>
      </w:pPr>
      <w:r>
        <w:t xml:space="preserve">SHOM, 2021.</w:t>
      </w:r>
      <w:r>
        <w:t xml:space="preserve"> </w:t>
      </w:r>
      <w:hyperlink r:id="rId194">
        <w:r>
          <w:rPr>
            <w:rStyle w:val="Hyperlink"/>
          </w:rPr>
          <w:t xml:space="preserve">Service hydrographique et océanographique de la marine ; bathymétrie Litto3D® bretagne 2018-2021</w:t>
        </w:r>
      </w:hyperlink>
      <w:r>
        <w:t xml:space="preserve">.</w:t>
      </w:r>
    </w:p>
    <w:bookmarkEnd w:id="195"/>
    <w:bookmarkStart w:id="197" w:name="ref-simolo2022quantifying"/>
    <w:p>
      <w:pPr>
        <w:pStyle w:val="Bibliography"/>
      </w:pPr>
      <w:r>
        <w:t xml:space="preserve">Simolo, C., Corti, S., 2022. Quantifying the role of variability in future intensification of heat extremes. Nature Communications 13.</w:t>
      </w:r>
      <w:r>
        <w:t xml:space="preserve"> </w:t>
      </w:r>
      <w:hyperlink r:id="rId196">
        <w:r>
          <w:rPr>
            <w:rStyle w:val="Hyperlink"/>
          </w:rPr>
          <w:t xml:space="preserve">https://doi.org/10.1038/s41467-022-35571-0</w:t>
        </w:r>
      </w:hyperlink>
    </w:p>
    <w:bookmarkEnd w:id="197"/>
    <w:bookmarkStart w:id="199"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8">
        <w:r>
          <w:rPr>
            <w:rStyle w:val="Hyperlink"/>
          </w:rPr>
          <w:t xml:space="preserve">https://doi.org/10.1038/s41558-019-0412-1</w:t>
        </w:r>
      </w:hyperlink>
    </w:p>
    <w:bookmarkEnd w:id="199"/>
    <w:bookmarkStart w:id="200"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0"/>
    <w:bookmarkStart w:id="201" w:name="ref-stan2020rstan"/>
    <w:p>
      <w:pPr>
        <w:pStyle w:val="Bibliography"/>
      </w:pPr>
      <w:r>
        <w:t xml:space="preserve">Stan Development Team, C., others, 2020. RStan: The r interface to stan. R package version 2.21. 2.</w:t>
      </w:r>
    </w:p>
    <w:bookmarkEnd w:id="201"/>
    <w:bookmarkStart w:id="203"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02">
        <w:r>
          <w:rPr>
            <w:rStyle w:val="Hyperlink"/>
          </w:rPr>
          <w:t xml:space="preserve">https://doi.org/10.1152/physiol.00040.2018</w:t>
        </w:r>
      </w:hyperlink>
    </w:p>
    <w:bookmarkEnd w:id="203"/>
    <w:bookmarkStart w:id="204"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4"/>
    <w:bookmarkStart w:id="205" w:name="ref-unsworth2014biodiversity"/>
    <w:p>
      <w:pPr>
        <w:pStyle w:val="Bibliography"/>
      </w:pPr>
      <w:r>
        <w:t xml:space="preserve">Unsworth, R., Cullen-Unsworth, L.C., 2014. Biodiversity, ecosystem services, and the conservation of seagrass meadows. Coast. Conserv 19, 95.</w:t>
      </w:r>
    </w:p>
    <w:bookmarkEnd w:id="205"/>
    <w:bookmarkStart w:id="206" w:name="ref-unsworth2022planetary"/>
    <w:p>
      <w:pPr>
        <w:pStyle w:val="Bibliography"/>
      </w:pPr>
      <w:r>
        <w:t xml:space="preserve">Unsworth, R.K., Cullen-Unsworth, L.C., Jones, B.L., Lilley, R.J., 2022. The planetary role of seagrass conservation. Science 377, 609–613.</w:t>
      </w:r>
    </w:p>
    <w:bookmarkEnd w:id="206"/>
    <w:bookmarkStart w:id="207"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7"/>
    <w:bookmarkStart w:id="208"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8"/>
    <w:bookmarkStart w:id="209" w:name="ref-zahoor2023water"/>
    <w:p>
      <w:pPr>
        <w:pStyle w:val="Bibliography"/>
      </w:pPr>
      <w:r>
        <w:t xml:space="preserve">Zahoor, I., Mushtaq, A., 2023. Water pollution from agricultural activities: A critical global review. Int. J. Chem. Biochem. Sci 23, 164–176.</w:t>
      </w:r>
    </w:p>
    <w:bookmarkEnd w:id="209"/>
    <w:bookmarkStart w:id="210"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0"/>
    <w:bookmarkStart w:id="212"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1">
        <w:r>
          <w:rPr>
            <w:rStyle w:val="Hyperlink"/>
          </w:rPr>
          <w:t xml:space="preserve">https://doi.org/10.1002/rse2.319</w:t>
        </w:r>
      </w:hyperlink>
    </w:p>
    <w:bookmarkEnd w:id="212"/>
    <w:bookmarkStart w:id="213"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13"/>
    <w:bookmarkEnd w:id="214"/>
    <w:bookmarkEnd w:id="215"/>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4" Target="media/rId24.png" /><Relationship Type="http://schemas.openxmlformats.org/officeDocument/2006/relationships/image" Id="rId95" Target="media/rId95.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38" Target="media/rId38.png" /><Relationship Type="http://schemas.openxmlformats.org/officeDocument/2006/relationships/image" Id="rId71" Target="media/rId71.png" /><Relationship Type="http://schemas.openxmlformats.org/officeDocument/2006/relationships/image" Id="rId43" Target="media/rId43.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hyperlink" Id="rId192" Target="https://diffusion.shom.fr/references-altimetriques-maritimes-ram.html" TargetMode="External" /><Relationship Type="http://schemas.openxmlformats.org/officeDocument/2006/relationships/hyperlink" Id="rId148" Target="https://doi.org/10.1002/aqc.4210" TargetMode="External" /><Relationship Type="http://schemas.openxmlformats.org/officeDocument/2006/relationships/hyperlink" Id="rId211" Target="https://doi.org/10.1002/rse2.319" TargetMode="External" /><Relationship Type="http://schemas.openxmlformats.org/officeDocument/2006/relationships/hyperlink" Id="rId132" Target="https://doi.org/10.1007/s11099-007-0084-3" TargetMode="External" /><Relationship Type="http://schemas.openxmlformats.org/officeDocument/2006/relationships/hyperlink" Id="rId161" Target="https://doi.org/10.1016/S0034-4257(70)80021-9" TargetMode="External" /><Relationship Type="http://schemas.openxmlformats.org/officeDocument/2006/relationships/hyperlink" Id="rId158" Target="https://doi.org/10.1016/S0304-4238(05)80016-0" TargetMode="External" /><Relationship Type="http://schemas.openxmlformats.org/officeDocument/2006/relationships/hyperlink" Id="rId136" Target="https://doi.org/10.1016/j.rse.2024.114340" TargetMode="External" /><Relationship Type="http://schemas.openxmlformats.org/officeDocument/2006/relationships/hyperlink" Id="rId184" Target="https://doi.org/10.1029/2023GL103540" TargetMode="External" /><Relationship Type="http://schemas.openxmlformats.org/officeDocument/2006/relationships/hyperlink" Id="rId196" Target="https://doi.org/10.1038/s41467-022-35571-0" TargetMode="External" /><Relationship Type="http://schemas.openxmlformats.org/officeDocument/2006/relationships/hyperlink" Id="rId198" Target="https://doi.org/10.1038/s41558-019-0412-1" TargetMode="External" /><Relationship Type="http://schemas.openxmlformats.org/officeDocument/2006/relationships/hyperlink" Id="rId169" Target="https://doi.org/10.1038/s41598-019-50643-w" TargetMode="External" /><Relationship Type="http://schemas.openxmlformats.org/officeDocument/2006/relationships/hyperlink" Id="rId134" Target="https://doi.org/10.1038/s43247-024-01543-z" TargetMode="External" /><Relationship Type="http://schemas.openxmlformats.org/officeDocument/2006/relationships/hyperlink" Id="rId153" Target="https://doi.org/10.1073/pnas.0402642101" TargetMode="External" /><Relationship Type="http://schemas.openxmlformats.org/officeDocument/2006/relationships/hyperlink" Id="rId181" Target="https://doi.org/10.1073/pnas.0500008102" TargetMode="External" /><Relationship Type="http://schemas.openxmlformats.org/officeDocument/2006/relationships/hyperlink" Id="rId174" Target="https://doi.org/10.1111/gcb.14282" TargetMode="External" /><Relationship Type="http://schemas.openxmlformats.org/officeDocument/2006/relationships/hyperlink" Id="rId202" Target="https://doi.org/10.1152/physiol.00040.2018" TargetMode="External" /><Relationship Type="http://schemas.openxmlformats.org/officeDocument/2006/relationships/hyperlink" Id="rId128" Target="https://doi.org/10.18637/jss.v076.i01" TargetMode="External" /><Relationship Type="http://schemas.openxmlformats.org/officeDocument/2006/relationships/hyperlink" Id="rId122" Target="https://doi.org/10.18637/jss.v100.i05" TargetMode="External" /><Relationship Type="http://schemas.openxmlformats.org/officeDocument/2006/relationships/hyperlink" Id="rId188" Target="https://doi.org/10.21105/joss.00821" TargetMode="External" /><Relationship Type="http://schemas.openxmlformats.org/officeDocument/2006/relationships/hyperlink" Id="rId120" Target="https://doi.org/10.3354/meps14588" TargetMode="External" /><Relationship Type="http://schemas.openxmlformats.org/officeDocument/2006/relationships/hyperlink" Id="rId172"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49" Target="https://github.com/SigOiry/HeatWave_Seagrasses/blob/main/Scripts/MeteoFrance_Extraction.qmd" TargetMode="External" /><Relationship Type="http://schemas.openxmlformats.org/officeDocument/2006/relationships/hyperlink" Id="rId194" Target="https://services.data.shom.fr/geonetwork/srv/fre/catalog.search#/metadata/BATHYMETRIE_LITTO3D_BZH_2018_2021.xml" TargetMode="External" /><Relationship Type="http://schemas.openxmlformats.org/officeDocument/2006/relationships/hyperlink" Id="rId178" Target="https://www.R-project.org/" TargetMode="External" /><Relationship Type="http://schemas.openxmlformats.org/officeDocument/2006/relationships/hyperlink" Id="rId155" Target="https://www.ioc-sealevelmonitoring.org/station.php?code=lecy" TargetMode="External" /><Relationship Type="http://schemas.openxmlformats.org/officeDocument/2006/relationships/hyperlink" Id="rId166"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192" Target="https://diffusion.shom.fr/references-altimetriques-maritimes-ram.html" TargetMode="External" /><Relationship Type="http://schemas.openxmlformats.org/officeDocument/2006/relationships/hyperlink" Id="rId148" Target="https://doi.org/10.1002/aqc.4210" TargetMode="External" /><Relationship Type="http://schemas.openxmlformats.org/officeDocument/2006/relationships/hyperlink" Id="rId211" Target="https://doi.org/10.1002/rse2.319" TargetMode="External" /><Relationship Type="http://schemas.openxmlformats.org/officeDocument/2006/relationships/hyperlink" Id="rId132" Target="https://doi.org/10.1007/s11099-007-0084-3" TargetMode="External" /><Relationship Type="http://schemas.openxmlformats.org/officeDocument/2006/relationships/hyperlink" Id="rId161" Target="https://doi.org/10.1016/S0034-4257(70)80021-9" TargetMode="External" /><Relationship Type="http://schemas.openxmlformats.org/officeDocument/2006/relationships/hyperlink" Id="rId158" Target="https://doi.org/10.1016/S0304-4238(05)80016-0" TargetMode="External" /><Relationship Type="http://schemas.openxmlformats.org/officeDocument/2006/relationships/hyperlink" Id="rId136" Target="https://doi.org/10.1016/j.rse.2024.114340" TargetMode="External" /><Relationship Type="http://schemas.openxmlformats.org/officeDocument/2006/relationships/hyperlink" Id="rId184" Target="https://doi.org/10.1029/2023GL103540" TargetMode="External" /><Relationship Type="http://schemas.openxmlformats.org/officeDocument/2006/relationships/hyperlink" Id="rId196" Target="https://doi.org/10.1038/s41467-022-35571-0" TargetMode="External" /><Relationship Type="http://schemas.openxmlformats.org/officeDocument/2006/relationships/hyperlink" Id="rId198" Target="https://doi.org/10.1038/s41558-019-0412-1" TargetMode="External" /><Relationship Type="http://schemas.openxmlformats.org/officeDocument/2006/relationships/hyperlink" Id="rId169" Target="https://doi.org/10.1038/s41598-019-50643-w" TargetMode="External" /><Relationship Type="http://schemas.openxmlformats.org/officeDocument/2006/relationships/hyperlink" Id="rId134" Target="https://doi.org/10.1038/s43247-024-01543-z" TargetMode="External" /><Relationship Type="http://schemas.openxmlformats.org/officeDocument/2006/relationships/hyperlink" Id="rId153" Target="https://doi.org/10.1073/pnas.0402642101" TargetMode="External" /><Relationship Type="http://schemas.openxmlformats.org/officeDocument/2006/relationships/hyperlink" Id="rId181" Target="https://doi.org/10.1073/pnas.0500008102" TargetMode="External" /><Relationship Type="http://schemas.openxmlformats.org/officeDocument/2006/relationships/hyperlink" Id="rId174" Target="https://doi.org/10.1111/gcb.14282" TargetMode="External" /><Relationship Type="http://schemas.openxmlformats.org/officeDocument/2006/relationships/hyperlink" Id="rId202" Target="https://doi.org/10.1152/physiol.00040.2018" TargetMode="External" /><Relationship Type="http://schemas.openxmlformats.org/officeDocument/2006/relationships/hyperlink" Id="rId128" Target="https://doi.org/10.18637/jss.v076.i01" TargetMode="External" /><Relationship Type="http://schemas.openxmlformats.org/officeDocument/2006/relationships/hyperlink" Id="rId122" Target="https://doi.org/10.18637/jss.v100.i05" TargetMode="External" /><Relationship Type="http://schemas.openxmlformats.org/officeDocument/2006/relationships/hyperlink" Id="rId188" Target="https://doi.org/10.21105/joss.00821" TargetMode="External" /><Relationship Type="http://schemas.openxmlformats.org/officeDocument/2006/relationships/hyperlink" Id="rId120" Target="https://doi.org/10.3354/meps14588" TargetMode="External" /><Relationship Type="http://schemas.openxmlformats.org/officeDocument/2006/relationships/hyperlink" Id="rId172"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49" Target="https://github.com/SigOiry/HeatWave_Seagrasses/blob/main/Scripts/MeteoFrance_Extraction.qmd" TargetMode="External" /><Relationship Type="http://schemas.openxmlformats.org/officeDocument/2006/relationships/hyperlink" Id="rId194" Target="https://services.data.shom.fr/geonetwork/srv/fre/catalog.search#/metadata/BATHYMETRIE_LITTO3D_BZH_2018_2021.xml" TargetMode="External" /><Relationship Type="http://schemas.openxmlformats.org/officeDocument/2006/relationships/hyperlink" Id="rId178" Target="https://www.R-project.org/" TargetMode="External" /><Relationship Type="http://schemas.openxmlformats.org/officeDocument/2006/relationships/hyperlink" Id="rId155" Target="https://www.ioc-sealevelmonitoring.org/station.php?code=lecy" TargetMode="External" /><Relationship Type="http://schemas.openxmlformats.org/officeDocument/2006/relationships/hyperlink" Id="rId166"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of Intertidal Zostera noltei</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2024-11-14T16:39:44Z</dcterms:created>
  <dcterms:modified xsi:type="dcterms:W3CDTF">2024-11-14T16:39:44Z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reflectance of the intertidal seagrass Zostera noltei. We performed laboratory experiments, exposing Z.noltei samples to controlled heatwave conditions while measuring hyperspectral reflectance to assess impact over time. We found that heatwaves induced significant declines in seagrass reflectance, particularly in the green and near-infrared regions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the atmospheric heatwave for more than 13.5 hours a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2024-11-14</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