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3.png" ContentType="image/png"/>
  <Override PartName="/word/media/rId88.png" ContentType="image/png"/>
  <Override PartName="/word/media/rId22.png" ContentType="image/png"/>
  <Override PartName="/word/media/rId99.png" ContentType="image/png"/>
  <Override PartName="/word/media/rId82.png" ContentType="image/png"/>
  <Override PartName="/word/media/rId94.png" ContentType="image/png"/>
  <Override PartName="/word/media/rId50.png" ContentType="image/png"/>
  <Override PartName="/word/media/rId55.png" ContentType="image/png"/>
  <Override PartName="/word/media/rId75.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w:t>
      </w:r>
      <w:r>
        <w:t xml:space="preserve"> </w:t>
      </w:r>
      <w:r>
        <w:t xml:space="preserve">–</w:t>
      </w:r>
      <w:r>
        <w:t xml:space="preserve"> </w:t>
      </w:r>
      <w:r>
        <w:t xml:space="preserve">Effect</w:t>
      </w:r>
      <w:r>
        <w:t xml:space="preserve"> </w:t>
      </w:r>
      <w:r>
        <w:t xml:space="preserve">of</w:t>
      </w:r>
      <w:r>
        <w:t xml:space="preserve"> </w:t>
      </w:r>
      <w:r>
        <w:t xml:space="preserve">Atmospheric</w:t>
      </w:r>
      <w:r>
        <w:t xml:space="preserve"> </w:t>
      </w:r>
      <w:r>
        <w:t xml:space="preserve">Heatwaves</w:t>
      </w:r>
      <w:r>
        <w:t xml:space="preserve"> </w:t>
      </w:r>
      <w:r>
        <w:t xml:space="preserve">on</w:t>
      </w:r>
      <w:r>
        <w:t xml:space="preserve"> </w:t>
      </w:r>
      <w:r>
        <w:t xml:space="preserve">Reflectance</w:t>
      </w:r>
      <w:r>
        <w:t xml:space="preserve"> </w:t>
      </w:r>
      <w:r>
        <w:t xml:space="preserve">and</w:t>
      </w:r>
      <w:r>
        <w:t xml:space="preserve"> </w:t>
      </w:r>
      <w:r>
        <w:t xml:space="preserve">Pigment</w:t>
      </w:r>
      <w:r>
        <w:t xml:space="preserve"> </w:t>
      </w:r>
      <w:r>
        <w:t xml:space="preserve">Composition</w:t>
      </w:r>
      <w:r>
        <w:t xml:space="preserve"> </w:t>
      </w:r>
      <w:r>
        <w:t xml:space="preserve">of</w:t>
      </w:r>
      <w:r>
        <w:t xml:space="preserve"> </w:t>
      </w:r>
      <w:r>
        <w:t xml:space="preserve">Intertidal</w:t>
      </w:r>
      <w:r>
        <w:t xml:space="preserve"> </w:t>
      </w:r>
      <w:r>
        <w:rPr>
          <w:i/>
          <w:iCs/>
        </w:rPr>
        <w:t xml:space="preserve">Nanozostera</w:t>
      </w:r>
      <w:r>
        <w:rPr>
          <w:i/>
          <w:iCs/>
        </w:rPr>
        <w:t xml:space="preserve"> </w:t>
      </w:r>
      <w:r>
        <w:rPr>
          <w:i/>
          <w:iCs/>
        </w:rPr>
        <w:t xml:space="preserve">noltei</w:t>
      </w:r>
      <w:r>
        <w:t xml:space="preserve"> </w:t>
      </w:r>
      <w:r>
        <w:t xml:space="preserve">–</w:t>
      </w:r>
      <w:r>
        <w:t xml:space="preserve"> </w:t>
      </w:r>
      <w:r>
        <w:t xml:space="preserve">Draft</w:t>
      </w:r>
    </w:p>
    <w:p>
      <w:pPr>
        <w:pStyle w:val="Author"/>
      </w:pPr>
      <w:r>
        <w:t xml:space="preserve">Simon</w:t>
      </w:r>
      <w:r>
        <w:t xml:space="preserve"> </w:t>
      </w:r>
      <w:r>
        <w:t xml:space="preserve">Oiry</w:t>
      </w:r>
    </w:p>
    <w:p>
      <w:pPr>
        <w:pStyle w:val="Author"/>
      </w:pPr>
      <w:r>
        <w:t xml:space="preserve">Bede</w:t>
      </w:r>
      <w:r>
        <w:t xml:space="preserve"> </w:t>
      </w:r>
      <w:r>
        <w:t xml:space="preserve">Ffinian</w:t>
      </w:r>
      <w:r>
        <w:t xml:space="preserve"> </w:t>
      </w:r>
      <w:r>
        <w:t xml:space="preserve">Rowe</w:t>
      </w:r>
      <w:r>
        <w:t xml:space="preserve"> </w:t>
      </w:r>
      <w:r>
        <w:t xml:space="preserve">Davies</w:t>
      </w:r>
    </w:p>
    <w:p>
      <w:pPr>
        <w:pStyle w:val="Author"/>
      </w:pPr>
      <w:r>
        <w:t xml:space="preserve">Philippe</w:t>
      </w:r>
      <w:r>
        <w:t xml:space="preserve"> </w:t>
      </w:r>
      <w:r>
        <w:t xml:space="preserve">Rosa</w:t>
      </w:r>
    </w:p>
    <w:p>
      <w:pPr>
        <w:pStyle w:val="Author"/>
      </w:pPr>
      <w:r>
        <w:t xml:space="preserve">Augustin</w:t>
      </w:r>
      <w:r>
        <w:t xml:space="preserve"> </w:t>
      </w:r>
      <w:r>
        <w:t xml:space="preserve">Debly</w:t>
      </w:r>
    </w:p>
    <w:p>
      <w:pPr>
        <w:pStyle w:val="Author"/>
      </w:pPr>
      <w:r>
        <w:t xml:space="preserve">Maria</w:t>
      </w:r>
      <w:r>
        <w:t xml:space="preserve"> </w:t>
      </w:r>
      <w:r>
        <w:t xml:space="preserve">Laura</w:t>
      </w:r>
      <w:r>
        <w:t xml:space="preserve"> </w:t>
      </w:r>
      <w:r>
        <w:t xml:space="preserve">Zoffoli</w:t>
      </w:r>
    </w:p>
    <w:p>
      <w:pPr>
        <w:pStyle w:val="Author"/>
      </w:pPr>
      <w:r>
        <w:t xml:space="preserve">Anne-Laure</w:t>
      </w:r>
      <w:r>
        <w:t xml:space="preserve"> </w:t>
      </w:r>
      <w:r>
        <w:t xml:space="preserve">Barillé</w:t>
      </w:r>
    </w:p>
    <w:p>
      <w:pPr>
        <w:pStyle w:val="Author"/>
      </w:pPr>
      <w:r>
        <w:t xml:space="preserve">Nicolas</w:t>
      </w:r>
      <w:r>
        <w:t xml:space="preserve"> </w:t>
      </w:r>
      <w:r>
        <w:t xml:space="preserve">Harin</w:t>
      </w:r>
    </w:p>
    <w:p>
      <w:pPr>
        <w:pStyle w:val="Author"/>
      </w:pPr>
      <w:r>
        <w:t xml:space="preserve">Pierre</w:t>
      </w:r>
      <w:r>
        <w:t xml:space="preserve"> </w:t>
      </w:r>
      <w:r>
        <w:t xml:space="preserve">Gernez</w:t>
      </w:r>
    </w:p>
    <w:p>
      <w:pPr>
        <w:pStyle w:val="Author"/>
      </w:pPr>
      <w:r>
        <w:t xml:space="preserve">Laurent</w:t>
      </w:r>
      <w:r>
        <w:t xml:space="preserve"> </w:t>
      </w:r>
      <w:r>
        <w:t xml:space="preserve">Barillé</w:t>
      </w:r>
    </w:p>
    <w:p>
      <w:pPr>
        <w:pStyle w:val="Date"/>
      </w:pPr>
      <w:r>
        <w:t xml:space="preserve">2024-10-29</w:t>
      </w:r>
    </w:p>
    <w:p>
      <w:pPr>
        <w:pStyle w:val="AbstractTitle"/>
      </w:pPr>
      <w:r>
        <w:t xml:space="preserve">Abstract</w:t>
      </w:r>
    </w:p>
    <w:p>
      <w:pPr>
        <w:pStyle w:val="Abstract"/>
      </w:pPr>
      <w:r>
        <w:t xml:space="preserve">To</w:t>
      </w:r>
      <w:r>
        <w:t xml:space="preserve"> </w:t>
      </w:r>
      <w:r>
        <w:t xml:space="preserve">be</w:t>
      </w:r>
      <w:r>
        <w:t xml:space="preserve"> </w:t>
      </w:r>
      <w:r>
        <w:t xml:space="preserve">written</w:t>
      </w:r>
    </w:p>
    <w:bookmarkStart w:id="20"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are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(Waycott et al., 2009)</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(Thomsen et al., 2023)</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(Sevgi and Leblebici, 2022)</w:t>
      </w:r>
      <w:r>
        <w:t xml:space="preserve"> </w:t>
      </w:r>
      <w:r>
        <w:t xml:space="preserve">Additionally, invasive species can out compete native seagrasses for resources, altering community structure and function</w:t>
      </w:r>
      <w:r>
        <w:t xml:space="preserve"> </w:t>
      </w:r>
      <w:r>
        <w:t xml:space="preserve">(Simpson et al., 2016)</w:t>
      </w:r>
      <w:r>
        <w:t xml:space="preserve">.</w:t>
      </w:r>
    </w:p>
    <w:p>
      <w:pPr>
        <w:pStyle w:val="BodyText"/>
      </w:pPr>
      <w:r>
        <w:t xml:space="preserve">Heatwaves, exacerbated by climate change, pose a growing threat to seagrasses. Marine Heatwaves (MHW), defined by</w:t>
      </w:r>
      <w:r>
        <w:t xml:space="preserve"> </w:t>
      </w:r>
      <w:r>
        <w:t xml:space="preserve">Hobday et al. (2016)</w:t>
      </w:r>
      <w:r>
        <w:t xml:space="preserve"> </w:t>
      </w:r>
      <w:r>
        <w:t xml:space="preserve">as prolonged discrete anomalously warm water events, and Atmospheric Heatwaves (AHW), defined by</w:t>
      </w:r>
      <w:r>
        <w:t xml:space="preserve"> </w:t>
      </w:r>
      <w:r>
        <w:t xml:space="preserve">Perkins and Alexander (2013)</w:t>
      </w:r>
      <w:r>
        <w:t xml:space="preserve"> </w:t>
      </w:r>
      <w:r>
        <w:t xml:space="preserve">as periods of at least three consecutive days with temperatures exceeding the 90th percentile, cause severe physiological stress on seagrasses</w:t>
      </w:r>
      <w:r>
        <w:t xml:space="preserve"> </w:t>
      </w:r>
      <w:r>
        <w:t xml:space="preserve">(Deguette et al., 2022; Sawall et al., 2021)</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sexual recruitment</w:t>
      </w:r>
      <w:r>
        <w:t xml:space="preserve"> </w:t>
      </w:r>
      <w:r>
        <w:t xml:space="preserve">(Guerrero-Meseguer et al., 2020)</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(Akbar et al., 2020; Cârlan et al., 2020; Huete, 2012; Kloos et al., 2021)</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(Papathanasopoulou et al., 2019)</w:t>
      </w:r>
      <w:r>
        <w:t xml:space="preserve">.</w:t>
      </w:r>
    </w:p>
    <w:p>
      <w:pPr>
        <w:pStyle w:val="BodyText"/>
      </w:pPr>
      <w:r>
        <w:t xml:space="preserve">This study aims to experimentally test the hypothesis that warm events, such as atmospheric heatwaves, alter the pigment composition and reflectance of the intertidal seagrass Nanozostera noltei. By linking these changes with satellite remote sensing data, the study seeks to provide insights into how heatwaves affect seagrass meadows and to assess the potential of remote sensing in monitoring these impacts</w:t>
      </w:r>
    </w:p>
    <w:bookmarkEnd w:id="20"/>
    <w:bookmarkStart w:id="68" w:name="material-methods"/>
    <w:p>
      <w:pPr>
        <w:pStyle w:val="Heading1"/>
      </w:pPr>
      <w:r>
        <w:t xml:space="preserve">2. Material &amp; Methods</w:t>
      </w:r>
    </w:p>
    <w:bookmarkStart w:id="49" w:name="laboratory-experiment"/>
    <w:p>
      <w:pPr>
        <w:pStyle w:val="Heading2"/>
      </w:pPr>
      <w:r>
        <w:t xml:space="preserve">2.1 Laboratory Experiment</w:t>
      </w:r>
    </w:p>
    <w:bookmarkStart w:id="21"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Nanozostera noltei</w:t>
      </w:r>
      <w:r>
        <w:t xml:space="preserve"> </w:t>
      </w:r>
      <w:r>
        <w:t xml:space="preserve">(dwarf eelgrass, syn.</w:t>
      </w:r>
      <w:r>
        <w:t xml:space="preserve"> </w:t>
      </w:r>
      <w:r>
        <w:rPr>
          <w:i/>
          <w:iCs/>
        </w:rPr>
        <w:t xml:space="preserve">Zostera noltei</w:t>
      </w:r>
      <w:r>
        <w:t xml:space="preserve">)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in a mesocosm setup, which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(Akbar et al., 2020)</w:t>
      </w:r>
      <w:r>
        <w:t xml:space="preserve">. A wave generator was used in the tank to circulate and reoxygenate the water.</w:t>
      </w:r>
    </w:p>
    <w:bookmarkEnd w:id="21"/>
    <w:bookmarkStart w:id="38" w:name="experimental-design"/>
    <w:p>
      <w:pPr>
        <w:pStyle w:val="Heading3"/>
      </w:pPr>
      <w:r>
        <w:t xml:space="preserve">2.1.2 Experimental design</w:t>
      </w:r>
    </w:p>
    <w:bookmarkStart w:id="26" w:name="cell-fig-design"/>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5334000" cy="5246716"/>
                  <wp:effectExtent b="0" l="0" r="0" t="0"/>
                  <wp:docPr descr="" title="" id="23" name="Picture"/>
                  <a:graphic>
                    <a:graphicData uri="http://schemas.openxmlformats.org/drawingml/2006/picture">
                      <pic:pic>
                        <pic:nvPicPr>
                          <pic:cNvPr descr="Figs/Low_res/Experimental_design.png" id="24" name="Picture"/>
                          <pic:cNvPicPr>
                            <a:picLocks noChangeArrowheads="1" noChangeAspect="1"/>
                          </pic:cNvPicPr>
                        </pic:nvPicPr>
                        <pic:blipFill>
                          <a:blip r:embed="rId22"/>
                          <a:stretch>
                            <a:fillRect/>
                          </a:stretch>
                        </pic:blipFill>
                        <pic:spPr bwMode="auto">
                          <a:xfrm>
                            <a:off x="0" y="0"/>
                            <a:ext cx="5334000" cy="52467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bookmarkEnd w:id="25"/>
        </w:tc>
      </w:tr>
    </w:tbl>
    <w:bookmarkEnd w:id="26"/>
    <w:p>
      <w:pPr>
        <w:pStyle w:val="BodyText"/>
      </w:pPr>
      <w:r>
        <w:t xml:space="preserve">Two intertidal chambers from</w:t>
      </w:r>
      <w:r>
        <w:t xml:space="preserve"> </w:t>
      </w:r>
      <w:hyperlink r:id="rId27">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2" w:name="cell-fig-Temperature_Bourgneuf"/>
    <w:tbl>
      <w:tblPr>
        <w:tblStyle w:val="Table"/>
        <w:tblW w:type="pct" w:w="5000"/>
        <w:tblLayout w:type="fixed"/>
        <w:tblLook w:firstRow="0" w:lastRow="0" w:firstColumn="0" w:lastColumn="0" w:noHBand="0" w:noVBand="0" w:val="0000"/>
      </w:tblPr>
      <w:tblGrid>
        <w:gridCol w:w="7920"/>
      </w:tblGrid>
      <w:tr>
        <w:tc>
          <w:tcPr/>
          <w:bookmarkStart w:id="31" w:name="fig-Temperature_Bourgneuf"/>
          <w:p>
            <w:pPr>
              <w:pStyle w:val="Compact"/>
              <w:jc w:val="center"/>
            </w:pPr>
            <w:r>
              <w:drawing>
                <wp:inline>
                  <wp:extent cx="4267200" cy="4267200"/>
                  <wp:effectExtent b="0" l="0" r="0" t="0"/>
                  <wp:docPr descr="" title="" id="29" name="Picture"/>
                  <a:graphic>
                    <a:graphicData uri="http://schemas.openxmlformats.org/drawingml/2006/picture">
                      <pic:pic>
                        <pic:nvPicPr>
                          <pic:cNvPr descr="Figs/High_res/Temperature_compare.png" id="30" name="Picture"/>
                          <pic:cNvPicPr>
                            <a:picLocks noChangeArrowheads="1" noChangeAspect="1"/>
                          </pic:cNvPicPr>
                        </pic:nvPicPr>
                        <pic:blipFill>
                          <a:blip r:embed="rId28"/>
                          <a:stretch>
                            <a:fillRect/>
                          </a:stretch>
                        </pic:blipFill>
                        <pic:spPr bwMode="auto">
                          <a:xfrm>
                            <a:off x="0" y="0"/>
                            <a:ext cx="42672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bookmarkEnd w:id="31"/>
        </w:tc>
      </w:tr>
    </w:tbl>
    <w:bookmarkEnd w:id="32"/>
    <w:p>
      <w:pPr>
        <w:pStyle w:val="BodyText"/>
      </w:pPr>
      <w:r>
        <w:t xml:space="preserve">To experimentally apply temperatures that closely mimic those experienced by seagrasses in the field,</w:t>
      </w:r>
      <w:r>
        <w:t xml:space="preserve"> </w:t>
      </w:r>
      <w:r>
        <w:rPr>
          <w:i/>
          <w:iCs/>
        </w:rPr>
        <w:t xml:space="preserve">in situ</w:t>
      </w:r>
      <w:r>
        <w:t xml:space="preserve"> </w:t>
      </w:r>
      <w:r>
        <w:t xml:space="preserve">temperature sensors were placed at the sampling site in Bourgneuf Bay during August 2024. The daily maximum temperatures recorded by the</w:t>
      </w:r>
      <w:r>
        <w:t xml:space="preserve"> </w:t>
      </w:r>
      <w:r>
        <w:rPr>
          <w:i/>
          <w:iCs/>
        </w:rPr>
        <w:t xml:space="preserve">in situ</w:t>
      </w:r>
      <w:r>
        <w:t xml:space="preserve"> </w:t>
      </w:r>
      <w:r>
        <w:t xml:space="preserve">sensors were compared to those measured by the nearest weather station operated by Meteo France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Meteo France temperatures were more stable compared to those from the</w:t>
      </w:r>
      <w:r>
        <w:t xml:space="preserve"> </w:t>
      </w:r>
      <w:r>
        <w:rPr>
          <w:i/>
          <w:iCs/>
        </w:rPr>
        <w:t xml:space="preserve">in situ</w:t>
      </w:r>
      <w:r>
        <w:t xml:space="preserve"> </w:t>
      </w:r>
      <w:r>
        <w:t xml:space="preserve">sensor. This stability is explained by the fact that Meteo France temperatures are measured in a sheltered, shaded location . This offset was used to adjust heatwave temperatures measured by Meteo France to reflect the conditions experienced by the seagrasses.</w:t>
      </w:r>
    </w:p>
    <w:p>
      <w:pPr>
        <w:pStyle w:val="BodyText"/>
      </w:pPr>
      <w:r>
        <w:t xml:space="preserve">The control chamber was maintained at temperatures representative of the typical seasonal conditions: water temperatures between 18°C and 19°C and air temperatures between 18°C and 23°C, following circadian temperature variability (</w:t>
      </w:r>
      <w:hyperlink w:anchor="fig-Profile">
        <w:r>
          <w:rPr>
            <w:rStyle w:val="Hyperlink"/>
          </w:rPr>
          <w:t xml:space="preserve">Figure 3</w:t>
        </w:r>
      </w:hyperlink>
      <w:r>
        <w:t xml:space="preserve"> </w:t>
      </w:r>
      <w:r>
        <w:t xml:space="preserve">left). For the experimental treatment, the air temperature was set to mimic an atmospheric heatwave that occurred over the seagrass meadow of Quiberon, France (47°35’40.0”N, 3°07’30.0”W) from September 2, 2021, to September 6, 2021. On the first day of the experiment, air temperatures in the experimental chamber were set to range from 23°C at night to 35°C during the day, with a daily increase of 1°C. The water temperature in the experimental chamber was similarly adjusted to reflect the heatwave conditions, starting from the normal seasonal range (18°C) and gradually increasing to simulate the rising temperatures experienced during the heatwave (+0.5°C daily).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stops only when no changes in the reflectance of the treatment are observed for 2 consecutive days.</w:t>
      </w:r>
    </w:p>
    <w:bookmarkStart w:id="37" w:name="cell-fig-Profile"/>
    <w:tbl>
      <w:tblPr>
        <w:tblStyle w:val="Table"/>
        <w:tblW w:type="pct" w:w="5000"/>
        <w:tblLayout w:type="fixed"/>
        <w:tblLook w:firstRow="0" w:lastRow="0" w:firstColumn="0" w:lastColumn="0" w:noHBand="0" w:noVBand="0" w:val="0000"/>
      </w:tblPr>
      <w:tblGrid>
        <w:gridCol w:w="7920"/>
      </w:tblGrid>
      <w:tr>
        <w:tc>
          <w:tcPr/>
          <w:bookmarkStart w:id="36" w:name="fig-Profile"/>
          <w:p>
            <w:pPr>
              <w:pStyle w:val="Compact"/>
              <w:jc w:val="center"/>
            </w:pPr>
            <w:r>
              <w:drawing>
                <wp:inline>
                  <wp:extent cx="5334000" cy="2439728"/>
                  <wp:effectExtent b="0" l="0" r="0" t="0"/>
                  <wp:docPr descr="" title="" id="34" name="Picture"/>
                  <a:graphic>
                    <a:graphicData uri="http://schemas.openxmlformats.org/drawingml/2006/picture">
                      <pic:pic>
                        <pic:nvPicPr>
                          <pic:cNvPr descr="Figs/Low_res/Chamber_Profils.png" id="35" name="Picture"/>
                          <pic:cNvPicPr>
                            <a:picLocks noChangeArrowheads="1" noChangeAspect="1"/>
                          </pic:cNvPicPr>
                        </pic:nvPicPr>
                        <pic:blipFill>
                          <a:blip r:embed="rId33"/>
                          <a:stretch>
                            <a:fillRect/>
                          </a:stretch>
                        </pic:blipFill>
                        <pic:spPr bwMode="auto">
                          <a:xfrm>
                            <a:off x="0" y="0"/>
                            <a:ext cx="5334000" cy="24397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36"/>
        </w:tc>
      </w:tr>
    </w:tbl>
    <w:bookmarkEnd w:id="37"/>
    <w:bookmarkEnd w:id="38"/>
    <w:bookmarkStart w:id="48" w:name="Xace924ada36ed3f851fe125e1fb1311c1764a5d"/>
    <w:p>
      <w:pPr>
        <w:pStyle w:val="Heading3"/>
      </w:pPr>
      <w:r>
        <w:t xml:space="preserve">2.1.3 Bio-optical measurmenents over seagrass leaves</w:t>
      </w:r>
    </w:p>
    <w:bookmarkStart w:id="46" w:name="hyperspectral-measurements"/>
    <w:p>
      <w:pPr>
        <w:pStyle w:val="Heading4"/>
      </w:pPr>
      <w:r>
        <w:t xml:space="preserve">2.1.3.1 Hyperspectral measurements</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39">
        <w:r>
          <w:rPr>
            <w:rStyle w:val="Hyperlink"/>
          </w:rPr>
          <w:t xml:space="preserve">RS3 softaware</w:t>
        </w:r>
      </w:hyperlink>
      <w:r>
        <w:t xml:space="preserve"> </w:t>
      </w:r>
      <w:r>
        <w:t xml:space="preserve">developed by the intrument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(1974)</w:t>
      </w:r>
      <w:r>
        <w:t xml:space="preserve">), as a proxy of the concentration of chlorophyll-a (</w:t>
      </w:r>
      <w:hyperlink w:anchor="eq-ndvi">
        <w:r>
          <w:rPr>
            <w:rStyle w:val="Hyperlink"/>
          </w:rPr>
          <w:t xml:space="preserve">Equation 1</w:t>
        </w:r>
      </w:hyperlink>
      <w:r>
        <w:t xml:space="preserve">)</w:t>
      </w:r>
    </w:p>
    <w:p>
      <w:pPr>
        <w:pStyle w:val="FirstParagraph"/>
      </w:pPr>
      <w:bookmarkStart w:id="40"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0"/>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(2020)</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1"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1"/>
    </w:p>
    <w:p>
      <w:pPr>
        <w:pStyle w:val="Compact"/>
        <w:numPr>
          <w:ilvl w:val="0"/>
          <w:numId w:val="1003"/>
        </w:numPr>
      </w:pPr>
      <w:r>
        <w:t xml:space="preserve">The Green Leaf Index (GLI,</w:t>
      </w:r>
      <w:r>
        <w:t xml:space="preserve"> </w:t>
      </w:r>
      <w:r>
        <w:t xml:space="preserve">Louhaichi et al. (2001)</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2"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2"/>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Compact"/>
        <w:numPr>
          <w:ilvl w:val="0"/>
          <w:numId w:val="1004"/>
        </w:numPr>
      </w:pPr>
      <w:r>
        <w:t xml:space="preserve">The Mid-Infrared Water Absorption Index (MIWAI), proposed here and designed to measure water absorption at 970 nm (</w:t>
      </w:r>
      <w:r>
        <w:rPr>
          <w:b/>
          <w:bCs/>
        </w:rPr>
        <w:t xml:space="preserve">REF</w:t>
      </w:r>
      <w:r>
        <w:t xml:space="preserve">), estimates the difference between the reflectance at 970 nm and a linear interpolation of the reflectance values at 950 and 990 nm. This interpolation represents the expected reflectance value in the absence of water.</w:t>
      </w:r>
    </w:p>
    <w:p>
      <w:pPr>
        <w:pStyle w:val="FirstParagraph"/>
      </w:pPr>
      <w:bookmarkStart w:id="43" w:name="eq-MIWAI"/>
      <m:oMathPara>
        <m:oMathParaPr>
          <m:jc m:val="center"/>
        </m:oMathParaPr>
        <m:oMath>
          <m:r>
            <m:t>M</m:t>
          </m:r>
          <m:r>
            <m:t>I</m:t>
          </m:r>
          <m:r>
            <m:t>W</m:t>
          </m:r>
          <m:r>
            <m:t>A</m:t>
          </m:r>
          <m:r>
            <m:t>I</m:t>
          </m:r>
          <m:r>
            <m:rPr>
              <m:sty m:val="p"/>
            </m:rPr>
            <m:t>=</m:t>
          </m:r>
          <m:r>
            <m:t>0.5</m:t>
          </m:r>
          <m:r>
            <m:rPr>
              <m:sty m:val="p"/>
            </m:rPr>
            <m:t>×</m:t>
          </m:r>
          <m:d>
            <m:dPr>
              <m:begChr m:val="["/>
              <m:endChr m:val="]"/>
              <m:sepChr m:val=""/>
              <m:grow/>
            </m:dPr>
            <m:e>
              <m:r>
                <m:t>R</m:t>
              </m:r>
              <m:d>
                <m:dPr>
                  <m:begChr m:val="("/>
                  <m:endChr m:val=")"/>
                  <m:sepChr m:val=""/>
                  <m:grow/>
                </m:dPr>
                <m:e>
                  <m:r>
                    <m:t>990</m:t>
                  </m:r>
                </m:e>
              </m:d>
              <m:r>
                <m:rPr>
                  <m:sty m:val="p"/>
                </m:rPr>
                <m:t>+</m:t>
              </m:r>
              <m:r>
                <m:t>R</m:t>
              </m:r>
              <m:d>
                <m:dPr>
                  <m:begChr m:val="("/>
                  <m:endChr m:val=")"/>
                  <m:sepChr m:val=""/>
                  <m:grow/>
                </m:dPr>
                <m:e>
                  <m:r>
                    <m:t>950</m:t>
                  </m:r>
                </m:e>
              </m:d>
            </m:e>
          </m:d>
          <m:r>
            <m:rPr>
              <m:sty m:val="p"/>
            </m:rPr>
            <m:t>−</m:t>
          </m:r>
          <m:r>
            <m:t>R</m:t>
          </m:r>
          <m:d>
            <m:dPr>
              <m:begChr m:val="("/>
              <m:endChr m:val=")"/>
              <m:sepChr m:val=""/>
              <m:grow/>
            </m:dPr>
            <m:e>
              <m:r>
                <m:t>970</m:t>
              </m:r>
            </m:e>
          </m:d>
          <m:r>
            <m:t>  </m:t>
          </m:r>
          <m:d>
            <m:dPr>
              <m:begChr m:val="("/>
              <m:endChr m:val=")"/>
              <m:sepChr m:val=""/>
              <m:grow/>
            </m:dPr>
            <m:e>
              <m:r>
                <m:t>4</m:t>
              </m:r>
            </m:e>
          </m:d>
        </m:oMath>
      </m:oMathPara>
      <w:bookmarkEnd w:id="43"/>
    </w:p>
    <w:p>
      <w:pPr>
        <w:pStyle w:val="FirstParagraph"/>
      </w:pPr>
      <w:r>
        <w:t xml:space="preserve">where</w:t>
      </w:r>
      <w:r>
        <w:t xml:space="preserve"> </w:t>
      </w:r>
      <m:oMath>
        <m:r>
          <m:t>R</m:t>
        </m:r>
        <m:d>
          <m:dPr>
            <m:begChr m:val="("/>
            <m:endChr m:val=")"/>
            <m:sepChr m:val=""/>
            <m:grow/>
          </m:dPr>
          <m:e>
            <m:r>
              <m:t>990</m:t>
            </m:r>
          </m:e>
        </m:d>
      </m:oMath>
      <w:r>
        <w:t xml:space="preserve">,</w:t>
      </w:r>
      <w:r>
        <w:t xml:space="preserve"> </w:t>
      </w:r>
      <m:oMath>
        <m:r>
          <m:t>R</m:t>
        </m:r>
        <m:d>
          <m:dPr>
            <m:begChr m:val="("/>
            <m:endChr m:val=")"/>
            <m:sepChr m:val=""/>
            <m:grow/>
          </m:dPr>
          <m:e>
            <m:r>
              <m:t>970</m:t>
            </m:r>
          </m:e>
        </m:d>
      </m:oMath>
      <w:r>
        <w:t xml:space="preserve"> </w:t>
      </w:r>
      <w:r>
        <w:t xml:space="preserve">and</w:t>
      </w:r>
      <w:r>
        <w:t xml:space="preserve"> </w:t>
      </w:r>
      <m:oMath>
        <m:r>
          <m:t>R</m:t>
        </m:r>
        <m:d>
          <m:dPr>
            <m:begChr m:val="("/>
            <m:endChr m:val=")"/>
            <m:sepChr m:val=""/>
            <m:grow/>
          </m:dPr>
          <m:e>
            <m:r>
              <m:t>950</m:t>
            </m:r>
          </m:e>
        </m:d>
      </m:oMath>
      <w:r>
        <w:t xml:space="preserve"> </w:t>
      </w:r>
      <w:r>
        <w:t xml:space="preserve">are the reflectance in the infrared at 990, 970 and 950 nm, respectively.</w:t>
      </w:r>
    </w:p>
    <w:p>
      <w:pPr>
        <w:pStyle w:val="Heading4"/>
      </w:pPr>
      <w:bookmarkStart w:id="44" w:name="X3a31938bf86539c795284ace62579f9561da96a"/>
      <w:r>
        <w:t xml:space="preserve">2.1.3.2 WILL BE REMOVED - Multispectral imagery measurement</w:t>
      </w:r>
      <w:bookmarkEnd w:id="44"/>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5">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bookmarkEnd w:id="46"/>
    <w:bookmarkStart w:id="47" w:name="pigment-concentration-measurements"/>
    <w:p>
      <w:pPr>
        <w:pStyle w:val="Heading4"/>
      </w:pPr>
      <w:r>
        <w:t xml:space="preserve">2.1.3.3 Pigment concentration measurements</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7"/>
    <w:bookmarkEnd w:id="48"/>
    <w:bookmarkEnd w:id="49"/>
    <w:bookmarkStart w:id="67"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tbl>
      <w:tblPr>
        <w:tblStyle w:val="Table"/>
        <w:tblW w:type="pct" w:w="5000"/>
        <w:tblLayout w:type="fixed"/>
        <w:tblLook w:firstRow="0" w:lastRow="0" w:firstColumn="0" w:lastColumn="0" w:noHBand="0" w:noVBand="0" w:val="0000"/>
      </w:tblPr>
      <w:tblGrid>
        <w:gridCol w:w="7920"/>
      </w:tblGrid>
      <w:tr>
        <w:tc>
          <w:tcPr/>
          <w:bookmarkStart w:id="53" w:name="fig-quiberonMap"/>
          <w:p>
            <w:pPr>
              <w:pStyle w:val="Compact"/>
              <w:jc w:val="center"/>
            </w:pPr>
            <w:r>
              <w:drawing>
                <wp:inline>
                  <wp:extent cx="5334000" cy="5456777"/>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334000" cy="54567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bookmarkEnd w:id="53"/>
        </w:tc>
      </w:tr>
    </w:tbl>
    <w:bookmarkEnd w:id="54"/>
    <w:p>
      <w:pPr>
        <w:pStyle w:val="BodyText"/>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darkening of seagrasses have been observed, resulting in the darkening of seagrass leaves over large area of the meadow (</w:t>
      </w:r>
      <w:hyperlink w:anchor="fig-QuiberonImg">
        <w:r>
          <w:rPr>
            <w:rStyle w:val="Hyperlink"/>
          </w:rPr>
          <w:t xml:space="preserve">Figure 5</w:t>
        </w:r>
      </w:hyperlink>
      <w:r>
        <w:t xml:space="preserve"> </w:t>
      </w:r>
      <w:r>
        <w:t xml:space="preserve">C &amp; D). During this field trip, drone flights were conducted over two areas of the seagrass meadow using a DJI Matrice 200 equipped with a Sequoia Multispectral camera. The Sequoia captures four spectral bands: Green (550 ± 40 nm), Red (660 ± 40 nm), RedEdge (735 ± 10 nm), and Near Infrared (790 ± 40 nm). A total of 122 Ground Control Points (GCPs) were collected in the form of georeferenced quadrat images across the meadow .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tbl>
      <w:tblPr>
        <w:tblStyle w:val="Table"/>
        <w:tblW w:type="pct" w:w="5000"/>
        <w:tblLayout w:type="fixed"/>
        <w:tblLook w:firstRow="0" w:lastRow="0" w:firstColumn="0" w:lastColumn="0" w:noHBand="0" w:noVBand="0" w:val="0000"/>
      </w:tblPr>
      <w:tblGrid>
        <w:gridCol w:w="7920"/>
      </w:tblGrid>
      <w:tr>
        <w:tc>
          <w:tcPr/>
          <w:bookmarkStart w:id="58" w:name="fig-QuiberonImg"/>
          <w:p>
            <w:pPr>
              <w:pStyle w:val="Compact"/>
              <w:jc w:val="center"/>
            </w:pPr>
            <w:r>
              <w:drawing>
                <wp:inline>
                  <wp:extent cx="5334000" cy="3526559"/>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334000" cy="35265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bookmarkEnd w:id="58"/>
        </w:tc>
      </w:tr>
    </w:tbl>
    <w:bookmarkEnd w:id="59"/>
    <w:bookmarkEnd w:id="60"/>
    <w:bookmarkStart w:id="64" w:name="X73fb4b6725bb43bdc3c17946b41d73eba45f33b"/>
    <w:p>
      <w:pPr>
        <w:pStyle w:val="Heading3"/>
      </w:pPr>
      <w:r>
        <w:t xml:space="preserve">2.2.2 Temparature Data and identification of heatwaves</w:t>
      </w:r>
    </w:p>
    <w:bookmarkStart w:id="62" w:name="air-temperature"/>
    <w:p>
      <w:pPr>
        <w:pStyle w:val="Heading4"/>
      </w:pPr>
      <w:r>
        <w:t xml:space="preserve">2.2.2.1 Air temperature</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 Following the methodology of</w:t>
      </w:r>
      <w:r>
        <w:t xml:space="preserve"> </w:t>
      </w:r>
      <w:r>
        <w:t xml:space="preserve">Schlegel et al. (2017)</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bookmarkEnd w:id="62"/>
    <w:bookmarkStart w:id="63" w:name="water-temperature"/>
    <w:p>
      <w:pPr>
        <w:pStyle w:val="Heading4"/>
      </w:pPr>
      <w:r>
        <w:t xml:space="preserve">2.2.2.2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the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(Schlegel and Smit, 2018)</w:t>
      </w:r>
      <w:r>
        <w:t xml:space="preserve"> </w:t>
      </w:r>
      <w:r>
        <w:t xml:space="preserve">was used to compute SST climatology and detect SST events using the same method as air temperature event detection.</w:t>
      </w:r>
    </w:p>
    <w:bookmarkEnd w:id="63"/>
    <w:bookmarkEnd w:id="64"/>
    <w:bookmarkStart w:id="65"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(European Space Agency, 2024a)</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5"/>
    <w:bookmarkStart w:id="66"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(SHOM, 2021)</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Conquet.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 Shom, 2022)</w:t>
      </w:r>
      <w:r>
        <w:t xml:space="preserve">, which provides these correction factors for each seaport along the French coastline. For Le Conquet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6"/>
    <w:bookmarkEnd w:id="67"/>
    <w:bookmarkEnd w:id="68"/>
    <w:bookmarkStart w:id="106" w:name="results"/>
    <w:p>
      <w:pPr>
        <w:pStyle w:val="Heading1"/>
      </w:pPr>
      <w:r>
        <w:t xml:space="preserve">3. Results</w:t>
      </w:r>
    </w:p>
    <w:bookmarkStart w:id="81" w:name="laboratory-experiment-1"/>
    <w:p>
      <w:pPr>
        <w:pStyle w:val="Heading2"/>
      </w:pPr>
      <w:r>
        <w:t xml:space="preserve">3.1 Laboratory Experiment</w:t>
      </w:r>
    </w:p>
    <w:bookmarkStart w:id="74"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3" w:name="cell-fig-Exp_Spectra"/>
    <w:tbl>
      <w:tblPr>
        <w:tblStyle w:val="Table"/>
        <w:tblW w:type="pct" w:w="5000"/>
        <w:tblLayout w:type="fixed"/>
        <w:tblLook w:firstRow="0" w:lastRow="0" w:firstColumn="0" w:lastColumn="0" w:noHBand="0" w:noVBand="0" w:val="0000"/>
      </w:tblPr>
      <w:tblGrid>
        <w:gridCol w:w="7920"/>
      </w:tblGrid>
      <w:tr>
        <w:tc>
          <w:tcPr/>
          <w:bookmarkStart w:id="72" w:name="fig-Exp_Spectra"/>
          <w:p>
            <w:pPr>
              <w:pStyle w:val="Compact"/>
              <w:jc w:val="center"/>
            </w:pPr>
            <w:r>
              <w:drawing>
                <wp:inline>
                  <wp:extent cx="5334000" cy="2667000"/>
                  <wp:effectExtent b="0" l="0" r="0" t="0"/>
                  <wp:docPr descr="" title="" id="70" name="Picture"/>
                  <a:graphic>
                    <a:graphicData uri="http://schemas.openxmlformats.org/drawingml/2006/picture">
                      <pic:pic>
                        <pic:nvPicPr>
                          <pic:cNvPr descr="Figs/Low_res/plot_Spectra_exp.png" id="71" name="Picture"/>
                          <pic:cNvPicPr>
                            <a:picLocks noChangeArrowheads="1" noChangeAspect="1"/>
                          </pic:cNvPicPr>
                        </pic:nvPicPr>
                        <pic:blipFill>
                          <a:blip r:embed="rId6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bookmarkEnd w:id="72"/>
        </w:tc>
      </w:tr>
    </w:tbl>
    <w:bookmarkEnd w:id="73"/>
    <w:bookmarkEnd w:id="74"/>
    <w:bookmarkStart w:id="80"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peak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54 %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40 and 57 %,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9" w:name="cell-fig-Exp_Spectral_indices"/>
    <w:tbl>
      <w:tblPr>
        <w:tblStyle w:val="Table"/>
        <w:tblW w:type="pct" w:w="5000"/>
        <w:tblLayout w:type="fixed"/>
        <w:tblLook w:firstRow="0" w:lastRow="0" w:firstColumn="0" w:lastColumn="0" w:noHBand="0" w:noVBand="0" w:val="0000"/>
      </w:tblPr>
      <w:tblGrid>
        <w:gridCol w:w="7920"/>
      </w:tblGrid>
      <w:tr>
        <w:tc>
          <w:tcPr/>
          <w:bookmarkStart w:id="78" w:name="fig-Exp_Spectral_indices"/>
          <w:p>
            <w:pPr>
              <w:pStyle w:val="Compact"/>
              <w:jc w:val="center"/>
            </w:pPr>
            <w:r>
              <w:drawing>
                <wp:inline>
                  <wp:extent cx="5334000" cy="5334000"/>
                  <wp:effectExtent b="0" l="0" r="0" t="0"/>
                  <wp:docPr descr="" title="" id="76" name="Picture"/>
                  <a:graphic>
                    <a:graphicData uri="http://schemas.openxmlformats.org/drawingml/2006/picture">
                      <pic:pic>
                        <pic:nvPicPr>
                          <pic:cNvPr descr="Figs/Low_res/merged_indices.png" id="77" name="Picture"/>
                          <pic:cNvPicPr>
                            <a:picLocks noChangeArrowheads="1" noChangeAspect="1"/>
                          </pic:cNvPicPr>
                        </pic:nvPicPr>
                        <pic:blipFill>
                          <a:blip r:embed="rId7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bookmarkEnd w:id="78"/>
        </w:tc>
      </w:tr>
    </w:tbl>
    <w:bookmarkEnd w:id="79"/>
    <w:bookmarkEnd w:id="80"/>
    <w:bookmarkEnd w:id="81"/>
    <w:bookmarkStart w:id="105" w:name="heatwaves-of-quiberon"/>
    <w:p>
      <w:pPr>
        <w:pStyle w:val="Heading2"/>
      </w:pPr>
      <w:r>
        <w:t xml:space="preserve">3.2 Heatwaves of Quiberon</w:t>
      </w:r>
    </w:p>
    <w:bookmarkStart w:id="87"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8</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8</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8</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8</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8</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8</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86" w:name="cell-fig-S2_comparison"/>
    <w:tbl>
      <w:tblPr>
        <w:tblStyle w:val="Table"/>
        <w:tblW w:type="pct" w:w="5000"/>
        <w:tblLayout w:type="fixed"/>
        <w:tblLook w:firstRow="0" w:lastRow="0" w:firstColumn="0" w:lastColumn="0" w:noHBand="0" w:noVBand="0" w:val="0000"/>
      </w:tblPr>
      <w:tblGrid>
        <w:gridCol w:w="7920"/>
      </w:tblGrid>
      <w:tr>
        <w:tc>
          <w:tcPr/>
          <w:bookmarkStart w:id="85" w:name="fig-S2_comparison"/>
          <w:p>
            <w:pPr>
              <w:pStyle w:val="Compact"/>
              <w:jc w:val="center"/>
            </w:pPr>
            <w:r>
              <w:drawing>
                <wp:inline>
                  <wp:extent cx="5334000" cy="4536179"/>
                  <wp:effectExtent b="0" l="0" r="0" t="0"/>
                  <wp:docPr descr="" title="" id="83" name="Picture"/>
                  <a:graphic>
                    <a:graphicData uri="http://schemas.openxmlformats.org/drawingml/2006/picture">
                      <pic:pic>
                        <pic:nvPicPr>
                          <pic:cNvPr descr="Figs/Low_res/Heatwaves_S2_plot.png" id="84" name="Picture"/>
                          <pic:cNvPicPr>
                            <a:picLocks noChangeArrowheads="1" noChangeAspect="1"/>
                          </pic:cNvPicPr>
                        </pic:nvPicPr>
                        <pic:blipFill>
                          <a:blip r:embed="rId82"/>
                          <a:stretch>
                            <a:fillRect/>
                          </a:stretch>
                        </pic:blipFill>
                        <pic:spPr bwMode="auto">
                          <a:xfrm>
                            <a:off x="0" y="0"/>
                            <a:ext cx="5334000" cy="4536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bookmarkEnd w:id="85"/>
        </w:tc>
      </w:tr>
    </w:tbl>
    <w:bookmarkEnd w:id="86"/>
    <w:bookmarkEnd w:id="87"/>
    <w:bookmarkStart w:id="93"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9</w:t>
        </w:r>
      </w:hyperlink>
      <w:r>
        <w:t xml:space="preserve">, left column) In contrast, seagrass darkened by the heatwave exhibited a significant decrease in both index values and SPC (</w:t>
      </w:r>
      <w:hyperlink w:anchor="fig-NDVI_GLI_SPC">
        <w:r>
          <w:rPr>
            <w:rStyle w:val="Hyperlink"/>
          </w:rPr>
          <w:t xml:space="preserve">Figure 9</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9</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9</w:t>
        </w:r>
      </w:hyperlink>
      <w:r>
        <w:t xml:space="preserve"> </w:t>
      </w:r>
      <w:r>
        <w:t xml:space="preserve">D). The GLI, the index that reflects the greenness of leaves, was the most affected by the event, with an important reduction from a median of 0.15 to 0.02 during the event (</w:t>
      </w:r>
      <w:hyperlink w:anchor="fig-NDVI_GLI_SPC">
        <w:r>
          <w:rPr>
            <w:rStyle w:val="Hyperlink"/>
          </w:rPr>
          <w:t xml:space="preserve">Figure 9</w:t>
        </w:r>
      </w:hyperlink>
      <w:r>
        <w:t xml:space="preserve"> </w:t>
      </w:r>
      <w:r>
        <w:t xml:space="preserve">F). Interestingly, when comparing the initial seagrass density of both targets (i.e., seagrass density before the event) pixels affected by the heatwave (median SPC = 65%; [</w:t>
      </w:r>
      <w:hyperlink w:anchor="fig-NDVI_GLI_SPC">
        <w:r>
          <w:rPr>
            <w:rStyle w:val="Hyperlink"/>
          </w:rPr>
          <w:t xml:space="preserve">Figure 9</w:t>
        </w:r>
      </w:hyperlink>
      <w:r>
        <w:t xml:space="preserve"> </w:t>
      </w:r>
      <w:r>
        <w:t xml:space="preserve">C green) were denser than the those remained unchanged (median SPC = 85%; [</w:t>
      </w:r>
      <w:hyperlink w:anchor="fig-NDVI_GLI_SPC">
        <w:r>
          <w:rPr>
            <w:rStyle w:val="Hyperlink"/>
          </w:rPr>
          <w:t xml:space="preserve">Figure 9</w:t>
        </w:r>
      </w:hyperlink>
      <w:r>
        <w:t xml:space="preserve"> </w:t>
      </w:r>
      <w:r>
        <w:t xml:space="preserve">D green).</w:t>
      </w:r>
    </w:p>
    <w:bookmarkStart w:id="92" w:name="cell-fig-NDVI_GLI_SPC"/>
    <w:tbl>
      <w:tblPr>
        <w:tblStyle w:val="Table"/>
        <w:tblW w:type="pct" w:w="5000"/>
        <w:tblLayout w:type="fixed"/>
        <w:tblLook w:firstRow="0" w:lastRow="0" w:firstColumn="0" w:lastColumn="0" w:noHBand="0" w:noVBand="0" w:val="0000"/>
      </w:tblPr>
      <w:tblGrid>
        <w:gridCol w:w="7920"/>
      </w:tblGrid>
      <w:tr>
        <w:tc>
          <w:tcPr/>
          <w:bookmarkStart w:id="91" w:name="fig-NDVI_GLI_SPC"/>
          <w:p>
            <w:pPr>
              <w:pStyle w:val="Compact"/>
              <w:jc w:val="center"/>
            </w:pPr>
            <w:r>
              <w:drawing>
                <wp:inline>
                  <wp:extent cx="4267200" cy="6096000"/>
                  <wp:effectExtent b="0" l="0" r="0" t="0"/>
                  <wp:docPr descr="" title="" id="89" name="Picture"/>
                  <a:graphic>
                    <a:graphicData uri="http://schemas.openxmlformats.org/drawingml/2006/picture">
                      <pic:pic>
                        <pic:nvPicPr>
                          <pic:cNvPr descr="Figs/Low_res/Compares_Indices_S2.png" id="90" name="Picture"/>
                          <pic:cNvPicPr>
                            <a:picLocks noChangeArrowheads="1" noChangeAspect="1"/>
                          </pic:cNvPicPr>
                        </pic:nvPicPr>
                        <pic:blipFill>
                          <a:blip r:embed="rId88"/>
                          <a:stretch>
                            <a:fillRect/>
                          </a:stretch>
                        </pic:blipFill>
                        <pic:spPr bwMode="auto">
                          <a:xfrm>
                            <a:off x="0" y="0"/>
                            <a:ext cx="4267200" cy="609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bookmarkEnd w:id="91"/>
        </w:tc>
      </w:tr>
    </w:tbl>
    <w:bookmarkEnd w:id="92"/>
    <w:bookmarkEnd w:id="93"/>
    <w:bookmarkStart w:id="104" w:name="mapping-of-the-seagrass-darkening"/>
    <w:p>
      <w:pPr>
        <w:pStyle w:val="Heading3"/>
      </w:pPr>
      <w:r>
        <w:t xml:space="preserve">3.2.3 Mapping of the seagrass darkening</w:t>
      </w:r>
    </w:p>
    <w:p>
      <w:pPr>
        <w:pStyle w:val="FirstParagraph"/>
      </w:pPr>
      <w:r>
        <w:t xml:space="preserve">Using the</w:t>
      </w:r>
      <w:r>
        <w:t xml:space="preserve"> </w:t>
      </w:r>
      <w:r>
        <w:rPr>
          <w:b/>
          <w:bCs/>
        </w:rPr>
        <w:t xml:space="preserve">EquationExperimental</w:t>
      </w:r>
      <w:r>
        <w:t xml:space="preserve">, we can detect seagrass patches that have darkened. Following the heatwave events, a total of 20.64 hectares of seagrass darkened, with the largest affected patch covering nearly 3 hectares. Overall, 19 % of the total seagrass meadow area showed signs of darkening between the 1st and 6th of September 2021. Comparing the spatial distribution of darkened patches with the site’s bathymetry reveals that 97.3 % of darkened areas are located at above 3.9 meters of bathymetry</w:t>
      </w:r>
      <w:r>
        <w:t xml:space="preserve"> </w:t>
      </w:r>
      <w:hyperlink w:anchor="fig-Map_darkening_Bathy">
        <w:r>
          <w:rPr>
            <w:rStyle w:val="Hyperlink"/>
          </w:rPr>
          <w:t xml:space="preserve">Figure 10</w:t>
        </w:r>
      </w:hyperlink>
      <w:r>
        <w:t xml:space="preserve">.</w:t>
      </w:r>
    </w:p>
    <w:bookmarkStart w:id="98" w:name="cell-fig-Map_darkening_Bathy"/>
    <w:tbl>
      <w:tblPr>
        <w:tblStyle w:val="Table"/>
        <w:tblW w:type="pct" w:w="5000"/>
        <w:tblLayout w:type="fixed"/>
        <w:tblLook w:firstRow="0" w:lastRow="0" w:firstColumn="0" w:lastColumn="0" w:noHBand="0" w:noVBand="0" w:val="0000"/>
      </w:tblPr>
      <w:tblGrid>
        <w:gridCol w:w="7920"/>
      </w:tblGrid>
      <w:tr>
        <w:tc>
          <w:tcPr/>
          <w:bookmarkStart w:id="97" w:name="fig-Map_darkening_Bathy"/>
          <w:p>
            <w:pPr>
              <w:pStyle w:val="Compact"/>
              <w:jc w:val="center"/>
            </w:pPr>
            <w:r>
              <w:drawing>
                <wp:inline>
                  <wp:extent cx="5334000" cy="4987290"/>
                  <wp:effectExtent b="0" l="0" r="0" t="0"/>
                  <wp:docPr descr="" title="" id="95" name="Picture"/>
                  <a:graphic>
                    <a:graphicData uri="http://schemas.openxmlformats.org/drawingml/2006/picture">
                      <pic:pic>
                        <pic:nvPicPr>
                          <pic:cNvPr descr="Figs/Low_res/Map_darkening_Bathy.png" id="96" name="Picture"/>
                          <pic:cNvPicPr>
                            <a:picLocks noChangeArrowheads="1" noChangeAspect="1"/>
                          </pic:cNvPicPr>
                        </pic:nvPicPr>
                        <pic:blipFill>
                          <a:blip r:embed="rId94"/>
                          <a:stretch>
                            <a:fillRect/>
                          </a:stretch>
                        </pic:blipFill>
                        <pic:spPr bwMode="auto">
                          <a:xfrm>
                            <a:off x="0" y="0"/>
                            <a:ext cx="5334000" cy="49872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Map of the Darkening of seagrasses during the heatwave events of September 2021 in Quiberon. A: 1m bathymetry isobar (golden line); B: Result of the detection of darkened seagrass patches (Blue plolygons)</w:t>
            </w:r>
          </w:p>
          <w:bookmarkEnd w:id="97"/>
        </w:tc>
      </w:tr>
    </w:tbl>
    <w:bookmarkEnd w:id="98"/>
    <w:p>
      <w:pPr>
        <w:pStyle w:val="BodyText"/>
      </w:pPr>
      <w:r>
        <w:t xml:space="preserve">Additionally, analysis of bathymetry data to determine seagrass emersion time shows a clear relationship between the time seagrass is exposed to air and its darkening. During the heatwave, no significant darkening occurred with daily exposure below 13 hours. However, when exposure reached 13 hours or more per day, seagrasses began to darken, peaking at around 14.5 hours of daily exposure</w:t>
      </w:r>
      <w:r>
        <w:t xml:space="preserve"> </w:t>
      </w:r>
      <w:hyperlink w:anchor="fig-GAM_Emersion">
        <w:r>
          <w:rPr>
            <w:rStyle w:val="Hyperlink"/>
          </w:rPr>
          <w:t xml:space="preserve">Figure 11</w:t>
        </w:r>
      </w:hyperlink>
      <w:r>
        <w:t xml:space="preserve">.</w:t>
      </w:r>
    </w:p>
    <w:bookmarkStart w:id="103" w:name="cell-fig-GAM_Emersion"/>
    <w:tbl>
      <w:tblPr>
        <w:tblStyle w:val="Table"/>
        <w:tblW w:type="pct" w:w="5000"/>
        <w:tblLayout w:type="fixed"/>
        <w:tblLook w:firstRow="0" w:lastRow="0" w:firstColumn="0" w:lastColumn="0" w:noHBand="0" w:noVBand="0" w:val="0000"/>
      </w:tblPr>
      <w:tblGrid>
        <w:gridCol w:w="7920"/>
      </w:tblGrid>
      <w:tr>
        <w:tc>
          <w:tcPr/>
          <w:bookmarkStart w:id="102" w:name="fig-GAM_Emersion"/>
          <w:p>
            <w:pPr>
              <w:pStyle w:val="Compact"/>
              <w:jc w:val="center"/>
            </w:pPr>
            <w:r>
              <w:drawing>
                <wp:inline>
                  <wp:extent cx="5334000" cy="2667000"/>
                  <wp:effectExtent b="0" l="0" r="0" t="0"/>
                  <wp:docPr descr="" title="" id="100" name="Picture"/>
                  <a:graphic>
                    <a:graphicData uri="http://schemas.openxmlformats.org/drawingml/2006/picture">
                      <pic:pic>
                        <pic:nvPicPr>
                          <pic:cNvPr descr="Figs/Low_res/GAM_emersion.png" id="101" name="Picture"/>
                          <pic:cNvPicPr>
                            <a:picLocks noChangeArrowheads="1" noChangeAspect="1"/>
                          </pic:cNvPicPr>
                        </pic:nvPicPr>
                        <pic:blipFill>
                          <a:blip r:embed="rId9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Relative change in the Green Leaf Index (GLI) before and during heatwave events as a function of the daily emergence time of seagrasses. The line represents a Generalized Linear Model (GLM) prediction, and the shaded area indicates the standard error. Shaded points represent raw data, with each point corresponding to a single pixel.</w:t>
            </w:r>
          </w:p>
          <w:bookmarkEnd w:id="102"/>
        </w:tc>
      </w:tr>
    </w:tbl>
    <w:bookmarkEnd w:id="103"/>
    <w:bookmarkEnd w:id="104"/>
    <w:bookmarkEnd w:id="105"/>
    <w:bookmarkEnd w:id="106"/>
    <w:bookmarkStart w:id="148" w:name="bibliography"/>
    <w:p>
      <w:pPr>
        <w:pStyle w:val="Heading1"/>
      </w:pPr>
      <w:r>
        <w:t xml:space="preserve">4. Bibliography</w:t>
      </w:r>
    </w:p>
    <w:bookmarkStart w:id="147" w:name="refs"/>
    <w:bookmarkStart w:id="107"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07"/>
    <w:bookmarkStart w:id="108"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08"/>
    <w:bookmarkStart w:id="110"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09">
        <w:r>
          <w:rPr>
            <w:rStyle w:val="Hyperlink"/>
          </w:rPr>
          <w:t xml:space="preserve">https://doi.org/10.48670/moi-00311</w:t>
        </w:r>
      </w:hyperlink>
    </w:p>
    <w:bookmarkEnd w:id="110"/>
    <w:bookmarkStart w:id="111" w:name="ref-deguette2022physiological"/>
    <w:p>
      <w:pPr>
        <w:pStyle w:val="Bibliography"/>
      </w:pPr>
      <w:r>
        <w:t xml:space="preserve">Deguette, A., Barrote, I., Silva, J., 2022. Physiological and morphological effects of a marine heatwave on the seagrass cymodocea nodosa. Scientific Reports 12, 7950.</w:t>
      </w:r>
    </w:p>
    <w:bookmarkEnd w:id="111"/>
    <w:bookmarkStart w:id="112" w:name="ref-sen2cor"/>
    <w:p>
      <w:pPr>
        <w:pStyle w:val="Bibliography"/>
      </w:pPr>
      <w:r>
        <w:t xml:space="preserve">European Space Agency, 2024b. Sen2Cor: Sentinel-2 atmospheric correction processor.</w:t>
      </w:r>
    </w:p>
    <w:bookmarkEnd w:id="112"/>
    <w:bookmarkStart w:id="113" w:name="ref-copernicus_sentinel2"/>
    <w:p>
      <w:pPr>
        <w:pStyle w:val="Bibliography"/>
      </w:pPr>
      <w:r>
        <w:t xml:space="preserve">European Space Agency, 2024a. Copernicus open access hub.</w:t>
      </w:r>
    </w:p>
    <w:bookmarkEnd w:id="113"/>
    <w:bookmarkStart w:id="114" w:name="ref-gardner2018global"/>
    <w:p>
      <w:pPr>
        <w:pStyle w:val="Bibliography"/>
      </w:pPr>
      <w:r>
        <w:t xml:space="preserve">Gardner, R.C., Finlayson, C., 2018. Global wetland outlook: State of the world’s wetlands and their services to people, in: Ramsar Convention Secretariat. pp. 2020–5.</w:t>
      </w:r>
    </w:p>
    <w:bookmarkEnd w:id="114"/>
    <w:bookmarkStart w:id="115"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15"/>
    <w:bookmarkStart w:id="116"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16"/>
    <w:bookmarkStart w:id="117"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17"/>
    <w:bookmarkStart w:id="118" w:name="ref-huete2012vegetation"/>
    <w:p>
      <w:pPr>
        <w:pStyle w:val="Bibliography"/>
      </w:pPr>
      <w:r>
        <w:t xml:space="preserve">Huete, A.R., 2012. Vegetation indices, remote sensing and forest monitoring. Geography Compass 6, 513–532.</w:t>
      </w:r>
    </w:p>
    <w:bookmarkEnd w:id="118"/>
    <w:bookmarkStart w:id="120" w:name="ref-ioc_sea_level_lecy"/>
    <w:p>
      <w:pPr>
        <w:pStyle w:val="Bibliography"/>
      </w:pPr>
      <w:r>
        <w:t xml:space="preserve">IOC, 2024.</w:t>
      </w:r>
      <w:r>
        <w:t xml:space="preserve"> </w:t>
      </w:r>
      <w:hyperlink r:id="rId119">
        <w:r>
          <w:rPr>
            <w:rStyle w:val="Hyperlink"/>
          </w:rPr>
          <w:t xml:space="preserve">Intergovernmental oceanographic commission ; sea level monitoring station - le conquet, france (LECY)</w:t>
        </w:r>
      </w:hyperlink>
      <w:r>
        <w:t xml:space="preserve">.</w:t>
      </w:r>
    </w:p>
    <w:bookmarkEnd w:id="120"/>
    <w:bookmarkStart w:id="121"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21"/>
    <w:bookmarkStart w:id="122" w:name="ref-kloos2021agricultural"/>
    <w:p>
      <w:pPr>
        <w:pStyle w:val="Bibliography"/>
      </w:pPr>
      <w:r>
        <w:t xml:space="preserve">Kloos, S., Yuan, Y., Castelli, M., Menzel, A., 2021. Agricultural drought detection with MODIS based vegetation health indices in southeast germany. Remote Sensing 13, 3907.</w:t>
      </w:r>
    </w:p>
    <w:bookmarkEnd w:id="122"/>
    <w:bookmarkStart w:id="123"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23"/>
    <w:bookmarkStart w:id="124"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24"/>
    <w:bookmarkStart w:id="125" w:name="ref-perkins2013measurement"/>
    <w:p>
      <w:pPr>
        <w:pStyle w:val="Bibliography"/>
      </w:pPr>
      <w:r>
        <w:t xml:space="preserve">Perkins, S.E., Alexander, L.V., 2013. On the measurement of heat waves. Journal of climate 26, 4500–4517.</w:t>
      </w:r>
    </w:p>
    <w:bookmarkEnd w:id="125"/>
    <w:bookmarkStart w:id="126" w:name="ref-ramesh2020seagrass"/>
    <w:p>
      <w:pPr>
        <w:pStyle w:val="Bibliography"/>
      </w:pPr>
      <w:r>
        <w:t xml:space="preserve">Ramesh, C., Mohanraju, R., 2020. Seagrass ecosystems of andaman and nicobar islands: Status and future perspective. Environmental &amp; Earth Sciences Research Journal 7.</w:t>
      </w:r>
    </w:p>
    <w:bookmarkEnd w:id="126"/>
    <w:bookmarkStart w:id="127" w:name="ref-rouse1974monitoring"/>
    <w:p>
      <w:pPr>
        <w:pStyle w:val="Bibliography"/>
      </w:pPr>
      <w:r>
        <w:t xml:space="preserve">Rouse, J.W., Haas, R.H., Schell, J.A., Deering, D.W., others, 1974. Monitoring vegetation systems in the great plains with ERTS. NASA Spec. Publ 351, 309.</w:t>
      </w:r>
    </w:p>
    <w:bookmarkEnd w:id="127"/>
    <w:bookmarkStart w:id="128"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28"/>
    <w:bookmarkStart w:id="129" w:name="ref-schlegel2017nearshore"/>
    <w:p>
      <w:pPr>
        <w:pStyle w:val="Bibliography"/>
      </w:pPr>
      <w:r>
        <w:t xml:space="preserve">Schlegel, R.W., Oliver, E.C., Wernberg, T., Smit, A.J., 2017. Nearshore and offshore co-occurrence of marine heatwaves and cold-spells. Progress in Oceanography 151, 189–205.</w:t>
      </w:r>
    </w:p>
    <w:bookmarkEnd w:id="129"/>
    <w:bookmarkStart w:id="131"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30">
        <w:r>
          <w:rPr>
            <w:rStyle w:val="Hyperlink"/>
          </w:rPr>
          <w:t xml:space="preserve">https://doi.org/10.21105/joss.00821</w:t>
        </w:r>
      </w:hyperlink>
    </w:p>
    <w:bookmarkEnd w:id="131"/>
    <w:bookmarkStart w:id="132"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32"/>
    <w:bookmarkStart w:id="133"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33"/>
    <w:bookmarkStart w:id="135" w:name="ref-shom_ram_2022"/>
    <w:p>
      <w:pPr>
        <w:pStyle w:val="Bibliography"/>
      </w:pPr>
      <w:r>
        <w:t xml:space="preserve">Shom, 2022.</w:t>
      </w:r>
      <w:r>
        <w:t xml:space="preserve"> </w:t>
      </w:r>
      <w:hyperlink r:id="rId134">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35"/>
    <w:bookmarkStart w:id="137" w:name="Xbef41143b4d4042e58f11cfc27e216202646012"/>
    <w:p>
      <w:pPr>
        <w:pStyle w:val="Bibliography"/>
      </w:pPr>
      <w:r>
        <w:t xml:space="preserve">SHOM, 2021.</w:t>
      </w:r>
      <w:r>
        <w:t xml:space="preserve"> </w:t>
      </w:r>
      <w:hyperlink r:id="rId136">
        <w:r>
          <w:rPr>
            <w:rStyle w:val="Hyperlink"/>
          </w:rPr>
          <w:t xml:space="preserve">Service hydrographique et océanographique de la marine ; bathymétrie Litto3D® bretagne 2018-2021</w:t>
        </w:r>
      </w:hyperlink>
      <w:r>
        <w:t xml:space="preserve">.</w:t>
      </w:r>
    </w:p>
    <w:bookmarkEnd w:id="137"/>
    <w:bookmarkStart w:id="138"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38"/>
    <w:bookmarkStart w:id="139"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39"/>
    <w:bookmarkStart w:id="140"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40"/>
    <w:bookmarkStart w:id="141" w:name="ref-unsworth2022planetary"/>
    <w:p>
      <w:pPr>
        <w:pStyle w:val="Bibliography"/>
      </w:pPr>
      <w:r>
        <w:t xml:space="preserve">Unsworth, R.K., Cullen-Unsworth, L.C., Jones, B.L., Lilley, R.J., 2022. The planetary role of seagrass conservation. Science 377, 609–613.</w:t>
      </w:r>
    </w:p>
    <w:bookmarkEnd w:id="141"/>
    <w:bookmarkStart w:id="142"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42"/>
    <w:bookmarkStart w:id="143"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43"/>
    <w:bookmarkStart w:id="144"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44"/>
    <w:bookmarkStart w:id="145"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45"/>
    <w:bookmarkStart w:id="146"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46"/>
    <w:bookmarkEnd w:id="147"/>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88" Target="media/rId88.png" /><Relationship Type="http://schemas.openxmlformats.org/officeDocument/2006/relationships/image" Id="rId22" Target="media/rId22.png" /><Relationship Type="http://schemas.openxmlformats.org/officeDocument/2006/relationships/image" Id="rId99" Target="media/rId9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hyperlink" Id="rId134" Target="https://diffusion.shom.fr/references-altimetriques-maritimes-ram.html" TargetMode="External" /><Relationship Type="http://schemas.openxmlformats.org/officeDocument/2006/relationships/hyperlink" Id="rId130" Target="https://doi.org/10.21105/joss.00821" TargetMode="External" /><Relationship Type="http://schemas.openxmlformats.org/officeDocument/2006/relationships/hyperlink" Id="rId109" Target="https://doi.org/10.48670/moi-00311" TargetMode="External" /><Relationship Type="http://schemas.openxmlformats.org/officeDocument/2006/relationships/hyperlink" Id="rId27"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36" Target="https://services.data.shom.fr/geonetwork/srv/fre/catalog.search#/metadata/BATHYMETRIE_LITTO3D_BZH_2018_2021.xml" TargetMode="External" /><Relationship Type="http://schemas.openxmlformats.org/officeDocument/2006/relationships/hyperlink" Id="rId45" Target="https://sigoiry.github.io/DISCOV-MicaSense/" TargetMode="External" /><Relationship Type="http://schemas.openxmlformats.org/officeDocument/2006/relationships/hyperlink" Id="rId119" Target="https://www.ioc-sealevelmonitoring.org/station.php?code=lecy" TargetMode="External" /><Relationship Type="http://schemas.openxmlformats.org/officeDocument/2006/relationships/hyperlink" Id="rId39"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34" Target="https://diffusion.shom.fr/references-altimetriques-maritimes-ram.html" TargetMode="External" /><Relationship Type="http://schemas.openxmlformats.org/officeDocument/2006/relationships/hyperlink" Id="rId130" Target="https://doi.org/10.21105/joss.00821" TargetMode="External" /><Relationship Type="http://schemas.openxmlformats.org/officeDocument/2006/relationships/hyperlink" Id="rId109" Target="https://doi.org/10.48670/moi-00311" TargetMode="External" /><Relationship Type="http://schemas.openxmlformats.org/officeDocument/2006/relationships/hyperlink" Id="rId27"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36" Target="https://services.data.shom.fr/geonetwork/srv/fre/catalog.search#/metadata/BATHYMETRIE_LITTO3D_BZH_2018_2021.xml" TargetMode="External" /><Relationship Type="http://schemas.openxmlformats.org/officeDocument/2006/relationships/hyperlink" Id="rId45" Target="https://sigoiry.github.io/DISCOV-MicaSense/" TargetMode="External" /><Relationship Type="http://schemas.openxmlformats.org/officeDocument/2006/relationships/hyperlink" Id="rId119" Target="https://www.ioc-sealevelmonitoring.org/station.php?code=lecy" TargetMode="External" /><Relationship Type="http://schemas.openxmlformats.org/officeDocument/2006/relationships/hyperlink" Id="rId39"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 Effect of Atmospheric Heatwaves on Reflectance and Pigment Composition of Intertidal Nanozostera noltei – Draft</dc:title>
  <dc:creator>Simon Oiry; Bede Ffinian Rowe Davies; Philippe Rosa; Augustin Debly; Maria Laura Zoffoli; Anne-Laure Barillé; Nicolas Harin; Pierre Gernez; Laurent Barillé</dc:creator>
  <cp:keywords>Remote Sensing, Pigment Composition, Seagrass, Coastal Ecosystems, Heatwaves</cp:keywords>
  <dcterms:created xsi:type="dcterms:W3CDTF">2024-10-29T16:33:24Z</dcterms:created>
  <dcterms:modified xsi:type="dcterms:W3CDTF">2024-10-29T16:33:24Z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be written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2024-10-29</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