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042E0D" w14:textId="77777777" w:rsidR="00A206A1" w:rsidRDefault="00000000">
      <w:pPr>
        <w:pStyle w:val="Titre"/>
      </w:pPr>
      <w:r>
        <w:t xml:space="preserve">Effect of Marine and Atmospheric Heatwaves on Reflectance and Pigment Composition of Intertidal </w:t>
      </w:r>
      <w:r>
        <w:rPr>
          <w:i/>
          <w:iCs/>
        </w:rPr>
        <w:t>Zostera noltei</w:t>
      </w:r>
    </w:p>
    <w:p w14:paraId="5C676BEF" w14:textId="77777777" w:rsidR="00A206A1" w:rsidRDefault="00000000">
      <w:pPr>
        <w:pStyle w:val="Author"/>
      </w:pPr>
      <w:r>
        <w:t>Simon Oiry</w:t>
      </w:r>
      <w:r>
        <w:rPr>
          <w:rStyle w:val="Appelnotedebasdep"/>
        </w:rPr>
        <w:footnoteReference w:id="1"/>
      </w:r>
    </w:p>
    <w:p w14:paraId="06A4870B" w14:textId="77777777" w:rsidR="00A206A1" w:rsidRDefault="00000000">
      <w:pPr>
        <w:pStyle w:val="Author"/>
      </w:pPr>
      <w:r>
        <w:t>Bede Ffinian Rowe Davies¹</w:t>
      </w:r>
    </w:p>
    <w:p w14:paraId="70DD74F4" w14:textId="77777777" w:rsidR="00A206A1" w:rsidRPr="00D32EE1" w:rsidRDefault="00000000">
      <w:pPr>
        <w:pStyle w:val="Author"/>
        <w:rPr>
          <w:lang w:val="fr-FR"/>
        </w:rPr>
      </w:pPr>
      <w:r w:rsidRPr="00D32EE1">
        <w:rPr>
          <w:lang w:val="fr-FR"/>
        </w:rPr>
        <w:t>Philippe Rosa¹</w:t>
      </w:r>
    </w:p>
    <w:p w14:paraId="7ADCAB2D" w14:textId="77777777" w:rsidR="00A206A1" w:rsidRPr="00D32EE1" w:rsidRDefault="00000000">
      <w:pPr>
        <w:pStyle w:val="Author"/>
        <w:rPr>
          <w:lang w:val="fr-FR"/>
        </w:rPr>
      </w:pPr>
      <w:r w:rsidRPr="00D32EE1">
        <w:rPr>
          <w:lang w:val="fr-FR"/>
        </w:rPr>
        <w:t>Augustin Debly¹</w:t>
      </w:r>
    </w:p>
    <w:p w14:paraId="7E9FC4F8" w14:textId="77777777" w:rsidR="00A206A1" w:rsidRPr="00D32EE1" w:rsidRDefault="00000000">
      <w:pPr>
        <w:pStyle w:val="Author"/>
        <w:rPr>
          <w:lang w:val="fr-FR"/>
        </w:rPr>
      </w:pPr>
      <w:r w:rsidRPr="00D32EE1">
        <w:rPr>
          <w:lang w:val="fr-FR"/>
        </w:rPr>
        <w:t>Maria Laura Zoffoli</w:t>
      </w:r>
      <w:r>
        <w:rPr>
          <w:rStyle w:val="Appelnotedebasdep"/>
        </w:rPr>
        <w:footnoteReference w:id="2"/>
      </w:r>
    </w:p>
    <w:p w14:paraId="52546663" w14:textId="77777777" w:rsidR="00A206A1" w:rsidRPr="00D32EE1" w:rsidRDefault="00000000">
      <w:pPr>
        <w:pStyle w:val="Author"/>
        <w:rPr>
          <w:lang w:val="fr-FR"/>
        </w:rPr>
      </w:pPr>
      <w:r w:rsidRPr="00D32EE1">
        <w:rPr>
          <w:lang w:val="fr-FR"/>
        </w:rPr>
        <w:t>Anne-Laure Barillé</w:t>
      </w:r>
      <w:r>
        <w:rPr>
          <w:rStyle w:val="Appelnotedebasdep"/>
        </w:rPr>
        <w:footnoteReference w:id="3"/>
      </w:r>
    </w:p>
    <w:p w14:paraId="0AE8CD64" w14:textId="77777777" w:rsidR="00A206A1" w:rsidRPr="00D32EE1" w:rsidRDefault="00000000">
      <w:pPr>
        <w:pStyle w:val="Author"/>
        <w:rPr>
          <w:lang w:val="fr-FR"/>
        </w:rPr>
      </w:pPr>
      <w:r w:rsidRPr="00D32EE1">
        <w:rPr>
          <w:lang w:val="fr-FR"/>
        </w:rPr>
        <w:t>Nicolas Harin³</w:t>
      </w:r>
    </w:p>
    <w:p w14:paraId="201C3E9C" w14:textId="77777777" w:rsidR="00A206A1" w:rsidRPr="00D32EE1" w:rsidRDefault="00000000">
      <w:pPr>
        <w:pStyle w:val="Author"/>
        <w:rPr>
          <w:lang w:val="fr-FR"/>
        </w:rPr>
      </w:pPr>
      <w:r w:rsidRPr="00D32EE1">
        <w:rPr>
          <w:lang w:val="fr-FR"/>
        </w:rPr>
        <w:t>Pierre Gernez¹</w:t>
      </w:r>
    </w:p>
    <w:p w14:paraId="769AB2DF" w14:textId="77777777" w:rsidR="00A206A1" w:rsidRDefault="00000000">
      <w:pPr>
        <w:pStyle w:val="Author"/>
      </w:pPr>
      <w:r>
        <w:t>Laurent Barillé¹</w:t>
      </w:r>
    </w:p>
    <w:p w14:paraId="27CD0ACD" w14:textId="77777777" w:rsidR="00A206A1" w:rsidRDefault="00000000">
      <w:pPr>
        <w:pStyle w:val="Date"/>
      </w:pPr>
      <w:r>
        <w:t>2024-11-12</w:t>
      </w:r>
    </w:p>
    <w:p w14:paraId="002422A2" w14:textId="77777777" w:rsidR="00A206A1" w:rsidRDefault="00000000">
      <w:r>
        <w:t>Abstract</w:t>
      </w:r>
    </w:p>
    <w:p w14:paraId="05515142" w14:textId="77777777" w:rsidR="00A206A1" w:rsidRDefault="00000000">
      <w:pPr>
        <w:pStyle w:val="Abstract"/>
      </w:pPr>
      <w:r>
        <w:lastRenderedPageBreak/>
        <w:t>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w:t>
      </w:r>
    </w:p>
    <w:p w14:paraId="1BA7117E" w14:textId="77777777" w:rsidR="00A206A1" w:rsidRDefault="00000000">
      <w:pPr>
        <w:pStyle w:val="Titre1"/>
      </w:pPr>
      <w:bookmarkStart w:id="0" w:name="introduction"/>
      <w:r>
        <w:t>1. Introduction</w:t>
      </w:r>
    </w:p>
    <w:p w14:paraId="7356DFAE" w14:textId="77777777" w:rsidR="00A206A1" w:rsidRDefault="00000000">
      <w:pPr>
        <w:pStyle w:val="FirstParagraph"/>
      </w:pPr>
      <w:r>
        <w:t>Intertidal seagrasses play a crucial role in the ecosystem by providing habitats and feeding grounds for various marine species, supporting rich marine biodiversity, and contributing significantly to primary production and carbon sequestration (Sousa et al., 2019; Unsworth et al., 2022). These seagrasses are essential in maintaining the health of coastal ecosystems by stabilizing sediments, filtering water, and serving as indicators of environmental changes due to their sensitivity to water quality variations (Zoffoli et al., 2021). The interactions between seagrass meadows and their associated herbivores further enhance the delivery of ecosystem services, including coastal protection and fisheries support (Gardner and Finlayson, 2018; Jankowska et al., 2019; Zoffoli et al., 2023). Understanding and preserving these ecosystems are vital for maintaining the biodiversity and productivity of coastal regions (Ramesh and Mohanraju, 2020; Scott et al., 2018).</w:t>
      </w:r>
    </w:p>
    <w:p w14:paraId="66D0061D" w14:textId="77777777" w:rsidR="00A206A1" w:rsidRDefault="00000000">
      <w:pPr>
        <w:pStyle w:val="Corpsdetexte"/>
      </w:pPr>
      <w:r>
        <w:t xml:space="preserve">Despite their crucial role in marine ecosystems, intertidal seagrasses face numerous threats that compromise their health and functionality. Coastal development </w:t>
      </w:r>
      <w:r>
        <w:lastRenderedPageBreak/>
        <w:t>and human activities are primary threats, which not only reduce the available habitat for seagrasses but also increase water turbidity, which limits light penetration and photosynthesis (Waycott et al., 2009). Seagrasses are also threatened by nutrient enrichment from agricultural and urban runoff, leading to eutrophication. This condition promotes the rapid growth of algale causing blooms that compete with seagrasses for light and nutrients, further stressing these important plants (Thomsen et al., 2023) (Oiry et al. 2024). Pollution from industrial and agricultural sources introduce harmful chemicals and heavy metals into coastal waters, posing toxic risks to seagrass health (</w:t>
      </w:r>
      <w:r>
        <w:rPr>
          <w:b/>
          <w:bCs/>
        </w:rPr>
        <w:t>Citation</w:t>
      </w:r>
      <w:r>
        <w:t>). These pollutants can affect the physiological processes of seagrasses, reducing their growth and survival rates (Sevgi and Leblebici, 2022).</w:t>
      </w:r>
    </w:p>
    <w:p w14:paraId="55877E58" w14:textId="77777777" w:rsidR="00A206A1" w:rsidRDefault="00000000">
      <w:pPr>
        <w:pStyle w:val="Corpsdetexte"/>
      </w:pPr>
      <w:r>
        <w:t xml:space="preserve">Heatwaves, exacerbated by climate change, pose a growing threat to seagrasses. Marine Heatwaves (MHW), defined by Hobday et al. (2016) as prolonged discrete anomalously warm water events, and Atmospheric Heatwaves (AHW), defined by Perkins and Alexander (2013) as periods of at least three consecutive days with temperatures exceeding the 90th percentile, cause severe physiological stress on seagrasses (Deguette et al., 2022; Sawall et al., 2021). At the interface between the land and oceans, intertidal seagrasses are exposed to both MHW and AHW. Heatwaves have profound impacts on seagrasses, with their effects varying based on species and geographic location. For instance, the seagrass </w:t>
      </w:r>
      <w:r>
        <w:rPr>
          <w:i/>
          <w:iCs/>
        </w:rPr>
        <w:t>Zostera marina</w:t>
      </w:r>
      <w:r>
        <w:t xml:space="preserve"> exhibits high susceptibility to elevated sea surface temperatures during winter and spring, leading to advanced flowering, high mortality rates, and reduced biomass (Sawall et al., 2021). Similarly, </w:t>
      </w:r>
      <w:r>
        <w:rPr>
          <w:i/>
          <w:iCs/>
        </w:rPr>
        <w:t>Cymodocea nodosa</w:t>
      </w:r>
      <w:r>
        <w:t xml:space="preserve"> shows increased photosynthetic activity during heatwaves but suffers negative effects on photosynthetic performance and leaf biomass during recovery (Deguette et al., 2022). Additionally, different populations of </w:t>
      </w:r>
      <w:r>
        <w:rPr>
          <w:i/>
          <w:iCs/>
        </w:rPr>
        <w:t>Zostera marina</w:t>
      </w:r>
      <w:r>
        <w:t xml:space="preserve"> along the European thermal gradient exhibit varied photophysiological responses during the recovery phase of heatwaves, indicating differential adaptation capabilities among populations (Winters et al., 2011). These events intensify other stressors, such as </w:t>
      </w:r>
      <w:r>
        <w:lastRenderedPageBreak/>
        <w:t>overgrazing and seed burial, compromising recruitment (Guerrero-Meseguer et al., 2020).</w:t>
      </w:r>
    </w:p>
    <w:p w14:paraId="4A06E0D1" w14:textId="77777777" w:rsidR="00A206A1" w:rsidRDefault="00000000">
      <w:pPr>
        <w:pStyle w:val="Corpsdetexte"/>
      </w:pPr>
      <w:r>
        <w:t>Remote sensing is increasingly being used to monitor marine ecosystems, including intertidal seagrass meadows (Davies et al., 2024a, 2024b). Spectral indices such as the Normalized Difference Vegetation Index (NDVI) and the Soil-Adjusted Vegetation Index (SAVI) are effective for quantifying vegetation health over time (Akbar et al., 2020; Cârlan et al., 2020; Huete, 2012; Kloos et al., 2021).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 (Papathanasopoulou et al., 2019).</w:t>
      </w:r>
    </w:p>
    <w:p w14:paraId="04EB8C85" w14:textId="77777777" w:rsidR="00A206A1" w:rsidRDefault="00000000">
      <w:pPr>
        <w:pStyle w:val="Corpsdetexte"/>
      </w:pPr>
      <w:r>
        <w:t>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p w14:paraId="5B7A6E95" w14:textId="77777777" w:rsidR="00A206A1" w:rsidRDefault="00000000">
      <w:pPr>
        <w:pStyle w:val="Titre1"/>
      </w:pPr>
      <w:bookmarkStart w:id="1" w:name="material-methods"/>
      <w:bookmarkEnd w:id="0"/>
      <w:r>
        <w:t>2. Material &amp; Methods</w:t>
      </w:r>
    </w:p>
    <w:p w14:paraId="02F120AD" w14:textId="77777777" w:rsidR="00A206A1" w:rsidRDefault="00000000">
      <w:pPr>
        <w:pStyle w:val="Titre2"/>
      </w:pPr>
      <w:bookmarkStart w:id="2" w:name="laboratory-experiment"/>
      <w:r>
        <w:t>2.1 Laboratory Experiment</w:t>
      </w:r>
    </w:p>
    <w:p w14:paraId="777F3874" w14:textId="77777777" w:rsidR="00A206A1" w:rsidRDefault="00000000">
      <w:pPr>
        <w:pStyle w:val="Titre3"/>
      </w:pPr>
      <w:bookmarkStart w:id="3" w:name="sampling-and-acclimation-of-seagrasses"/>
      <w:r>
        <w:t>2.1.1 Sampling and acclimation of seagrasses</w:t>
      </w:r>
    </w:p>
    <w:p w14:paraId="66A5AF67" w14:textId="77777777" w:rsidR="00A206A1" w:rsidRDefault="00000000">
      <w:pPr>
        <w:pStyle w:val="FirstParagraph"/>
      </w:pPr>
      <w:r>
        <w:t xml:space="preserve">Seagrass sampled were taken from a </w:t>
      </w:r>
      <w:r>
        <w:rPr>
          <w:i/>
          <w:iCs/>
        </w:rPr>
        <w:t>Zostera noltei</w:t>
      </w:r>
      <w:r>
        <w:t xml:space="preserve"> (dwarf eelgrass) meadow on Noirmoutier Island, France (46°57’32.0”N, 2°10’37.0”W) at low tide in June 2024. A home-made metal sampling box was used to sample seagrass from an area of 30 cm by 15 cm and 5 cm deep, maintaining the sediment structure and avoiding damage to the </w:t>
      </w:r>
      <w:r>
        <w:lastRenderedPageBreak/>
        <w:t>rhizomes and the leafs of the seagrass (</w:t>
      </w:r>
      <w:hyperlink w:anchor="fig-design">
        <w:r>
          <w:rPr>
            <w:rStyle w:val="Lienhypertexte"/>
          </w:rPr>
          <w:t>Figure 1</w:t>
        </w:r>
      </w:hyperlink>
      <w:r>
        <w:t xml:space="preserve"> 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w:t>
      </w:r>
      <w:r>
        <w:rPr>
          <w:i/>
          <w:iCs/>
        </w:rPr>
        <w:t>in situ</w:t>
      </w:r>
      <w:r>
        <w:t xml:space="preserve"> temperature during sampling, and with light of 150 µmol.s-1.m-2 of PAR photons (Akbar et al., 2020). During high tide, a pump allowed the water to circulate and to re-oxygenate.</w:t>
      </w:r>
    </w:p>
    <w:tbl>
      <w:tblPr>
        <w:tblStyle w:val="Table"/>
        <w:tblW w:w="5000" w:type="pct"/>
        <w:tblLayout w:type="fixed"/>
        <w:tblLook w:val="0000" w:firstRow="0" w:lastRow="0" w:firstColumn="0" w:lastColumn="0" w:noHBand="0" w:noVBand="0"/>
      </w:tblPr>
      <w:tblGrid>
        <w:gridCol w:w="9360"/>
      </w:tblGrid>
      <w:tr w:rsidR="00A206A1" w14:paraId="6471DE4C" w14:textId="77777777">
        <w:tc>
          <w:tcPr>
            <w:tcW w:w="7920" w:type="dxa"/>
          </w:tcPr>
          <w:p w14:paraId="7D46FD86" w14:textId="77777777" w:rsidR="00A206A1" w:rsidRDefault="00000000">
            <w:pPr>
              <w:pStyle w:val="Compact"/>
              <w:jc w:val="center"/>
            </w:pPr>
            <w:bookmarkStart w:id="4" w:name="fig-design"/>
            <w:bookmarkStart w:id="5" w:name="cell-fig-design"/>
            <w:r>
              <w:rPr>
                <w:noProof/>
              </w:rPr>
              <w:lastRenderedPageBreak/>
              <w:drawing>
                <wp:inline distT="0" distB="0" distL="0" distR="0" wp14:anchorId="2CCE1ADE" wp14:editId="79E9816C">
                  <wp:extent cx="5646420" cy="5554024"/>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s/Low_res/Experimental_design.png"/>
                          <pic:cNvPicPr>
                            <a:picLocks noChangeAspect="1" noChangeArrowheads="1"/>
                          </pic:cNvPicPr>
                        </pic:nvPicPr>
                        <pic:blipFill>
                          <a:blip r:embed="rId7"/>
                          <a:stretch>
                            <a:fillRect/>
                          </a:stretch>
                        </pic:blipFill>
                        <pic:spPr bwMode="auto">
                          <a:xfrm>
                            <a:off x="0" y="0"/>
                            <a:ext cx="5646420" cy="5554024"/>
                          </a:xfrm>
                          <a:prstGeom prst="rect">
                            <a:avLst/>
                          </a:prstGeom>
                          <a:noFill/>
                          <a:ln w="9525">
                            <a:noFill/>
                            <a:headEnd/>
                            <a:tailEnd/>
                          </a:ln>
                        </pic:spPr>
                      </pic:pic>
                    </a:graphicData>
                  </a:graphic>
                </wp:inline>
              </w:drawing>
            </w:r>
          </w:p>
          <w:p w14:paraId="2778E83B" w14:textId="77777777" w:rsidR="00A206A1" w:rsidRDefault="00000000">
            <w:pPr>
              <w:pStyle w:val="ImageCaption"/>
              <w:spacing w:before="200"/>
            </w:pPr>
            <w:r>
              <w:t>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tc>
        <w:bookmarkEnd w:id="4"/>
      </w:tr>
    </w:tbl>
    <w:p w14:paraId="7F69F2A8" w14:textId="77777777" w:rsidR="00A206A1" w:rsidRDefault="00000000">
      <w:pPr>
        <w:pStyle w:val="Titre3"/>
      </w:pPr>
      <w:bookmarkStart w:id="6" w:name="experimental-design"/>
      <w:bookmarkEnd w:id="3"/>
      <w:bookmarkEnd w:id="5"/>
      <w:r>
        <w:t>2.1.2 Experimental design</w:t>
      </w:r>
    </w:p>
    <w:p w14:paraId="1E8F0A33" w14:textId="77777777" w:rsidR="00A206A1" w:rsidRDefault="00000000">
      <w:pPr>
        <w:pStyle w:val="FirstParagraph"/>
      </w:pPr>
      <w:r>
        <w:t xml:space="preserve">Two intertidal chambers from </w:t>
      </w:r>
      <w:hyperlink r:id="rId8">
        <w:r>
          <w:rPr>
            <w:rStyle w:val="Lienhypertexte"/>
          </w:rPr>
          <w:t>ElectricBlue</w:t>
        </w:r>
      </w:hyperlink>
      <w:r>
        <w:t xml:space="preserve"> were used to simulate tidal cycles and control water temperature during high tide and air temperature during low tide (</w:t>
      </w:r>
      <w:hyperlink w:anchor="fig-design">
        <w:r>
          <w:rPr>
            <w:rStyle w:val="Lienhypertexte"/>
          </w:rPr>
          <w:t>Figure 1</w:t>
        </w:r>
      </w:hyperlink>
      <w:r>
        <w:t xml:space="preserve"> B,C). Chambers were utilized in parallel with one chamber serving as the control, while the other was used for the experimental treatment.</w:t>
      </w:r>
    </w:p>
    <w:p w14:paraId="7087010B" w14:textId="77777777" w:rsidR="00A206A1" w:rsidRDefault="00000000">
      <w:pPr>
        <w:pStyle w:val="Corpsdetexte"/>
      </w:pPr>
      <w:r>
        <w:lastRenderedPageBreak/>
        <w:t xml:space="preserve">To closely replicate field temperatures experienced by seagrasses during the experiment, </w:t>
      </w:r>
      <w:r>
        <w:rPr>
          <w:i/>
          <w:iCs/>
        </w:rPr>
        <w:t>in situ</w:t>
      </w:r>
      <w:r>
        <w:t xml:space="preserve"> temperature sensors were installed at the sampling site in Bourgneuf Bay in August 2024. Daily maximum temperatures recorded by these </w:t>
      </w:r>
      <w:r>
        <w:rPr>
          <w:i/>
          <w:iCs/>
        </w:rPr>
        <w:t>in situ</w:t>
      </w:r>
      <w:r>
        <w:t xml:space="preserve"> sensors were compared to measurements from the nearest Meteo France weather station (Annexe A1, </w:t>
      </w:r>
      <w:hyperlink w:anchor="sec-AnnexeA">
        <w:r>
          <w:rPr>
            <w:rStyle w:val="Lienhypertexte"/>
          </w:rPr>
          <w:t>Section 6.1</w:t>
        </w:r>
      </w:hyperlink>
      <w:r>
        <w:t xml:space="preserve">). The control chamber was kept at temperatures representing typical seasonal conditions, with water temperatures ranging from 18°C to 19°C and air temperatures from 18°C to 23°C, following natural daily temperature fluctuations (Annexe A2, </w:t>
      </w:r>
      <w:hyperlink w:anchor="sec-AnnexeA">
        <w:r>
          <w:rPr>
            <w:rStyle w:val="Lienhypertexte"/>
          </w:rPr>
          <w:t>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 </w:t>
      </w:r>
      <w:hyperlink w:anchor="sec-AnnexeA">
        <w:r>
          <w:rPr>
            <w:rStyle w:val="Lienhypertexte"/>
          </w:rPr>
          <w:t>Section 6.1</w:t>
        </w:r>
      </w:hyperlink>
      <w:r>
        <w:t>).</w:t>
      </w:r>
    </w:p>
    <w:p w14:paraId="063FFDE2" w14:textId="77777777" w:rsidR="00A206A1" w:rsidRDefault="00000000">
      <w:pPr>
        <w:pStyle w:val="Titre3"/>
      </w:pPr>
      <w:bookmarkStart w:id="7" w:name="bio-optical-measurements"/>
      <w:bookmarkEnd w:id="6"/>
      <w:r>
        <w:t>2.1.3 Bio-optical measurements</w:t>
      </w:r>
    </w:p>
    <w:p w14:paraId="5FFB7661" w14:textId="77777777" w:rsidR="00A206A1" w:rsidRDefault="00000000">
      <w:pPr>
        <w:pStyle w:val="Titre4"/>
      </w:pPr>
      <w:bookmarkStart w:id="8" w:name="hyperspectral-measurements"/>
      <w:r>
        <w:t>2.1.3.1 Hyperspectral measurements</w:t>
      </w:r>
    </w:p>
    <w:p w14:paraId="4CF958AE" w14:textId="77777777" w:rsidR="00A206A1" w:rsidRDefault="00000000">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 </w:t>
      </w:r>
      <w:hyperlink r:id="rId9">
        <w:r>
          <w:rPr>
            <w:rStyle w:val="Lienhypertexte"/>
          </w:rPr>
          <w:t>RS3 softaware</w:t>
        </w:r>
      </w:hyperlink>
      <w:r>
        <w:t>. An average of five reflectance spectra (</w:t>
      </w:r>
      <m:oMath>
        <m:r>
          <w:rPr>
            <w:rFonts w:ascii="Cambria Math" w:hAnsi="Cambria Math"/>
          </w:rPr>
          <m:t>R</m:t>
        </m:r>
        <m:d>
          <m:dPr>
            <m:ctrlPr>
              <w:rPr>
                <w:rFonts w:ascii="Cambria Math" w:hAnsi="Cambria Math"/>
              </w:rPr>
            </m:ctrlPr>
          </m:dPr>
          <m:e>
            <m:r>
              <w:rPr>
                <w:rFonts w:ascii="Cambria Math" w:hAnsi="Cambria Math"/>
              </w:rPr>
              <m:t>λ</m:t>
            </m:r>
          </m:e>
        </m:d>
      </m:oMath>
      <w:r>
        <w:t xml:space="preserve">), each with an integration time of 544 ms, was taken every minute during daytime. Every 10 minutes, the fiber optic was switched from one benthic chamber to the other, in order to measure reflectance in both treatment and </w:t>
      </w:r>
      <w:r>
        <w:lastRenderedPageBreak/>
        <w:t>control. As light conditions were controlled inside of the chambers, reflectance calibration of the instrument was performed each morning at the very first moment of low tide using a Spectralon white reference with 99% Lambertian reflectivity.</w:t>
      </w:r>
    </w:p>
    <w:p w14:paraId="14CBE534" w14:textId="77777777" w:rsidR="00A206A1" w:rsidRDefault="00000000">
      <w:pPr>
        <w:pStyle w:val="Corpsdetexte"/>
      </w:pPr>
      <w:r>
        <w:t xml:space="preserve">The second derivative of </w:t>
      </w:r>
      <m:oMath>
        <m:r>
          <w:rPr>
            <w:rFonts w:ascii="Cambria Math" w:hAnsi="Cambria Math"/>
          </w:rPr>
          <m:t>R</m:t>
        </m:r>
        <m:d>
          <m:dPr>
            <m:ctrlPr>
              <w:rPr>
                <w:rFonts w:ascii="Cambria Math" w:hAnsi="Cambria Math"/>
              </w:rPr>
            </m:ctrlPr>
          </m:dPr>
          <m:e>
            <m:r>
              <w:rPr>
                <w:rFonts w:ascii="Cambria Math" w:hAnsi="Cambria Math"/>
              </w:rPr>
              <m:t>λ</m:t>
            </m:r>
          </m:e>
        </m:d>
      </m:oMath>
      <w:r>
        <w:t xml:space="preserve"> was calculated to retrieve absorption features and compare their variability over time.</w:t>
      </w:r>
    </w:p>
    <w:p w14:paraId="6D24B522" w14:textId="77777777" w:rsidR="00A206A1" w:rsidRDefault="00000000">
      <w:pPr>
        <w:pStyle w:val="Corpsdetexte"/>
      </w:pPr>
      <w:r>
        <w:t>Two radiometric indices were also monitored throughout the experiment :</w:t>
      </w:r>
    </w:p>
    <w:p w14:paraId="3445D0DD" w14:textId="77777777" w:rsidR="00A206A1" w:rsidRDefault="00000000">
      <w:pPr>
        <w:pStyle w:val="Compact"/>
        <w:numPr>
          <w:ilvl w:val="0"/>
          <w:numId w:val="3"/>
        </w:numPr>
      </w:pPr>
      <w:r>
        <w:t>Normalized Difference Vegetation Index (NDVI, Rouse et al. (1974)), a proxy of the concentration of chlorophyll-a (</w:t>
      </w:r>
      <w:hyperlink w:anchor="eq-ndvi">
        <w:r>
          <w:rPr>
            <w:rStyle w:val="Lienhypertexte"/>
          </w:rPr>
          <w:t>Equation 1</w:t>
        </w:r>
      </w:hyperlink>
      <w:r>
        <w:t>)</w:t>
      </w:r>
    </w:p>
    <w:p w14:paraId="756A7D55" w14:textId="77777777" w:rsidR="00A206A1" w:rsidRDefault="00000000">
      <w:pPr>
        <w:pStyle w:val="FirstParagraph"/>
      </w:pPr>
      <w:bookmarkStart w:id="9"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num>
            <m:den>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den>
          </m:f>
          <m:r>
            <w:rPr>
              <w:rFonts w:ascii="Cambria Math" w:hAnsi="Cambria Math"/>
            </w:rPr>
            <m:t>  </m:t>
          </m:r>
          <m:d>
            <m:dPr>
              <m:ctrlPr>
                <w:rPr>
                  <w:rFonts w:ascii="Cambria Math" w:hAnsi="Cambria Math"/>
                </w:rPr>
              </m:ctrlPr>
            </m:dPr>
            <m:e>
              <m:r>
                <w:rPr>
                  <w:rFonts w:ascii="Cambria Math" w:hAnsi="Cambria Math"/>
                </w:rPr>
                <m:t>1</m:t>
              </m:r>
            </m:e>
          </m:d>
        </m:oMath>
      </m:oMathPara>
      <w:bookmarkEnd w:id="9"/>
    </w:p>
    <w:p w14:paraId="115717EC" w14:textId="77777777" w:rsidR="00A206A1"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t xml:space="preserve"> are the reflectance at 840 nm and 668 nm respectively.</w:t>
      </w:r>
    </w:p>
    <w:p w14:paraId="553D7DE4" w14:textId="77777777" w:rsidR="00A206A1" w:rsidRDefault="00000000">
      <w:pPr>
        <w:pStyle w:val="Compact"/>
        <w:numPr>
          <w:ilvl w:val="0"/>
          <w:numId w:val="4"/>
        </w:numPr>
      </w:pPr>
      <w:r w:rsidRPr="00D32EE1">
        <w:rPr>
          <w:lang w:val="fr-FR"/>
        </w:rPr>
        <w:t xml:space="preserve">Green Leaf Index (GLI, Louhaichi et al. </w:t>
      </w:r>
      <w:r>
        <w:t>(2001)), a measurement of the greenness of seagrass leafs (</w:t>
      </w:r>
      <w:hyperlink w:anchor="eq-gli">
        <w:r>
          <w:rPr>
            <w:rStyle w:val="Lienhypertexte"/>
          </w:rPr>
          <w:t>Equation 2</w:t>
        </w:r>
      </w:hyperlink>
      <w:r>
        <w:t>)</w:t>
      </w:r>
    </w:p>
    <w:p w14:paraId="331386C5" w14:textId="77777777" w:rsidR="00A206A1" w:rsidRDefault="00000000">
      <w:pPr>
        <w:pStyle w:val="FirstParagraph"/>
      </w:pPr>
      <w:bookmarkStart w:id="10"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e>
              </m:d>
            </m:num>
            <m:den>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den>
          </m:f>
          <m:r>
            <w:rPr>
              <w:rFonts w:ascii="Cambria Math" w:hAnsi="Cambria Math"/>
            </w:rPr>
            <m:t>  </m:t>
          </m:r>
          <m:d>
            <m:dPr>
              <m:ctrlPr>
                <w:rPr>
                  <w:rFonts w:ascii="Cambria Math" w:hAnsi="Cambria Math"/>
                </w:rPr>
              </m:ctrlPr>
            </m:dPr>
            <m:e>
              <m:r>
                <w:rPr>
                  <w:rFonts w:ascii="Cambria Math" w:hAnsi="Cambria Math"/>
                </w:rPr>
                <m:t>2</m:t>
              </m:r>
            </m:e>
          </m:d>
        </m:oMath>
      </m:oMathPara>
      <w:bookmarkEnd w:id="10"/>
    </w:p>
    <w:p w14:paraId="0F25FF79" w14:textId="77777777" w:rsidR="00A206A1"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t xml:space="preserve"> are the reflectance in green at 550 nm and in the blue at 450 nm, respectively.</w:t>
      </w:r>
    </w:p>
    <w:p w14:paraId="3FC67882" w14:textId="77777777" w:rsidR="00A206A1" w:rsidRDefault="00000000">
      <w:pPr>
        <w:pStyle w:val="Corpsdetexte"/>
      </w:pPr>
      <w:r>
        <w:t>A remote sensing based seagrass covers estimation equation, the SPC developed by Zoffoli et al. (2020), were used to retrieve the proportion of seagrass of Sentinel-2 pixel (</w:t>
      </w:r>
      <w:hyperlink w:anchor="eq-spc">
        <w:r>
          <w:rPr>
            <w:rStyle w:val="Lienhypertexte"/>
          </w:rPr>
          <w:t>Equation 3</w:t>
        </w:r>
      </w:hyperlink>
      <w:r>
        <w:t>):</w:t>
      </w:r>
    </w:p>
    <w:p w14:paraId="3C09EBDE" w14:textId="77777777" w:rsidR="00A206A1" w:rsidRDefault="00000000">
      <w:pPr>
        <w:pStyle w:val="Corpsdetexte"/>
      </w:pPr>
      <w:bookmarkStart w:id="11" w:name="eq-spc"/>
      <m:oMathPara>
        <m:oMathParaPr>
          <m:jc m:val="center"/>
        </m:oMathParaPr>
        <m:oMath>
          <m:r>
            <w:rPr>
              <w:rFonts w:ascii="Cambria Math" w:hAnsi="Cambria Math"/>
            </w:rPr>
            <m:t>SPC</m:t>
          </m:r>
          <m:r>
            <m:rPr>
              <m:sty m:val="p"/>
            </m:rPr>
            <w:rPr>
              <w:rFonts w:ascii="Cambria Math" w:hAnsi="Cambria Math"/>
            </w:rPr>
            <m:t>=</m:t>
          </m:r>
          <m:r>
            <w:rPr>
              <w:rFonts w:ascii="Cambria Math" w:hAnsi="Cambria Math"/>
            </w:rPr>
            <m:t>172.06</m:t>
          </m:r>
          <m:r>
            <m:rPr>
              <m:sty m:val="p"/>
            </m:rPr>
            <w:rPr>
              <w:rFonts w:ascii="Cambria Math" w:hAnsi="Cambria Math"/>
            </w:rPr>
            <m:t>×</m:t>
          </m:r>
          <m:r>
            <w:rPr>
              <w:rFonts w:ascii="Cambria Math" w:hAnsi="Cambria Math"/>
            </w:rPr>
            <m:t>NDVI</m:t>
          </m:r>
          <m:r>
            <m:rPr>
              <m:sty m:val="p"/>
            </m:rPr>
            <w:rPr>
              <w:rFonts w:ascii="Cambria Math" w:hAnsi="Cambria Math"/>
            </w:rPr>
            <m:t>-</m:t>
          </m:r>
          <m:r>
            <w:rPr>
              <w:rFonts w:ascii="Cambria Math" w:hAnsi="Cambria Math"/>
            </w:rPr>
            <m:t>22.18  </m:t>
          </m:r>
          <m:d>
            <m:dPr>
              <m:ctrlPr>
                <w:rPr>
                  <w:rFonts w:ascii="Cambria Math" w:hAnsi="Cambria Math"/>
                </w:rPr>
              </m:ctrlPr>
            </m:dPr>
            <m:e>
              <m:r>
                <w:rPr>
                  <w:rFonts w:ascii="Cambria Math" w:hAnsi="Cambria Math"/>
                </w:rPr>
                <m:t>3</m:t>
              </m:r>
            </m:e>
          </m:d>
        </m:oMath>
      </m:oMathPara>
      <w:bookmarkEnd w:id="11"/>
    </w:p>
    <w:p w14:paraId="63AA78EA" w14:textId="77777777" w:rsidR="00A206A1" w:rsidRDefault="00000000">
      <w:pPr>
        <w:pStyle w:val="FirstParagraph"/>
      </w:pPr>
      <w:r>
        <w:t>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Lienhypertexte"/>
          </w:rPr>
          <w:t>Figure 5</w:t>
        </w:r>
      </w:hyperlink>
      <w:r>
        <w:t>).</w:t>
      </w:r>
    </w:p>
    <w:p w14:paraId="1DED9DF9" w14:textId="77777777" w:rsidR="00A206A1" w:rsidRDefault="00000000">
      <w:pPr>
        <w:pStyle w:val="Corpsdetexte"/>
      </w:pPr>
      <w:r>
        <w:t xml:space="preserve">The Seagrass Darkening Index (SDI) is introduced here as a measure of the difference between the interpolated value between 560 and 842 nm and the observed </w:t>
      </w:r>
      <w:r>
        <w:lastRenderedPageBreak/>
        <w:t>value at 740 nm. This approach calculates the line height using a triplet of bands, where 560 nm and 842 nm serve as the ‘baseline’ and 740 nm represents the central peak. The SDI can be mathematically expressed as:</w:t>
      </w:r>
    </w:p>
    <w:p w14:paraId="3FD221B0" w14:textId="77777777" w:rsidR="00A206A1" w:rsidRDefault="00000000">
      <w:pPr>
        <w:pStyle w:val="Corpsdetex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SDI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r>
            <m:rPr>
              <m:sty m:val="p"/>
            </m:rPr>
            <w:rPr>
              <w:rFonts w:ascii="Cambria Math" w:hAnsi="Cambria Math"/>
            </w:rPr>
            <m:t>+</m:t>
          </m:r>
          <m:f>
            <m:fPr>
              <m:ctrlPr>
                <w:rPr>
                  <w:rFonts w:ascii="Cambria Math" w:hAnsi="Cambria Math"/>
                </w:rPr>
              </m:ctrlPr>
            </m:fPr>
            <m:num>
              <m:r>
                <w:rPr>
                  <w:rFonts w:ascii="Cambria Math" w:hAnsi="Cambria Math"/>
                </w:rPr>
                <m:t>740</m:t>
              </m:r>
              <m:r>
                <m:rPr>
                  <m:sty m:val="p"/>
                </m:rPr>
                <w:rPr>
                  <w:rFonts w:ascii="Cambria Math" w:hAnsi="Cambria Math"/>
                </w:rPr>
                <m:t>-</m:t>
              </m:r>
              <m:r>
                <w:rPr>
                  <w:rFonts w:ascii="Cambria Math" w:hAnsi="Cambria Math"/>
                </w:rPr>
                <m:t>560</m:t>
              </m:r>
            </m:num>
            <m:den>
              <m:r>
                <w:rPr>
                  <w:rFonts w:ascii="Cambria Math" w:hAnsi="Cambria Math"/>
                </w:rPr>
                <m:t>842</m:t>
              </m:r>
              <m:r>
                <m:rPr>
                  <m:sty m:val="p"/>
                </m:rPr>
                <w:rPr>
                  <w:rFonts w:ascii="Cambria Math" w:hAnsi="Cambria Math"/>
                </w:rPr>
                <m:t>-</m:t>
              </m:r>
              <m:r>
                <w:rPr>
                  <w:rFonts w:ascii="Cambria Math" w:hAnsi="Cambria Math"/>
                </w:rPr>
                <m:t>560</m:t>
              </m:r>
            </m:den>
          </m:f>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e>
          </m:d>
        </m:oMath>
      </m:oMathPara>
    </w:p>
    <w:p w14:paraId="7B633AAB" w14:textId="77777777" w:rsidR="00A206A1" w:rsidRDefault="00000000">
      <w:pPr>
        <w:pStyle w:val="FirstParagraph"/>
      </w:pPr>
      <w:bookmarkStart w:id="12" w:name="eq-SDI"/>
      <m:oMathPara>
        <m:oMathParaPr>
          <m:jc m:val="center"/>
        </m:oMathParaPr>
        <m:oMath>
          <m:r>
            <m:rPr>
              <m:nor/>
            </m:rPr>
            <m:t>SDI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SDI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740</m:t>
              </m:r>
            </m:e>
          </m:d>
          <m:r>
            <w:rPr>
              <w:rFonts w:ascii="Cambria Math" w:hAnsi="Cambria Math"/>
            </w:rPr>
            <m:t>  </m:t>
          </m:r>
          <m:d>
            <m:dPr>
              <m:ctrlPr>
                <w:rPr>
                  <w:rFonts w:ascii="Cambria Math" w:hAnsi="Cambria Math"/>
                </w:rPr>
              </m:ctrlPr>
            </m:dPr>
            <m:e>
              <m:r>
                <w:rPr>
                  <w:rFonts w:ascii="Cambria Math" w:hAnsi="Cambria Math"/>
                </w:rPr>
                <m:t>4</m:t>
              </m:r>
            </m:e>
          </m:d>
        </m:oMath>
      </m:oMathPara>
      <w:bookmarkEnd w:id="12"/>
    </w:p>
    <w:p w14:paraId="28CEBB3E" w14:textId="77777777" w:rsidR="00A206A1"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t xml:space="preserve">, </w:t>
      </w:r>
      <m:oMath>
        <m:r>
          <w:rPr>
            <w:rFonts w:ascii="Cambria Math" w:hAnsi="Cambria Math"/>
          </w:rPr>
          <m:t>R</m:t>
        </m:r>
        <m:d>
          <m:dPr>
            <m:ctrlPr>
              <w:rPr>
                <w:rFonts w:ascii="Cambria Math" w:hAnsi="Cambria Math"/>
              </w:rPr>
            </m:ctrlPr>
          </m:dPr>
          <m:e>
            <m:r>
              <w:rPr>
                <w:rFonts w:ascii="Cambria Math" w:hAnsi="Cambria Math"/>
              </w:rPr>
              <m:t>740</m:t>
            </m:r>
          </m:e>
        </m:d>
      </m:oMath>
      <w:r>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t xml:space="preserve"> 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p w14:paraId="1DF1FC96" w14:textId="77777777" w:rsidR="00A206A1" w:rsidRDefault="00000000">
      <w:pPr>
        <w:pStyle w:val="Titre4"/>
      </w:pPr>
      <w:bookmarkStart w:id="13" w:name="pigment-concentration-measurements"/>
      <w:bookmarkEnd w:id="8"/>
      <w:r>
        <w:t>2.1.3.2 Pigment concentration measurements</w:t>
      </w:r>
    </w:p>
    <w:p w14:paraId="6773CFC5" w14:textId="77777777" w:rsidR="00A206A1" w:rsidRDefault="00000000">
      <w:pPr>
        <w:pStyle w:val="FirstParagraph"/>
      </w:pPr>
      <w:r>
        <w:t>To assess changes in pigment concentration, at the beginning and the end of each diurnal low tide (09:00 am and 03:00 pm) leaves were taken from both the test and the control. Leaves were stored at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14:paraId="60F6AB21" w14:textId="77777777" w:rsidR="00A206A1" w:rsidRPr="00D32EE1" w:rsidRDefault="00000000">
      <w:pPr>
        <w:pStyle w:val="Corpsdetexte"/>
        <w:rPr>
          <w:lang w:val="fr-FR"/>
        </w:rPr>
      </w:pPr>
      <w:r w:rsidRPr="00D32EE1">
        <w:rPr>
          <w:b/>
          <w:bCs/>
          <w:lang w:val="fr-FR"/>
        </w:rPr>
        <w:t>Au secours Philippe !!!</w:t>
      </w:r>
    </w:p>
    <w:p w14:paraId="721006C6" w14:textId="77777777" w:rsidR="00A206A1" w:rsidRPr="00D32EE1" w:rsidRDefault="00000000">
      <w:pPr>
        <w:pStyle w:val="Titre2"/>
        <w:rPr>
          <w:lang w:val="fr-FR"/>
        </w:rPr>
      </w:pPr>
      <w:bookmarkStart w:id="14" w:name="in-situ-seagrass-darkening."/>
      <w:bookmarkEnd w:id="2"/>
      <w:bookmarkEnd w:id="7"/>
      <w:bookmarkEnd w:id="13"/>
      <w:r w:rsidRPr="00D32EE1">
        <w:rPr>
          <w:lang w:val="fr-FR"/>
        </w:rPr>
        <w:lastRenderedPageBreak/>
        <w:t xml:space="preserve">2.2 </w:t>
      </w:r>
      <w:r w:rsidRPr="00D32EE1">
        <w:rPr>
          <w:i/>
          <w:iCs/>
          <w:lang w:val="fr-FR"/>
        </w:rPr>
        <w:t>In situ</w:t>
      </w:r>
      <w:r w:rsidRPr="00D32EE1">
        <w:rPr>
          <w:lang w:val="fr-FR"/>
        </w:rPr>
        <w:t xml:space="preserve"> seagrass darkening.</w:t>
      </w:r>
    </w:p>
    <w:p w14:paraId="6BE0C872" w14:textId="77777777" w:rsidR="00A206A1" w:rsidRDefault="00000000">
      <w:pPr>
        <w:pStyle w:val="Titre3"/>
      </w:pPr>
      <w:bookmarkStart w:id="15" w:name="field-observation"/>
      <w:r>
        <w:t>2.2.1 Field Observation</w:t>
      </w:r>
    </w:p>
    <w:tbl>
      <w:tblPr>
        <w:tblStyle w:val="Table"/>
        <w:tblW w:w="5000" w:type="pct"/>
        <w:tblLayout w:type="fixed"/>
        <w:tblLook w:val="0000" w:firstRow="0" w:lastRow="0" w:firstColumn="0" w:lastColumn="0" w:noHBand="0" w:noVBand="0"/>
      </w:tblPr>
      <w:tblGrid>
        <w:gridCol w:w="9360"/>
      </w:tblGrid>
      <w:tr w:rsidR="00A206A1" w14:paraId="61F1682C" w14:textId="77777777">
        <w:tc>
          <w:tcPr>
            <w:tcW w:w="7920" w:type="dxa"/>
          </w:tcPr>
          <w:p w14:paraId="2976BA9F" w14:textId="77777777" w:rsidR="00A206A1" w:rsidRDefault="00000000">
            <w:pPr>
              <w:pStyle w:val="Compact"/>
              <w:jc w:val="center"/>
            </w:pPr>
            <w:bookmarkStart w:id="16" w:name="fig-quiberonMap"/>
            <w:bookmarkStart w:id="17" w:name="cell-fig-quiberonMap"/>
            <w:r>
              <w:rPr>
                <w:noProof/>
              </w:rPr>
              <w:drawing>
                <wp:inline distT="0" distB="0" distL="0" distR="0" wp14:anchorId="0E171714" wp14:editId="26DD2412">
                  <wp:extent cx="5646420" cy="564642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s/Low_res/Quiberon_map.png"/>
                          <pic:cNvPicPr>
                            <a:picLocks noChangeAspect="1" noChangeArrowheads="1"/>
                          </pic:cNvPicPr>
                        </pic:nvPicPr>
                        <pic:blipFill>
                          <a:blip r:embed="rId10"/>
                          <a:stretch>
                            <a:fillRect/>
                          </a:stretch>
                        </pic:blipFill>
                        <pic:spPr bwMode="auto">
                          <a:xfrm>
                            <a:off x="0" y="0"/>
                            <a:ext cx="5646420" cy="5646420"/>
                          </a:xfrm>
                          <a:prstGeom prst="rect">
                            <a:avLst/>
                          </a:prstGeom>
                          <a:noFill/>
                          <a:ln w="9525">
                            <a:noFill/>
                            <a:headEnd/>
                            <a:tailEnd/>
                          </a:ln>
                        </pic:spPr>
                      </pic:pic>
                    </a:graphicData>
                  </a:graphic>
                </wp:inline>
              </w:drawing>
            </w:r>
          </w:p>
          <w:p w14:paraId="4AE22D51" w14:textId="77777777" w:rsidR="00A206A1" w:rsidRDefault="00000000">
            <w:pPr>
              <w:pStyle w:val="ImageCaption"/>
              <w:spacing w:before="200"/>
            </w:pPr>
            <w:r>
              <w:t>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tc>
        <w:bookmarkEnd w:id="16"/>
      </w:tr>
    </w:tbl>
    <w:bookmarkEnd w:id="17"/>
    <w:p w14:paraId="05364178" w14:textId="77777777" w:rsidR="00A206A1" w:rsidRDefault="00000000">
      <w:pPr>
        <w:pStyle w:val="Corpsdetexte"/>
      </w:pPr>
      <w:r>
        <w:t>A field campaign, aiming to map a seagrass meadow near Quiberon (France : 46°57’32.0”N, 2°10’37.0”W), occurred on the 10th of September 2021 (</w:t>
      </w:r>
      <w:hyperlink w:anchor="fig-quiberonMap">
        <w:r>
          <w:rPr>
            <w:rStyle w:val="Lienhypertexte"/>
          </w:rPr>
          <w:t>Figure 2</w:t>
        </w:r>
      </w:hyperlink>
      <w:r>
        <w:t xml:space="preserve">). During </w:t>
      </w:r>
      <w:r>
        <w:lastRenderedPageBreak/>
        <w:t>this field campaign, significant darkening of seagrass leaves was observed over large areas of the meadow alongside normal green seagrass (</w:t>
      </w:r>
      <w:hyperlink w:anchor="fig-QuiberonImg">
        <w:r>
          <w:rPr>
            <w:rStyle w:val="Lienhypertexte"/>
          </w:rPr>
          <w:t>Figure 3</w:t>
        </w:r>
      </w:hyperlink>
      <w:r>
        <w:t>).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Lienhypertexte"/>
          </w:rPr>
          <w:t>Figure 2</w:t>
        </w:r>
      </w:hyperlink>
      <w:r>
        <w:t>).</w:t>
      </w:r>
    </w:p>
    <w:tbl>
      <w:tblPr>
        <w:tblStyle w:val="Table"/>
        <w:tblW w:w="5000" w:type="pct"/>
        <w:tblLayout w:type="fixed"/>
        <w:tblLook w:val="0000" w:firstRow="0" w:lastRow="0" w:firstColumn="0" w:lastColumn="0" w:noHBand="0" w:noVBand="0"/>
      </w:tblPr>
      <w:tblGrid>
        <w:gridCol w:w="9360"/>
      </w:tblGrid>
      <w:tr w:rsidR="00A206A1" w14:paraId="2ABA2968" w14:textId="77777777">
        <w:tc>
          <w:tcPr>
            <w:tcW w:w="7920" w:type="dxa"/>
          </w:tcPr>
          <w:p w14:paraId="0D7A5823" w14:textId="77777777" w:rsidR="00A206A1" w:rsidRDefault="00000000">
            <w:pPr>
              <w:pStyle w:val="Compact"/>
              <w:jc w:val="center"/>
            </w:pPr>
            <w:bookmarkStart w:id="18" w:name="fig-QuiberonImg"/>
            <w:bookmarkStart w:id="19" w:name="cell-fig-QuiberonImg"/>
            <w:r>
              <w:rPr>
                <w:noProof/>
              </w:rPr>
              <w:drawing>
                <wp:inline distT="0" distB="0" distL="0" distR="0" wp14:anchorId="0CBD9D29" wp14:editId="6142E078">
                  <wp:extent cx="5646420" cy="373311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s/Low_res/img_Quiberon.png"/>
                          <pic:cNvPicPr>
                            <a:picLocks noChangeAspect="1" noChangeArrowheads="1"/>
                          </pic:cNvPicPr>
                        </pic:nvPicPr>
                        <pic:blipFill>
                          <a:blip r:embed="rId11"/>
                          <a:stretch>
                            <a:fillRect/>
                          </a:stretch>
                        </pic:blipFill>
                        <pic:spPr bwMode="auto">
                          <a:xfrm>
                            <a:off x="0" y="0"/>
                            <a:ext cx="5646420" cy="3733115"/>
                          </a:xfrm>
                          <a:prstGeom prst="rect">
                            <a:avLst/>
                          </a:prstGeom>
                          <a:noFill/>
                          <a:ln w="9525">
                            <a:noFill/>
                            <a:headEnd/>
                            <a:tailEnd/>
                          </a:ln>
                        </pic:spPr>
                      </pic:pic>
                    </a:graphicData>
                  </a:graphic>
                </wp:inline>
              </w:drawing>
            </w:r>
          </w:p>
          <w:p w14:paraId="2993EB64" w14:textId="77777777" w:rsidR="00A206A1" w:rsidRDefault="00000000">
            <w:pPr>
              <w:pStyle w:val="ImageCaption"/>
              <w:spacing w:before="200"/>
            </w:pPr>
            <w:r>
              <w:t>Figure 3: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tc>
        <w:bookmarkEnd w:id="18"/>
      </w:tr>
    </w:tbl>
    <w:p w14:paraId="42D33899" w14:textId="77777777" w:rsidR="00A206A1" w:rsidRDefault="00000000">
      <w:pPr>
        <w:pStyle w:val="Titre3"/>
      </w:pPr>
      <w:bookmarkStart w:id="20" w:name="Xf8a39f1f3d5cbc00f14159fcb612e83e416b551"/>
      <w:bookmarkEnd w:id="15"/>
      <w:bookmarkEnd w:id="19"/>
      <w:r>
        <w:t>2.2.2 Temperature Data and identification of heatwaves</w:t>
      </w:r>
    </w:p>
    <w:p w14:paraId="3C2F19CD" w14:textId="77777777" w:rsidR="00A206A1" w:rsidRDefault="00000000">
      <w:pPr>
        <w:pStyle w:val="Titre4"/>
      </w:pPr>
      <w:bookmarkStart w:id="21" w:name="air-temperature"/>
      <w:r>
        <w:t>2.2.2.1 Air temperature</w:t>
      </w:r>
    </w:p>
    <w:p w14:paraId="75FDAD9A" w14:textId="77777777" w:rsidR="00A206A1" w:rsidRDefault="00000000">
      <w:pPr>
        <w:pStyle w:val="FirstParagraph"/>
      </w:pPr>
      <w:r>
        <w:t xml:space="preserve">Since January 1, 2024, Meteo France weather data has been freely and openly accessible. Hourly air temperature data (°C) was retrieved using a </w:t>
      </w:r>
      <w:hyperlink r:id="rId12">
        <w:r>
          <w:rPr>
            <w:rStyle w:val="Lienhypertexte"/>
          </w:rPr>
          <w:t>custom script</w:t>
        </w:r>
      </w:hyperlink>
      <w:r>
        <w:t xml:space="preserve"> as no API was </w:t>
      </w:r>
      <w:r>
        <w:lastRenderedPageBreak/>
        <w:t>available at the time of this study. Data form the nearest weather station of our study site (Lorient-Lann Bihoue, 47°45’46”N 3°26’11”W) were downloaded. For this station more than 395000 observation since the 1st of February 1952 were available.</w:t>
      </w:r>
    </w:p>
    <w:p w14:paraId="1FF9EEE0" w14:textId="77777777" w:rsidR="00A206A1" w:rsidRDefault="00000000">
      <w:pPr>
        <w:pStyle w:val="Corpsdetexte"/>
      </w:pPr>
      <w:r>
        <w:t>Heatwave detection was performed using the HeatwaveR package in R (Schlegel and Smit, 2018). This package utilizes the methodology proposed by Hobday et al. (2016) 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 Hobday et al. (2018).</w:t>
      </w:r>
    </w:p>
    <w:p w14:paraId="524DB9A7" w14:textId="77777777" w:rsidR="00A206A1" w:rsidRDefault="00000000">
      <w:pPr>
        <w:pStyle w:val="Titre4"/>
      </w:pPr>
      <w:bookmarkStart w:id="22" w:name="water-temperature"/>
      <w:bookmarkEnd w:id="21"/>
      <w:r>
        <w:t>2.2.2.2 Water temperature</w:t>
      </w:r>
    </w:p>
    <w:p w14:paraId="0AD810F1" w14:textId="77777777" w:rsidR="00A206A1" w:rsidRDefault="00000000">
      <w:pPr>
        <w:pStyle w:val="FirstParagraph"/>
      </w:pPr>
      <w:r>
        <w:t>SST data from the Copernicus CMEMS platform were downloaded for the French coast near Quiberon (47°29′03″N, 3°07′09″W), covering 1982-2022 (CMEMS, 2024).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 (Schlegel and Smit, 2018) was used to compute SST climatology and detect SST events using the same method as air temperature event detection.</w:t>
      </w:r>
    </w:p>
    <w:p w14:paraId="1E0E95CA" w14:textId="77777777" w:rsidR="00A206A1" w:rsidRDefault="00000000">
      <w:pPr>
        <w:pStyle w:val="Titre3"/>
      </w:pPr>
      <w:bookmarkStart w:id="23" w:name="satellite-observation"/>
      <w:bookmarkEnd w:id="20"/>
      <w:bookmarkEnd w:id="22"/>
      <w:r>
        <w:t>2.2.3 Satellite Observation</w:t>
      </w:r>
    </w:p>
    <w:p w14:paraId="30952E9D" w14:textId="77777777" w:rsidR="00A206A1" w:rsidRDefault="00000000">
      <w:pPr>
        <w:pStyle w:val="FirstParagraph"/>
      </w:pPr>
      <w:r>
        <w:t>Two Sentinel-2 images covering the field campaign site (</w:t>
      </w:r>
      <w:hyperlink w:anchor="fig-quiberonMap">
        <w:r>
          <w:rPr>
            <w:rStyle w:val="Lienhypertexte"/>
          </w:rPr>
          <w:t>Figure 2</w:t>
        </w:r>
      </w:hyperlink>
      <w:r>
        <w:t>) were downloaded from the Copernicus platform (European Space Agency, 2024a). The first image was taken before the heatwave event on September 1, 2021, and the second image after the event on September 6, 2021. Both images were acquired as Level-2 product, in surface reflectance, and were orthorectified and atmospherically corrected to account for the effects of the atmosphere on reflectance values (European Space Agency, 2024b).</w:t>
      </w:r>
    </w:p>
    <w:p w14:paraId="662A1AC5" w14:textId="77777777" w:rsidR="00A206A1" w:rsidRDefault="00000000">
      <w:pPr>
        <w:pStyle w:val="Corpsdetexte"/>
      </w:pPr>
      <w:r>
        <w:lastRenderedPageBreak/>
        <w:t>Reflectance value forf each QPs (</w:t>
      </w:r>
      <w:hyperlink w:anchor="fig-quiberonMap">
        <w:r>
          <w:rPr>
            <w:rStyle w:val="Lienhypertexte"/>
          </w:rPr>
          <w:t>Figure 2</w:t>
        </w:r>
      </w:hyperlink>
      <w:r>
        <w:t>) were extracted and compared before and after the heatwave event.</w:t>
      </w:r>
    </w:p>
    <w:p w14:paraId="7851DA52" w14:textId="77777777" w:rsidR="00A206A1" w:rsidRDefault="00000000">
      <w:pPr>
        <w:pStyle w:val="Titre3"/>
      </w:pPr>
      <w:bookmarkStart w:id="24" w:name="emersion-time-of-seagrasses"/>
      <w:bookmarkEnd w:id="23"/>
      <w:r>
        <w:t>2.2.4 Emersion Time of Seagrasses</w:t>
      </w:r>
    </w:p>
    <w:p w14:paraId="7731650F" w14:textId="77777777" w:rsidR="00A206A1" w:rsidRDefault="00000000">
      <w:pPr>
        <w:pStyle w:val="FirstParagraph"/>
      </w:pPr>
      <w:r>
        <w:t>To estimate the emersion time of seagrasses during low tide, bathymetric and tidal data were used. Bathymetry data for the Quiberon intertidal meadow were sourced from the “Service Hydrographique et Océanographique de la Marine” (SHOM, 2021). It corresponds to the Litto3D® product, which is a three-dimensional land-sea elevation database, accurately depicting the coastal terrain along certain regions of the French shores. It uses the NGF/IGN69 reference “zero”, which corresponds to the mean sea level recorded at the Marseille tide gauge between 1885 and 1897, commonly known as the “Terrestrial Altimetric Zero”.</w:t>
      </w:r>
    </w:p>
    <w:p w14:paraId="3CFEF898" w14:textId="77777777" w:rsidR="00A206A1" w:rsidRDefault="00000000">
      <w:pPr>
        <w:pStyle w:val="Corpsdetexte"/>
      </w:pPr>
      <w:r>
        <w:t>Tidal data during the heatwave event were downloaded from the Intergovernmental Oceanographic Commission data portal (IOC, 2024), using measurements from the nearest tide gauge at Le Crouesty. In this dataset, the reference “zero” corresponds to the lowest astronomical tide, also known as the Hydrographic Zero.</w:t>
      </w:r>
    </w:p>
    <w:p w14:paraId="1C93BAB5" w14:textId="77777777" w:rsidR="00A206A1" w:rsidRDefault="00000000">
      <w:pPr>
        <w:pStyle w:val="Corpsdetexte"/>
      </w:pPr>
      <w:r>
        <w:t>Before calculating the emersion time, both datasets were intercalibrated to a common altitude reference. This involved applying a correction factor to the Litto3D data to align it with the Hydrographic zero. SHOM annually publishes a document called “Références Altimétriques Marines” (RAM, Shom, 2022), which provides these correction factors for each seaport along the French coastline. For Le Crouesty port data from 2022, the correction factor was 2.85 m.</w:t>
      </w:r>
    </w:p>
    <w:p w14:paraId="6A6E8346" w14:textId="77777777" w:rsidR="00A206A1" w:rsidRDefault="00000000">
      <w:pPr>
        <w:pStyle w:val="Corpsdetexte"/>
      </w:pPr>
      <w:r>
        <w:t>Once aligned, the corrected elevation was compared to water height for each pixel and each time step during the heatwave event. The emersion time was then calculated as the daily total time each pixel remained exposed.</w:t>
      </w:r>
    </w:p>
    <w:p w14:paraId="2CAF063F" w14:textId="77777777" w:rsidR="00A206A1" w:rsidRDefault="00000000">
      <w:pPr>
        <w:pStyle w:val="Titre1"/>
      </w:pPr>
      <w:bookmarkStart w:id="25" w:name="results"/>
      <w:bookmarkEnd w:id="1"/>
      <w:bookmarkEnd w:id="14"/>
      <w:bookmarkEnd w:id="24"/>
      <w:r>
        <w:lastRenderedPageBreak/>
        <w:t>3. Results</w:t>
      </w:r>
    </w:p>
    <w:p w14:paraId="518F755A" w14:textId="77777777" w:rsidR="00A206A1" w:rsidRDefault="00000000">
      <w:pPr>
        <w:pStyle w:val="Titre2"/>
      </w:pPr>
      <w:bookmarkStart w:id="26" w:name="laboratory-experiment-1"/>
      <w:r>
        <w:t>3.1 Laboratory Experiment</w:t>
      </w:r>
    </w:p>
    <w:p w14:paraId="0795EF11" w14:textId="77777777" w:rsidR="00A206A1" w:rsidRDefault="00000000">
      <w:pPr>
        <w:pStyle w:val="Titre3"/>
      </w:pPr>
      <w:bookmarkStart w:id="27" w:name="spectral-inspection"/>
      <w:r>
        <w:t>3.1.1 Spectral inspection</w:t>
      </w:r>
    </w:p>
    <w:p w14:paraId="1E010BD6" w14:textId="77777777" w:rsidR="00A206A1" w:rsidRDefault="00000000">
      <w:pPr>
        <w:pStyle w:val="FirstParagraph"/>
      </w:pPr>
      <w:r>
        <w:t>In the Control group, reflectance remained relatively stable over time, with only minimal changes in magnitude and spectral features (</w:t>
      </w:r>
      <w:hyperlink w:anchor="fig-Exp_Spectra">
        <w:r>
          <w:rPr>
            <w:rStyle w:val="Lienhypertexte"/>
          </w:rPr>
          <w:t>Figure 4</w:t>
        </w:r>
      </w:hyperlink>
      <w:r>
        <w:t>).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Lienhypertexte"/>
          </w:rPr>
          <w:t>Figure 4</w:t>
        </w:r>
      </w:hyperlink>
      <w:r>
        <w:t>, left).</w:t>
      </w:r>
    </w:p>
    <w:p w14:paraId="292FCE1C" w14:textId="77777777" w:rsidR="00A206A1" w:rsidRDefault="00000000">
      <w:pPr>
        <w:pStyle w:val="Corpsdetexte"/>
      </w:pPr>
      <w:r>
        <w:t>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Additionally, a slight increase in reflectance at 665 nm between day 2 and day 3 was observed, possibly associated with a reduction in chlorophyll-a concentration (</w:t>
      </w:r>
      <w:hyperlink w:anchor="fig-Exp_Spectra">
        <w:r>
          <w:rPr>
            <w:rStyle w:val="Lienhypertexte"/>
          </w:rPr>
          <w:t>Figure 4</w:t>
        </w:r>
      </w:hyperlink>
      <w:r>
        <w:t>, right).</w:t>
      </w:r>
    </w:p>
    <w:tbl>
      <w:tblPr>
        <w:tblStyle w:val="Table"/>
        <w:tblW w:w="5000" w:type="pct"/>
        <w:tblLayout w:type="fixed"/>
        <w:tblLook w:val="0000" w:firstRow="0" w:lastRow="0" w:firstColumn="0" w:lastColumn="0" w:noHBand="0" w:noVBand="0"/>
      </w:tblPr>
      <w:tblGrid>
        <w:gridCol w:w="9360"/>
      </w:tblGrid>
      <w:tr w:rsidR="00A206A1" w14:paraId="02E92B77" w14:textId="77777777">
        <w:tc>
          <w:tcPr>
            <w:tcW w:w="7920" w:type="dxa"/>
          </w:tcPr>
          <w:p w14:paraId="2A02D8F2" w14:textId="77777777" w:rsidR="00A206A1" w:rsidRDefault="00000000">
            <w:pPr>
              <w:pStyle w:val="Compact"/>
              <w:jc w:val="center"/>
            </w:pPr>
            <w:bookmarkStart w:id="28" w:name="fig-Exp_Spectra"/>
            <w:bookmarkStart w:id="29" w:name="cell-fig-Exp_Spectra"/>
            <w:r>
              <w:rPr>
                <w:noProof/>
              </w:rPr>
              <w:lastRenderedPageBreak/>
              <w:drawing>
                <wp:inline distT="0" distB="0" distL="0" distR="0" wp14:anchorId="5DAA4CBC" wp14:editId="694EACC6">
                  <wp:extent cx="5646420" cy="282321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s/Low_res/plot_Spectra_exp.png"/>
                          <pic:cNvPicPr>
                            <a:picLocks noChangeAspect="1" noChangeArrowheads="1"/>
                          </pic:cNvPicPr>
                        </pic:nvPicPr>
                        <pic:blipFill>
                          <a:blip r:embed="rId13"/>
                          <a:stretch>
                            <a:fillRect/>
                          </a:stretch>
                        </pic:blipFill>
                        <pic:spPr bwMode="auto">
                          <a:xfrm>
                            <a:off x="0" y="0"/>
                            <a:ext cx="5646420" cy="2823210"/>
                          </a:xfrm>
                          <a:prstGeom prst="rect">
                            <a:avLst/>
                          </a:prstGeom>
                          <a:noFill/>
                          <a:ln w="9525">
                            <a:noFill/>
                            <a:headEnd/>
                            <a:tailEnd/>
                          </a:ln>
                        </pic:spPr>
                      </pic:pic>
                    </a:graphicData>
                  </a:graphic>
                </wp:inline>
              </w:drawing>
            </w:r>
          </w:p>
          <w:p w14:paraId="4A498E69" w14:textId="77777777" w:rsidR="00A206A1" w:rsidRDefault="00000000">
            <w:pPr>
              <w:pStyle w:val="ImageCaption"/>
              <w:spacing w:before="200"/>
            </w:pPr>
            <w:r>
              <w:t>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tc>
        <w:bookmarkEnd w:id="28"/>
      </w:tr>
    </w:tbl>
    <w:p w14:paraId="46351520" w14:textId="77777777" w:rsidR="00A206A1" w:rsidRDefault="00000000">
      <w:pPr>
        <w:pStyle w:val="Titre3"/>
      </w:pPr>
      <w:bookmarkStart w:id="30" w:name="evolution-of-spectral-metrics"/>
      <w:bookmarkEnd w:id="27"/>
      <w:bookmarkEnd w:id="29"/>
      <w:r>
        <w:t>3.1.2 Evolution of spectral metrics</w:t>
      </w:r>
    </w:p>
    <w:p w14:paraId="7D783C7F" w14:textId="77777777" w:rsidR="00A206A1" w:rsidRDefault="00000000">
      <w:pPr>
        <w:pStyle w:val="FirstParagraph"/>
      </w:pPr>
      <w:hyperlink w:anchor="fig-Exp_Spectral_indices">
        <w:r>
          <w:rPr>
            <w:rStyle w:val="Lienhypertexte"/>
          </w:rPr>
          <w:t>Figure 5</w:t>
        </w:r>
      </w:hyperlink>
      <w:r>
        <w:t xml:space="preserve"> -A shows the average difference of the second derivative (</w:t>
      </w:r>
      <m:oMath>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λ</m:t>
            </m:r>
          </m:e>
        </m:d>
      </m:oMath>
      <w:r>
        <w:t xml:space="preserve">) of hyperspectral signature between the Control and the Treatment group at day 3. The maximum difference of </w:t>
      </w:r>
      <m:oMath>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λ</m:t>
            </m:r>
          </m:e>
        </m:d>
      </m:oMath>
      <w:r>
        <w:t xml:space="preserve"> has been observed at 665 nm, position of absorption of chlorophyll-a, where the control were </w:t>
      </w:r>
      <m:oMath>
        <m:r>
          <w:rPr>
            <w:rFonts w:ascii="Cambria Math" w:hAnsi="Cambria Math"/>
          </w:rPr>
          <m:t>0.95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higher then the treatment groups.</w:t>
      </w:r>
    </w:p>
    <w:p w14:paraId="08B5DD1C" w14:textId="77777777" w:rsidR="00A206A1" w:rsidRDefault="00000000">
      <w:pPr>
        <w:pStyle w:val="Corpsdetexte"/>
      </w:pPr>
      <w:r>
        <w:t>Monitoring the second derivative at 665 nm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indicated that, at the start of the experiment (day 1)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for the Treatment group was on average 13 higher than that of the Control. However, by day 2,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for the Treatment showed a rapid decrease of approximately -27 %, eventually reaching a total decline of -68 % by day 3 (</w:t>
      </w:r>
      <w:hyperlink w:anchor="fig-Exp_Spectral_indices">
        <w:r>
          <w:rPr>
            <w:rStyle w:val="Lienhypertexte"/>
          </w:rPr>
          <w:t>Figure 5</w:t>
        </w:r>
      </w:hyperlink>
      <w:r>
        <w:t xml:space="preserve"> B)</w:t>
      </w:r>
    </w:p>
    <w:p w14:paraId="43F03025" w14:textId="77777777" w:rsidR="00A206A1" w:rsidRDefault="00000000">
      <w:pPr>
        <w:pStyle w:val="Corpsdetexte"/>
      </w:pPr>
      <w:r>
        <w:t xml:space="preserve">Monitoring the Normalized Difference Vegetation Index (NDVI) revealed that, at the beginning of the experiment (day 1), the NDVI for the Treatment group was on average 3 % lower than that of the Control. By day 2, the NDVI for the Treatment </w:t>
      </w:r>
      <w:r>
        <w:lastRenderedPageBreak/>
        <w:t>exhibited a rapid decline of approximately -17 %, eventually reaching a cumulative decrease of -31 % by day 3 (</w:t>
      </w:r>
      <w:hyperlink w:anchor="fig-Exp_Spectral_indices">
        <w:r>
          <w:rPr>
            <w:rStyle w:val="Lienhypertexte"/>
          </w:rPr>
          <w:t>Figure 5</w:t>
        </w:r>
      </w:hyperlink>
      <w:r>
        <w:t xml:space="preserve"> C).</w:t>
      </w:r>
    </w:p>
    <w:p w14:paraId="7073E563" w14:textId="77777777" w:rsidR="00A206A1" w:rsidRDefault="00000000">
      <w:pPr>
        <w:pStyle w:val="Corpsdetexte"/>
      </w:pPr>
      <w:r>
        <w:t>Monitoring the Green Leaf Index (GLI) showed that, at the start of the experiment (day 1), the GLI for the Treatment group was, on average, -2 % higher than that of the Control. However, by day 2, the GLI for the Treatment exhibited a rapid decrease of approximately -28 %, ultimately reaching a cumulative reduction of -54 % by day 3 (</w:t>
      </w:r>
      <w:hyperlink w:anchor="fig-Exp_Spectral_indices">
        <w:r>
          <w:rPr>
            <w:rStyle w:val="Lienhypertexte"/>
          </w:rPr>
          <w:t>Figure 5</w:t>
        </w:r>
      </w:hyperlink>
      <w:r>
        <w:t xml:space="preserve"> D).</w:t>
      </w:r>
    </w:p>
    <w:p w14:paraId="29340106" w14:textId="77777777" w:rsidR="00A206A1" w:rsidRDefault="00000000">
      <w:pPr>
        <w:pStyle w:val="Corpsdetexte"/>
      </w:pPr>
      <w:r>
        <w:t>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w:t>
      </w:r>
      <w:hyperlink w:anchor="fig-Exp_Spectral_indices">
        <w:r>
          <w:rPr>
            <w:rStyle w:val="Lienhypertexte"/>
          </w:rPr>
          <w:t>Figure 5</w:t>
        </w:r>
      </w:hyperlink>
      <w:r>
        <w:t xml:space="preserve"> E).</w:t>
      </w:r>
    </w:p>
    <w:tbl>
      <w:tblPr>
        <w:tblStyle w:val="Table"/>
        <w:tblW w:w="5000" w:type="pct"/>
        <w:tblLayout w:type="fixed"/>
        <w:tblLook w:val="0000" w:firstRow="0" w:lastRow="0" w:firstColumn="0" w:lastColumn="0" w:noHBand="0" w:noVBand="0"/>
      </w:tblPr>
      <w:tblGrid>
        <w:gridCol w:w="9360"/>
      </w:tblGrid>
      <w:tr w:rsidR="00A206A1" w14:paraId="1610B0B5" w14:textId="77777777">
        <w:tc>
          <w:tcPr>
            <w:tcW w:w="7920" w:type="dxa"/>
          </w:tcPr>
          <w:p w14:paraId="4B1818F9" w14:textId="77777777" w:rsidR="00A206A1" w:rsidRDefault="00000000">
            <w:pPr>
              <w:pStyle w:val="Compact"/>
              <w:jc w:val="center"/>
            </w:pPr>
            <w:bookmarkStart w:id="31" w:name="fig-Exp_Spectral_indices"/>
            <w:bookmarkStart w:id="32" w:name="cell-fig-Exp_Spectral_indices"/>
            <w:r>
              <w:rPr>
                <w:noProof/>
              </w:rPr>
              <w:lastRenderedPageBreak/>
              <w:drawing>
                <wp:inline distT="0" distB="0" distL="0" distR="0" wp14:anchorId="0A471807" wp14:editId="64716DD4">
                  <wp:extent cx="5646420" cy="6970888"/>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s/Low_res/merged_indices.png"/>
                          <pic:cNvPicPr>
                            <a:picLocks noChangeAspect="1" noChangeArrowheads="1"/>
                          </pic:cNvPicPr>
                        </pic:nvPicPr>
                        <pic:blipFill>
                          <a:blip r:embed="rId14"/>
                          <a:stretch>
                            <a:fillRect/>
                          </a:stretch>
                        </pic:blipFill>
                        <pic:spPr bwMode="auto">
                          <a:xfrm>
                            <a:off x="0" y="0"/>
                            <a:ext cx="5646420" cy="6970888"/>
                          </a:xfrm>
                          <a:prstGeom prst="rect">
                            <a:avLst/>
                          </a:prstGeom>
                          <a:noFill/>
                          <a:ln w="9525">
                            <a:noFill/>
                            <a:headEnd/>
                            <a:tailEnd/>
                          </a:ln>
                        </pic:spPr>
                      </pic:pic>
                    </a:graphicData>
                  </a:graphic>
                </wp:inline>
              </w:drawing>
            </w:r>
          </w:p>
          <w:p w14:paraId="7682E178" w14:textId="77777777" w:rsidR="00A206A1" w:rsidRDefault="00000000">
            <w:pPr>
              <w:pStyle w:val="ImageCaption"/>
              <w:spacing w:before="200"/>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w:t>
            </w:r>
            <w:r>
              <w:lastRenderedPageBreak/>
              <w:t>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tc>
        <w:bookmarkEnd w:id="31"/>
      </w:tr>
    </w:tbl>
    <w:bookmarkEnd w:id="32"/>
    <w:p w14:paraId="1957C9D3" w14:textId="77777777" w:rsidR="00A206A1" w:rsidRDefault="00000000">
      <w:pPr>
        <w:pStyle w:val="Corpsdetexte"/>
      </w:pPr>
      <w:r>
        <w:lastRenderedPageBreak/>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 </w:t>
      </w:r>
      <w:hyperlink w:anchor="sec-AnnexeB">
        <w:r>
          <w:rPr>
            <w:rStyle w:val="Lienhypertexte"/>
          </w:rPr>
          <w:t>Section 6.2</w:t>
        </w:r>
      </w:hyperlink>
      <w:r>
        <w:t>).</w:t>
      </w:r>
    </w:p>
    <w:p w14:paraId="57E674B9" w14:textId="77777777" w:rsidR="00A206A1" w:rsidRDefault="00000000">
      <w:pPr>
        <w:pStyle w:val="Titre3"/>
      </w:pPr>
      <w:bookmarkStart w:id="33" w:name="X03f1f92316c3f266276e7acc4c55e66c6a0add8"/>
      <w:bookmarkEnd w:id="30"/>
      <w:r>
        <w:t>3.1.3 Pigment composition evolution along the experiment</w:t>
      </w:r>
    </w:p>
    <w:p w14:paraId="3F18CB94" w14:textId="77777777" w:rsidR="00A206A1" w:rsidRPr="00D32EE1" w:rsidRDefault="00000000">
      <w:pPr>
        <w:pStyle w:val="FirstParagraph"/>
        <w:rPr>
          <w:lang w:val="es-ES"/>
        </w:rPr>
      </w:pPr>
      <w:r w:rsidRPr="00D32EE1">
        <w:rPr>
          <w:lang w:val="es-ES"/>
        </w:rPr>
        <w:t>bla bla bla bla</w:t>
      </w:r>
    </w:p>
    <w:p w14:paraId="3546B599" w14:textId="77777777" w:rsidR="00A206A1" w:rsidRPr="00D32EE1" w:rsidRDefault="00000000">
      <w:pPr>
        <w:pStyle w:val="Titre2"/>
        <w:rPr>
          <w:lang w:val="es-ES"/>
        </w:rPr>
      </w:pPr>
      <w:bookmarkStart w:id="34" w:name="heatwaves-of-quiberon"/>
      <w:bookmarkEnd w:id="26"/>
      <w:bookmarkEnd w:id="33"/>
      <w:r w:rsidRPr="00D32EE1">
        <w:rPr>
          <w:lang w:val="es-ES"/>
        </w:rPr>
        <w:t>3.2 Heatwaves of Quiberon</w:t>
      </w:r>
    </w:p>
    <w:p w14:paraId="74B17756" w14:textId="77777777" w:rsidR="00A206A1" w:rsidRDefault="00000000">
      <w:pPr>
        <w:pStyle w:val="Titre3"/>
      </w:pPr>
      <w:bookmarkStart w:id="35" w:name="spectral-inspection-1"/>
      <w:r>
        <w:t>3.2.1 Spectral inspection</w:t>
      </w:r>
    </w:p>
    <w:p w14:paraId="573C0664" w14:textId="77777777" w:rsidR="00A206A1" w:rsidRDefault="00000000">
      <w:pPr>
        <w:pStyle w:val="FirstParagraph"/>
      </w:pPr>
      <w:r>
        <w:t>The Sentinel-2 images used in this study are dated from the 1st of September 2021 and the 6th of September 2021 (</w:t>
      </w:r>
      <w:hyperlink w:anchor="fig-S2_comparison">
        <w:r>
          <w:rPr>
            <w:rStyle w:val="Lienhypertexte"/>
          </w:rPr>
          <w:t>Figure 6</w:t>
        </w:r>
      </w:hyperlink>
      <w:r>
        <w:t xml:space="preserve"> A and C, respectively). The Atmospheric Heat Wave (AHW) started on 4 September and lasted until 7 September, while the Marine Heat Wave (MHW) started on 3 September and ended on 8 September 2021 (</w:t>
      </w:r>
      <w:hyperlink w:anchor="fig-S2_comparison">
        <w:r>
          <w:rPr>
            <w:rStyle w:val="Lienhypertexte"/>
          </w:rPr>
          <w:t>Figure 6</w:t>
        </w:r>
      </w:hyperlink>
      <w:r>
        <w:t xml:space="preserve"> 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Lienhypertexte"/>
          </w:rPr>
          <w:t>Figure 6</w:t>
        </w:r>
      </w:hyperlink>
      <w:r>
        <w:t xml:space="preserve"> C). Before the event, all QPs appeared green on the images, with similar reflectance spectra, regardless of the class attributed to the QPs on the field (</w:t>
      </w:r>
      <w:hyperlink w:anchor="fig-S2_comparison">
        <w:r>
          <w:rPr>
            <w:rStyle w:val="Lienhypertexte"/>
          </w:rPr>
          <w:t>Figure 6</w:t>
        </w:r>
      </w:hyperlink>
      <w:r>
        <w:t xml:space="preserve"> A and D left). Their reflectance spectra showed a peak at 560 nm (in the green part of the spectra), low values at 665 nm, corresponding to the strong </w:t>
      </w:r>
      <w:r>
        <w:lastRenderedPageBreak/>
        <w:t>absorption by chlorophyll-a and a high infrared plateau (&gt; 705 nm). However, QPs classified as impacted during the field campaign, showed significant differences in reflectance spectral shape compared to QPs classified as unimpacted on the 10th of September, with corresponding differences in the true color composition (</w:t>
      </w:r>
      <w:hyperlink w:anchor="fig-S2_comparison">
        <w:r>
          <w:rPr>
            <w:rStyle w:val="Lienhypertexte"/>
          </w:rPr>
          <w:t>Figure 6</w:t>
        </w:r>
      </w:hyperlink>
      <w:r>
        <w:t xml:space="preserve"> C and D right). The reflectance spectra over dark seagrass were characterized by the loss of the reflectance peak at 560 nm and a decrease in the infrared plateau, which was observed as a steady increasing slope up to 940 nm.</w:t>
      </w:r>
    </w:p>
    <w:tbl>
      <w:tblPr>
        <w:tblStyle w:val="Table"/>
        <w:tblW w:w="5000" w:type="pct"/>
        <w:tblLayout w:type="fixed"/>
        <w:tblLook w:val="0000" w:firstRow="0" w:lastRow="0" w:firstColumn="0" w:lastColumn="0" w:noHBand="0" w:noVBand="0"/>
      </w:tblPr>
      <w:tblGrid>
        <w:gridCol w:w="9360"/>
      </w:tblGrid>
      <w:tr w:rsidR="00A206A1" w14:paraId="2BF52686" w14:textId="77777777">
        <w:tc>
          <w:tcPr>
            <w:tcW w:w="7920" w:type="dxa"/>
          </w:tcPr>
          <w:p w14:paraId="34CE16C0" w14:textId="77777777" w:rsidR="00A206A1" w:rsidRDefault="00000000">
            <w:pPr>
              <w:pStyle w:val="Compact"/>
              <w:jc w:val="center"/>
            </w:pPr>
            <w:bookmarkStart w:id="36" w:name="fig-S2_comparison"/>
            <w:bookmarkStart w:id="37" w:name="cell-fig-S2_comparison"/>
            <w:r>
              <w:rPr>
                <w:noProof/>
              </w:rPr>
              <w:drawing>
                <wp:inline distT="0" distB="0" distL="0" distR="0" wp14:anchorId="6E8F3B13" wp14:editId="07DA38AC">
                  <wp:extent cx="5646420" cy="539233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s/Low_res/Heatwaves_S2_plot.png"/>
                          <pic:cNvPicPr>
                            <a:picLocks noChangeAspect="1" noChangeArrowheads="1"/>
                          </pic:cNvPicPr>
                        </pic:nvPicPr>
                        <pic:blipFill>
                          <a:blip r:embed="rId15"/>
                          <a:stretch>
                            <a:fillRect/>
                          </a:stretch>
                        </pic:blipFill>
                        <pic:spPr bwMode="auto">
                          <a:xfrm>
                            <a:off x="0" y="0"/>
                            <a:ext cx="5646420" cy="5392331"/>
                          </a:xfrm>
                          <a:prstGeom prst="rect">
                            <a:avLst/>
                          </a:prstGeom>
                          <a:noFill/>
                          <a:ln w="9525">
                            <a:noFill/>
                            <a:headEnd/>
                            <a:tailEnd/>
                          </a:ln>
                        </pic:spPr>
                      </pic:pic>
                    </a:graphicData>
                  </a:graphic>
                </wp:inline>
              </w:drawing>
            </w:r>
          </w:p>
          <w:p w14:paraId="614B9738" w14:textId="77777777" w:rsidR="00A206A1" w:rsidRDefault="00000000">
            <w:pPr>
              <w:pStyle w:val="ImageCaption"/>
              <w:spacing w:before="200"/>
            </w:pPr>
            <w:r>
              <w:t xml:space="preserve">Figure 6: Spectral Comparison of Sentinel-2 Reflectance (D) of Quadrats Points (QPs) Before (A) and During (C) Heatwave Events (B); A: RGB color composition of the Sentinel-2 image </w:t>
            </w:r>
            <w:r>
              <w:lastRenderedPageBreak/>
              <w:t>on the 1st of September 2021. The points correspond to GCPs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GCPs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tc>
        <w:bookmarkEnd w:id="36"/>
      </w:tr>
    </w:tbl>
    <w:p w14:paraId="76D39AB9" w14:textId="77777777" w:rsidR="00A206A1" w:rsidRDefault="00000000">
      <w:pPr>
        <w:pStyle w:val="Titre3"/>
      </w:pPr>
      <w:bookmarkStart w:id="38" w:name="sentinel-2-derived-metrics-comparison"/>
      <w:bookmarkEnd w:id="35"/>
      <w:bookmarkEnd w:id="37"/>
      <w:r>
        <w:lastRenderedPageBreak/>
        <w:t>3.2.2 Sentinel-2 derived metrics comparison</w:t>
      </w:r>
    </w:p>
    <w:p w14:paraId="2EE3A651" w14:textId="77777777" w:rsidR="00A206A1" w:rsidRDefault="00000000">
      <w:pPr>
        <w:pStyle w:val="FirstParagraph"/>
      </w:pPr>
      <w:r>
        <w:t>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Lienhypertexte"/>
          </w:rPr>
          <w:t>Figure 7</w:t>
        </w:r>
      </w:hyperlink>
      <w:r>
        <w:t>).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Lienhypertexte"/>
          </w:rPr>
          <w:t>Figure 3</w:t>
        </w:r>
      </w:hyperlink>
      <w:r>
        <w:t>). The GLI drops of about -85 % at the 6th of September. The SDI were the most sensitive metric to the darkening of seagrasses, showing an increase of 97 % during heatwave exposure (</w:t>
      </w:r>
      <w:hyperlink w:anchor="fig-NDVI_GLI_SPC">
        <w:r>
          <w:rPr>
            <w:rStyle w:val="Lienhypertexte"/>
          </w:rPr>
          <w:t>Figure 7</w:t>
        </w:r>
      </w:hyperlink>
      <w:r>
        <w:t>).</w:t>
      </w:r>
    </w:p>
    <w:p w14:paraId="6E7035AF" w14:textId="77777777" w:rsidR="00A206A1" w:rsidRDefault="00000000">
      <w:pPr>
        <w:pStyle w:val="Corpsdetexte"/>
      </w:pPr>
      <w:r>
        <w:t>One month later the heatwaves events, on the 8th of October, all metrics of unimpacted QPs have increased compared to the 1st of September: The NDVI and SC by 21 %, The GLI by 15 % and the SDI 14 %. Concerning QPs impacted by the heatwaves, even if all the metrics are closer to the values they had before the heatwave, they have not retrieved there level of before the heatwave. At the 8th of October, the NDVI and the SC of these QPs were -5 %, The GLI -16 % and the SDI 14 %.</w:t>
      </w:r>
    </w:p>
    <w:tbl>
      <w:tblPr>
        <w:tblStyle w:val="Table"/>
        <w:tblW w:w="5000" w:type="pct"/>
        <w:tblLayout w:type="fixed"/>
        <w:tblLook w:val="0000" w:firstRow="0" w:lastRow="0" w:firstColumn="0" w:lastColumn="0" w:noHBand="0" w:noVBand="0"/>
      </w:tblPr>
      <w:tblGrid>
        <w:gridCol w:w="9360"/>
      </w:tblGrid>
      <w:tr w:rsidR="00A206A1" w14:paraId="3C635946" w14:textId="77777777">
        <w:tc>
          <w:tcPr>
            <w:tcW w:w="7920" w:type="dxa"/>
          </w:tcPr>
          <w:p w14:paraId="61C8669E" w14:textId="77777777" w:rsidR="00A206A1" w:rsidRDefault="00000000">
            <w:pPr>
              <w:pStyle w:val="Compact"/>
              <w:jc w:val="center"/>
            </w:pPr>
            <w:bookmarkStart w:id="39" w:name="fig-NDVI_GLI_SPC"/>
            <w:bookmarkStart w:id="40" w:name="cell-fig-NDVI_GLI_SPC"/>
            <w:r>
              <w:rPr>
                <w:noProof/>
              </w:rPr>
              <w:lastRenderedPageBreak/>
              <w:drawing>
                <wp:inline distT="0" distB="0" distL="0" distR="0" wp14:anchorId="59BCE032" wp14:editId="3DF1C378">
                  <wp:extent cx="5646420" cy="564642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s/Low_res/Compares_Indices_S2.png"/>
                          <pic:cNvPicPr>
                            <a:picLocks noChangeAspect="1" noChangeArrowheads="1"/>
                          </pic:cNvPicPr>
                        </pic:nvPicPr>
                        <pic:blipFill>
                          <a:blip r:embed="rId16"/>
                          <a:stretch>
                            <a:fillRect/>
                          </a:stretch>
                        </pic:blipFill>
                        <pic:spPr bwMode="auto">
                          <a:xfrm>
                            <a:off x="0" y="0"/>
                            <a:ext cx="5646420" cy="5646420"/>
                          </a:xfrm>
                          <a:prstGeom prst="rect">
                            <a:avLst/>
                          </a:prstGeom>
                          <a:noFill/>
                          <a:ln w="9525">
                            <a:noFill/>
                            <a:headEnd/>
                            <a:tailEnd/>
                          </a:ln>
                        </pic:spPr>
                      </pic:pic>
                    </a:graphicData>
                  </a:graphic>
                </wp:inline>
              </w:drawing>
            </w:r>
          </w:p>
          <w:p w14:paraId="6015B8E7" w14:textId="77777777" w:rsidR="00A206A1" w:rsidRDefault="00000000">
            <w:pPr>
              <w:pStyle w:val="ImageCaption"/>
              <w:spacing w:before="200"/>
            </w:pPr>
            <w:r>
              <w:t>Figure 7: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tc>
        <w:bookmarkEnd w:id="39"/>
      </w:tr>
    </w:tbl>
    <w:p w14:paraId="4A64A6B9" w14:textId="77777777" w:rsidR="00A206A1" w:rsidRDefault="00000000">
      <w:pPr>
        <w:pStyle w:val="Titre3"/>
      </w:pPr>
      <w:bookmarkStart w:id="41" w:name="mapping-of-the-seagrass-darkening"/>
      <w:bookmarkEnd w:id="38"/>
      <w:bookmarkEnd w:id="40"/>
      <w:r>
        <w:t>3.2.3 Mapping of the seagrass darkening</w:t>
      </w:r>
    </w:p>
    <w:p w14:paraId="125CEE50" w14:textId="77777777" w:rsidR="00A206A1" w:rsidRDefault="00000000">
      <w:pPr>
        <w:pStyle w:val="FirstParagraph"/>
      </w:pPr>
      <w:r>
        <w:t xml:space="preserve">Using the </w:t>
      </w:r>
      <w:hyperlink w:anchor="eq-SDI">
        <w:r>
          <w:rPr>
            <w:rStyle w:val="Lienhypertexte"/>
          </w:rPr>
          <w:t>Equation 4</w:t>
        </w:r>
      </w:hyperlink>
      <w:r>
        <w:t xml:space="preserve">, we can detect seagrass patches that have darkened. Following the heatwave events, a total of 26.9 hectares of seagrass darkened, with the largest affected </w:t>
      </w:r>
      <w:r>
        <w:lastRenderedPageBreak/>
        <w:t>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Lienhypertexte"/>
          </w:rPr>
          <w:t>Figure 8</w:t>
        </w:r>
      </w:hyperlink>
      <w:r>
        <w:t>, A and B).</w:t>
      </w:r>
    </w:p>
    <w:tbl>
      <w:tblPr>
        <w:tblStyle w:val="Table"/>
        <w:tblW w:w="5000" w:type="pct"/>
        <w:tblLayout w:type="fixed"/>
        <w:tblLook w:val="0000" w:firstRow="0" w:lastRow="0" w:firstColumn="0" w:lastColumn="0" w:noHBand="0" w:noVBand="0"/>
      </w:tblPr>
      <w:tblGrid>
        <w:gridCol w:w="9360"/>
      </w:tblGrid>
      <w:tr w:rsidR="00A206A1" w14:paraId="167674BA" w14:textId="77777777">
        <w:tc>
          <w:tcPr>
            <w:tcW w:w="7920" w:type="dxa"/>
          </w:tcPr>
          <w:p w14:paraId="122F2425" w14:textId="77777777" w:rsidR="00A206A1" w:rsidRDefault="00000000">
            <w:pPr>
              <w:pStyle w:val="Compact"/>
              <w:jc w:val="center"/>
            </w:pPr>
            <w:bookmarkStart w:id="42" w:name="fig-Map_darkening_Bathy"/>
            <w:bookmarkStart w:id="43" w:name="cell-fig-Map_darkening_Bathy"/>
            <w:r>
              <w:rPr>
                <w:noProof/>
              </w:rPr>
              <w:drawing>
                <wp:inline distT="0" distB="0" distL="0" distR="0" wp14:anchorId="7EE49C3F" wp14:editId="234B0BEF">
                  <wp:extent cx="5646420" cy="350078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Figs/Low_res/Map_darkening_Bathy.png"/>
                          <pic:cNvPicPr>
                            <a:picLocks noChangeAspect="1" noChangeArrowheads="1"/>
                          </pic:cNvPicPr>
                        </pic:nvPicPr>
                        <pic:blipFill>
                          <a:blip r:embed="rId17"/>
                          <a:stretch>
                            <a:fillRect/>
                          </a:stretch>
                        </pic:blipFill>
                        <pic:spPr bwMode="auto">
                          <a:xfrm>
                            <a:off x="0" y="0"/>
                            <a:ext cx="5646420" cy="3500780"/>
                          </a:xfrm>
                          <a:prstGeom prst="rect">
                            <a:avLst/>
                          </a:prstGeom>
                          <a:noFill/>
                          <a:ln w="9525">
                            <a:noFill/>
                            <a:headEnd/>
                            <a:tailEnd/>
                          </a:ln>
                        </pic:spPr>
                      </pic:pic>
                    </a:graphicData>
                  </a:graphic>
                </wp:inline>
              </w:drawing>
            </w:r>
          </w:p>
          <w:p w14:paraId="358A51F2" w14:textId="77777777" w:rsidR="00A206A1" w:rsidRDefault="00000000">
            <w:pPr>
              <w:pStyle w:val="ImageCaption"/>
              <w:spacing w:before="200"/>
            </w:pPr>
            <w:r>
              <w:t>Figure 8: Map of the Darkening of seagrasses during the heatwave events of September 2021 in Quiberon. A: 3.9 m bathymetry isobar (golden line); B: Result of the detection of darkened seagrass patches (Blue plolygons); Sentinel-2 image one month after the end of the heatwaves (2021-10-08).</w:t>
            </w:r>
          </w:p>
        </w:tc>
        <w:bookmarkEnd w:id="42"/>
      </w:tr>
    </w:tbl>
    <w:bookmarkEnd w:id="43"/>
    <w:p w14:paraId="5968C5CE" w14:textId="77777777" w:rsidR="00A206A1" w:rsidRDefault="00000000">
      <w:pPr>
        <w:pStyle w:val="Corpsdetexte"/>
      </w:pPr>
      <w:r>
        <w:t>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Lienhypertexte"/>
          </w:rPr>
          <w:t>Figure 9</w:t>
        </w:r>
      </w:hyperlink>
      <w:r>
        <w:t>).</w:t>
      </w:r>
    </w:p>
    <w:tbl>
      <w:tblPr>
        <w:tblStyle w:val="Table"/>
        <w:tblW w:w="5000" w:type="pct"/>
        <w:tblLayout w:type="fixed"/>
        <w:tblLook w:val="0000" w:firstRow="0" w:lastRow="0" w:firstColumn="0" w:lastColumn="0" w:noHBand="0" w:noVBand="0"/>
      </w:tblPr>
      <w:tblGrid>
        <w:gridCol w:w="9360"/>
      </w:tblGrid>
      <w:tr w:rsidR="00A206A1" w14:paraId="5CD7E6C7" w14:textId="77777777">
        <w:tc>
          <w:tcPr>
            <w:tcW w:w="7920" w:type="dxa"/>
          </w:tcPr>
          <w:p w14:paraId="23795F8E" w14:textId="77777777" w:rsidR="00A206A1" w:rsidRDefault="00000000">
            <w:pPr>
              <w:pStyle w:val="Compact"/>
              <w:jc w:val="center"/>
            </w:pPr>
            <w:bookmarkStart w:id="44" w:name="fig-GAM_Emersion"/>
            <w:bookmarkStart w:id="45" w:name="cell-fig-GAM_Emersion"/>
            <w:r>
              <w:rPr>
                <w:noProof/>
              </w:rPr>
              <w:lastRenderedPageBreak/>
              <w:drawing>
                <wp:inline distT="0" distB="0" distL="0" distR="0" wp14:anchorId="11158ACC" wp14:editId="027A65B7">
                  <wp:extent cx="5646420" cy="282321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s/Low_res/GAM_emersion.png"/>
                          <pic:cNvPicPr>
                            <a:picLocks noChangeAspect="1" noChangeArrowheads="1"/>
                          </pic:cNvPicPr>
                        </pic:nvPicPr>
                        <pic:blipFill>
                          <a:blip r:embed="rId18"/>
                          <a:stretch>
                            <a:fillRect/>
                          </a:stretch>
                        </pic:blipFill>
                        <pic:spPr bwMode="auto">
                          <a:xfrm>
                            <a:off x="0" y="0"/>
                            <a:ext cx="5646420" cy="2823210"/>
                          </a:xfrm>
                          <a:prstGeom prst="rect">
                            <a:avLst/>
                          </a:prstGeom>
                          <a:noFill/>
                          <a:ln w="9525">
                            <a:noFill/>
                            <a:headEnd/>
                            <a:tailEnd/>
                          </a:ln>
                        </pic:spPr>
                      </pic:pic>
                    </a:graphicData>
                  </a:graphic>
                </wp:inline>
              </w:drawing>
            </w:r>
          </w:p>
          <w:p w14:paraId="02539DC3" w14:textId="77777777" w:rsidR="00A206A1" w:rsidRDefault="00000000">
            <w:pPr>
              <w:pStyle w:val="ImageCaption"/>
              <w:spacing w:before="200"/>
            </w:pPr>
            <w:r>
              <w:t>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tc>
        <w:bookmarkEnd w:id="44"/>
      </w:tr>
    </w:tbl>
    <w:p w14:paraId="61BD4F30" w14:textId="77777777" w:rsidR="00A206A1" w:rsidRDefault="00000000">
      <w:pPr>
        <w:pStyle w:val="Titre1"/>
      </w:pPr>
      <w:bookmarkStart w:id="46" w:name="discussion"/>
      <w:bookmarkEnd w:id="25"/>
      <w:bookmarkEnd w:id="34"/>
      <w:bookmarkEnd w:id="41"/>
      <w:bookmarkEnd w:id="45"/>
      <w:r>
        <w:t>4. Discussion</w:t>
      </w:r>
    </w:p>
    <w:p w14:paraId="3693CEB0" w14:textId="77777777" w:rsidR="00A206A1" w:rsidRDefault="00000000">
      <w:pPr>
        <w:pStyle w:val="FirstParagraph"/>
      </w:pPr>
      <w:r>
        <w:t>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14:paraId="5F6CFF24" w14:textId="77777777" w:rsidR="00A206A1" w:rsidRDefault="00000000">
      <w:pPr>
        <w:pStyle w:val="Corpsdetexte"/>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Lienhypertexte"/>
          </w:rPr>
          <w:t>Figure 5</w:t>
        </w:r>
      </w:hyperlink>
      <w:r>
        <w:t xml:space="preserve"> illustrates distinct temporal trends across the different spectral indices monitored throughout the experiment. The second derivative at 665 nm (R’’665), NDVI, and GLI (panels B, C, and D) all demonstrate a clear decline over the </w:t>
      </w:r>
      <w:r>
        <w:lastRenderedPageBreak/>
        <w:t>experimental period (days 1-3), suggesting a progressive reduction in photosynthetic activity or pigment levels in the treatment group relative to the control. In contrast, SDI (panel E) shows a marked increase, reaching up to 600%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14:paraId="7384F3AC" w14:textId="77777777" w:rsidR="00A206A1" w:rsidRDefault="00000000">
      <w:pPr>
        <w:pStyle w:val="Corpsdetexte"/>
      </w:pPr>
      <w:r>
        <w:t xml:space="preserve">The change in color can be multifactorial and has been documented in plants under various stress conditions, including thermal stress. Leaf blackening in angiosperms, as observed in </w:t>
      </w:r>
      <w:r>
        <w:rPr>
          <w:i/>
          <w:iCs/>
        </w:rPr>
        <w:t>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(Dascaliuc et al., 2007; Jones and Clayton-Greene, 1992). As chlorophyll-a degrades, the </w:t>
      </w:r>
      <w:r>
        <w:lastRenderedPageBreak/>
        <w:t>ratio of pigments shift; with pigments like carotenoids becoming more prominent, leading to a darkening of the leaves.</w:t>
      </w:r>
    </w:p>
    <w:p w14:paraId="4E850764" w14:textId="77777777" w:rsidR="00A206A1" w:rsidRDefault="00000000">
      <w:pPr>
        <w:pStyle w:val="Corpsdetexte"/>
      </w:pPr>
      <w:r>
        <w:rPr>
          <w:i/>
          <w:iCs/>
        </w:rPr>
        <w:t>Zostera noltei</w:t>
      </w:r>
      <w:r>
        <w:t xml:space="preserve">, as a species inhabiting the intertidal zone and regularly exposed to air, has developed adaptations to minimize water stress. For example, </w:t>
      </w:r>
      <w:r>
        <w:rPr>
          <w:i/>
          <w:iCs/>
        </w:rPr>
        <w:t>Zostera noltei</w:t>
      </w:r>
      <w:r>
        <w:t xml:space="preserve"> exhibits smaller, narrower leaves compared to species residing lower in the intertidal zone, such as </w:t>
      </w:r>
      <w:r>
        <w:rPr>
          <w:i/>
          <w:iCs/>
        </w:rPr>
        <w:t>Zostera marina</w:t>
      </w:r>
      <w:r>
        <w:t xml:space="preserve">, which helps reduce water loss during air exposure periods (Cabaço et al., 2009). However, during intense warming events and under high light conditions, desiccation can occur in certain parts of the meadow, particularly where seagrass leaves are exposed for prolonged periods ( </w:t>
      </w:r>
      <w:hyperlink w:anchor="fig-GAM_Emersion">
        <w:r>
          <w:rPr>
            <w:rStyle w:val="Lienhypertexte"/>
          </w:rPr>
          <w:t>Figure 9</w:t>
        </w:r>
      </w:hyperlink>
      <w:r>
        <w:t>).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14:paraId="6079758C" w14:textId="77777777" w:rsidR="00A206A1" w:rsidRDefault="00000000">
      <w:pPr>
        <w:pStyle w:val="Corpsdetexte"/>
      </w:pPr>
      <w:r>
        <w:t>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 (Knipling, 1970).</w:t>
      </w:r>
    </w:p>
    <w:p w14:paraId="2E9F5D1E" w14:textId="77777777" w:rsidR="00A206A1" w:rsidRDefault="00000000">
      <w:pPr>
        <w:pStyle w:val="Corpsdetexte"/>
      </w:pPr>
      <w:r>
        <w:t>These unique reflectance properties of seagrasses under heat stress enable the detection of this darkening through remote sensing techniques. The SDI (</w:t>
      </w:r>
      <w:hyperlink w:anchor="eq-SDI">
        <w:r>
          <w:rPr>
            <w:rStyle w:val="Lienhypertexte"/>
          </w:rPr>
          <w:t>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w:t>
      </w:r>
      <w:r>
        <w:lastRenderedPageBreak/>
        <w:t>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14:paraId="32C418E6" w14:textId="77777777" w:rsidR="00A206A1" w:rsidRDefault="00000000">
      <w:pPr>
        <w:pStyle w:val="Corpsdetexte"/>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 (Devi et al., 2024; Russo and Domeisen, 2023).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 </w:t>
      </w:r>
      <w:hyperlink w:anchor="fig-Freq_Int_HW_CS">
        <w:r>
          <w:rPr>
            <w:rStyle w:val="Lienhypertexte"/>
          </w:rPr>
          <w:t>Figure 10</w:t>
        </w:r>
      </w:hyperlink>
      <w:r>
        <w:t xml:space="preserve">. Cumulative indices that quantify heatwave intensity </w:t>
      </w:r>
      <w:r>
        <w:lastRenderedPageBreak/>
        <w:t>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 (Russo and Domeisen, 2023).</w:t>
      </w:r>
    </w:p>
    <w:tbl>
      <w:tblPr>
        <w:tblStyle w:val="Table"/>
        <w:tblW w:w="5000" w:type="pct"/>
        <w:tblLayout w:type="fixed"/>
        <w:tblLook w:val="0000" w:firstRow="0" w:lastRow="0" w:firstColumn="0" w:lastColumn="0" w:noHBand="0" w:noVBand="0"/>
      </w:tblPr>
      <w:tblGrid>
        <w:gridCol w:w="9360"/>
      </w:tblGrid>
      <w:tr w:rsidR="00A206A1" w14:paraId="33F7945E" w14:textId="77777777">
        <w:tc>
          <w:tcPr>
            <w:tcW w:w="7920" w:type="dxa"/>
          </w:tcPr>
          <w:p w14:paraId="27FBF098" w14:textId="77777777" w:rsidR="00A206A1" w:rsidRDefault="00000000">
            <w:pPr>
              <w:pStyle w:val="Compact"/>
              <w:jc w:val="center"/>
            </w:pPr>
            <w:bookmarkStart w:id="47" w:name="fig-Freq_Int_HW_CS"/>
            <w:bookmarkStart w:id="48" w:name="cell-fig-Freq_Int_HW_CS"/>
            <w:r>
              <w:rPr>
                <w:noProof/>
              </w:rPr>
              <w:drawing>
                <wp:inline distT="0" distB="0" distL="0" distR="0" wp14:anchorId="2C9CDA66" wp14:editId="18734863">
                  <wp:extent cx="4754880" cy="475488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s/Low_res/plot_HW_CS.png"/>
                          <pic:cNvPicPr>
                            <a:picLocks noChangeAspect="1" noChangeArrowheads="1"/>
                          </pic:cNvPicPr>
                        </pic:nvPicPr>
                        <pic:blipFill>
                          <a:blip r:embed="rId19"/>
                          <a:stretch>
                            <a:fillRect/>
                          </a:stretch>
                        </pic:blipFill>
                        <pic:spPr bwMode="auto">
                          <a:xfrm>
                            <a:off x="0" y="0"/>
                            <a:ext cx="4754880" cy="4754880"/>
                          </a:xfrm>
                          <a:prstGeom prst="rect">
                            <a:avLst/>
                          </a:prstGeom>
                          <a:noFill/>
                          <a:ln w="9525">
                            <a:noFill/>
                            <a:headEnd/>
                            <a:tailEnd/>
                          </a:ln>
                        </pic:spPr>
                      </pic:pic>
                    </a:graphicData>
                  </a:graphic>
                </wp:inline>
              </w:drawing>
            </w:r>
          </w:p>
          <w:p w14:paraId="0749C42D" w14:textId="77777777" w:rsidR="00A206A1" w:rsidRDefault="00000000">
            <w:pPr>
              <w:pStyle w:val="ImageCaption"/>
              <w:spacing w:before="200"/>
            </w:pPr>
            <w:r>
              <w:t>Figure 10: 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tc>
        <w:bookmarkEnd w:id="47"/>
      </w:tr>
    </w:tbl>
    <w:bookmarkEnd w:id="48"/>
    <w:p w14:paraId="3C039F75" w14:textId="77777777" w:rsidR="00A206A1" w:rsidRDefault="00000000">
      <w:pPr>
        <w:pStyle w:val="Corpsdetexte"/>
      </w:pPr>
      <w:r>
        <w:t xml:space="preserve">From a hazard analysis perspective, the concurrent evaluation of intensity, frequency, and duration of atmospheric heatwaves allows for a partial understanding of their likely impacts. Models like the Heatwave Intensity Duration Frequency (HIDF) </w:t>
      </w:r>
      <w:r>
        <w:lastRenderedPageBreak/>
        <w:t>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 (Mazdiyasni et al., 2019; Smale et al., 2019).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 (Simolo and Corti, 2022).</w:t>
      </w:r>
    </w:p>
    <w:p w14:paraId="72092604" w14:textId="77777777" w:rsidR="00A206A1" w:rsidRDefault="00000000">
      <w:pPr>
        <w:pStyle w:val="Corpsdetexte"/>
      </w:pPr>
      <w:r>
        <w:t>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 (Oliver et al., 2019). Events like the “Blob” 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 (Smale et al., 2019).</w:t>
      </w:r>
    </w:p>
    <w:p w14:paraId="6404517A" w14:textId="77777777" w:rsidR="00A206A1" w:rsidRDefault="00000000">
      <w:pPr>
        <w:pStyle w:val="Corpsdetexte"/>
      </w:pPr>
      <w:r>
        <w:t xml:space="preserve">The escalating frequency and intensity of heatwaves represent not only an atmospheric anomaly but a profound disruption to ecological stability across diverse ecosystems (Devi et al., 2024; Stillman, 2019). The sustained high temperatures associated with both atmospheric and marine heatwaves lead to physiological stress, habitat degradation, and increased mortality in many species, particularly those with </w:t>
      </w:r>
      <w:r>
        <w:lastRenderedPageBreak/>
        <w:t>limited thermal tolerance (Oliver et al., 2019; Simolo and Corti, 2022). Terrestrial and marine ecosystems experience shifts in species distributions, altered community dynamics, and reduced biodiversity as species are either forced to migrate or face local extinction under increasingly inhospitable conditions (Pansch et al., 2018). Similarly, in marine environments, prolonged heat stress from marine heatwaves has cascading effects on foundational species, including corals, kelps, and seagrasses, all of which are crucial for providing habitat, food, and shelter to diverse marine life (Oliver et al., 2019; Smale et al., 2019).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 (Deguette et al., 2022; Guerrero-Meseguer et al., 2020; Sawall et al., 2021; Winters et al., 2011). With repeated heatwave exposure and limited recovery periods, seagrass meadows may suffer severe declines, threatening their ability to deliver key ecosystem services such as carbon storage, sediment stabilization, and habitat provision (Mazdiyasni et al., 2019).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 (Russo and Domeisen, 2023; Stillman, 2019).</w:t>
      </w:r>
    </w:p>
    <w:p w14:paraId="14B69010" w14:textId="77777777" w:rsidR="00A206A1" w:rsidRDefault="00000000">
      <w:pPr>
        <w:pStyle w:val="Corpsdetexte"/>
      </w:pPr>
      <w:r>
        <w:t xml:space="preserve">Seagrass resilience to heatwaves is a complex and multifaceted issue shaped by species-specific traits, geographical location, and concurrent environmental stressors (Berger et al., 2024; Canadell and Jackson, 2021; Hatum et al., 2024). As climate change drives the frequency and intensity of marine heatwaves, understanding these dynamics becomes crucial, especially for temperate seagrass meadows composed of slow-growing, long-lived species like </w:t>
      </w:r>
      <w:r>
        <w:rPr>
          <w:i/>
          <w:iCs/>
        </w:rPr>
        <w:t>Posidonia</w:t>
      </w:r>
      <w:r>
        <w:t xml:space="preserve">, </w:t>
      </w:r>
      <w:r>
        <w:rPr>
          <w:i/>
          <w:iCs/>
        </w:rPr>
        <w:t>Amphibolis</w:t>
      </w:r>
      <w:r>
        <w:t xml:space="preserve">, and </w:t>
      </w:r>
      <w:r>
        <w:rPr>
          <w:i/>
          <w:iCs/>
        </w:rPr>
        <w:t>Zostera.</w:t>
      </w:r>
      <w:r>
        <w:t xml:space="preserve"> These species, unlike their tropical counterparts, tend to be highly vulnerable to abrupt environmental </w:t>
      </w:r>
      <w:r>
        <w:lastRenderedPageBreak/>
        <w:t xml:space="preserve">changes, struggling to recover from disturbances due to their slower growth and longer lifespan. In contrast, colonizing species typical of tropical regions, such as </w:t>
      </w:r>
      <w:r>
        <w:rPr>
          <w:i/>
          <w:iCs/>
        </w:rPr>
        <w:t>Halodule</w:t>
      </w:r>
      <w:r>
        <w:t xml:space="preserve">, </w:t>
      </w:r>
      <w:r>
        <w:rPr>
          <w:i/>
          <w:iCs/>
        </w:rPr>
        <w:t>Halophila</w:t>
      </w:r>
      <w:r>
        <w:t xml:space="preserve">, and </w:t>
      </w:r>
      <w:r>
        <w:rPr>
          <w:i/>
          <w:iCs/>
        </w:rPr>
        <w:t>Syringodium</w:t>
      </w:r>
      <w:r>
        <w:t>, demonstrate greater resilience to warming events and marine heatwaves due to their rapid growth and more flexible life strategies (O’Brien et al., 2018).</w:t>
      </w:r>
    </w:p>
    <w:p w14:paraId="3AC16804" w14:textId="77777777" w:rsidR="00A206A1" w:rsidRDefault="00000000">
      <w:pPr>
        <w:pStyle w:val="Corpsdetexte"/>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 </w:t>
      </w:r>
      <w:r>
        <w:rPr>
          <w:i/>
          <w:iCs/>
        </w:rPr>
        <w:t>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 </w:t>
      </w:r>
      <w:r>
        <w:rPr>
          <w:i/>
          <w:iCs/>
        </w:rPr>
        <w:t>in situ</w:t>
      </w:r>
      <w:r>
        <w:t xml:space="preserve"> exposure times could exacerbate the stress effects observed, as seagrasses may endure prolonged air exposure beyond what our controlled conditions have replicated.</w:t>
      </w:r>
    </w:p>
    <w:p w14:paraId="28C02FC1" w14:textId="77777777" w:rsidR="00A206A1" w:rsidRDefault="00000000">
      <w:pPr>
        <w:pStyle w:val="Corpsdetexte"/>
      </w:pPr>
      <w:r>
        <w:t xml:space="preserve">Species like </w:t>
      </w:r>
      <w:r>
        <w:rPr>
          <w:i/>
          <w:iCs/>
        </w:rPr>
        <w:t>Zostera noltei</w:t>
      </w:r>
      <w:r>
        <w:t xml:space="preserve"> display distinct seasonal patterns that become increasingly pronounced at higher latitudes (Davies et al., 2024a, 2024b). These patterns reflect the species’ adaptation to seasonal variations in temperature and light, but they also make N. noltei particularly sensitive to extreme events depending on their timing. </w:t>
      </w:r>
      <w:r>
        <w:lastRenderedPageBreak/>
        <w:t>For instance, if a heatwave coincides with early developmental stages or occurs after the biomass peak when leaf senescence has begun, the impact on meadow resilience can be severe</w:t>
      </w:r>
    </w:p>
    <w:p w14:paraId="6FF4D1D5" w14:textId="77777777" w:rsidR="00A206A1" w:rsidRDefault="00000000">
      <w:pPr>
        <w:pStyle w:val="Corpsdetexte"/>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 (Berger et al., 2024; Canadell and Jackson, 2021). In these cooler areas, </w:t>
      </w:r>
      <w:r>
        <w:rPr>
          <w:i/>
          <w:iCs/>
        </w:rPr>
        <w:t>Nanostera noltei</w:t>
      </w:r>
      <w:r>
        <w:t xml:space="preserve"> exhibits high survival and photosynthetic performance up to 37°C, though temperatures above 39°C lead to near-total mortality within days, underscoring the species’ sensitivity to temperature thresholds that may become increasingly common under climate change scenarios (Franssen et al., 2014). Moreover, the frequency, duration, and intervals between heatwaves significantly affect seagrass biomass and recovery; prolonged and frequent heatwaves reduce resilience and complicate recovery processes (Hatum et al., 2024).</w:t>
      </w:r>
    </w:p>
    <w:p w14:paraId="1E22C69A" w14:textId="77777777" w:rsidR="00A206A1" w:rsidRDefault="00000000">
      <w:pPr>
        <w:pStyle w:val="Corpsdetexte"/>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 </w:t>
      </w:r>
      <w:r>
        <w:rPr>
          <w:i/>
          <w:iCs/>
        </w:rPr>
        <w:t>Zostera noltei</w:t>
      </w:r>
      <w:r>
        <w:t>, for example, has a mutualistic relationship with lucinid clams that helps detoxify sulfides. However, this interaction is compromised at high temperatures, reducing the efficacy of sulfide removal and further inhibiting nutrient uptake, growth, and overall resilience (De Fouw et al., 2022).</w:t>
      </w:r>
    </w:p>
    <w:p w14:paraId="3729BCEA" w14:textId="77777777" w:rsidR="00A206A1" w:rsidRDefault="00000000">
      <w:pPr>
        <w:pStyle w:val="Corpsdetexte"/>
      </w:pPr>
      <w:r>
        <w:t xml:space="preserve">In a simulated heatwave experiment on </w:t>
      </w:r>
      <w:r>
        <w:rPr>
          <w:i/>
          <w:iCs/>
        </w:rPr>
        <w:t>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 (Franssen et al., 2014; Massa et al., 2009). The long-term impact of heatwaves is especially evident in changes to seagrass cover (SPC). Before the heatwave </w:t>
      </w:r>
      <w:r>
        <w:lastRenderedPageBreak/>
        <w:t xml:space="preserve">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 </w:t>
      </w:r>
      <w:hyperlink w:anchor="fig-Resilience_of_seagrasses">
        <w:r>
          <w:rPr>
            <w:rStyle w:val="Lienhypertexte"/>
          </w:rPr>
          <w:t>Figure 11</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Resilience_of_seagrasses">
        <w:r>
          <w:rPr>
            <w:rStyle w:val="Lienhypertexte"/>
          </w:rPr>
          <w:t>Figure 11</w:t>
        </w:r>
      </w:hyperlink>
      <w:r>
        <w:t>.</w:t>
      </w:r>
    </w:p>
    <w:tbl>
      <w:tblPr>
        <w:tblStyle w:val="Table"/>
        <w:tblW w:w="5000" w:type="pct"/>
        <w:tblLayout w:type="fixed"/>
        <w:tblLook w:val="0000" w:firstRow="0" w:lastRow="0" w:firstColumn="0" w:lastColumn="0" w:noHBand="0" w:noVBand="0"/>
      </w:tblPr>
      <w:tblGrid>
        <w:gridCol w:w="9360"/>
      </w:tblGrid>
      <w:tr w:rsidR="00A206A1" w14:paraId="618D7AFC" w14:textId="77777777">
        <w:tc>
          <w:tcPr>
            <w:tcW w:w="7920" w:type="dxa"/>
          </w:tcPr>
          <w:p w14:paraId="574134F9" w14:textId="77777777" w:rsidR="00A206A1" w:rsidRDefault="00000000">
            <w:pPr>
              <w:pStyle w:val="Compact"/>
              <w:jc w:val="center"/>
            </w:pPr>
            <w:bookmarkStart w:id="49" w:name="fig-Resilience_of_seagrasses"/>
            <w:bookmarkStart w:id="50" w:name="cell-fig-Resilience_of_seagrasses"/>
            <w:r>
              <w:rPr>
                <w:noProof/>
              </w:rPr>
              <w:drawing>
                <wp:inline distT="0" distB="0" distL="0" distR="0" wp14:anchorId="19ACB377" wp14:editId="116DAA3C">
                  <wp:extent cx="5646420" cy="282321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Figs/Low_res/plot_resilience.png"/>
                          <pic:cNvPicPr>
                            <a:picLocks noChangeAspect="1" noChangeArrowheads="1"/>
                          </pic:cNvPicPr>
                        </pic:nvPicPr>
                        <pic:blipFill>
                          <a:blip r:embed="rId20"/>
                          <a:stretch>
                            <a:fillRect/>
                          </a:stretch>
                        </pic:blipFill>
                        <pic:spPr bwMode="auto">
                          <a:xfrm>
                            <a:off x="0" y="0"/>
                            <a:ext cx="5646420" cy="2823210"/>
                          </a:xfrm>
                          <a:prstGeom prst="rect">
                            <a:avLst/>
                          </a:prstGeom>
                          <a:noFill/>
                          <a:ln w="9525">
                            <a:noFill/>
                            <a:headEnd/>
                            <a:tailEnd/>
                          </a:ln>
                        </pic:spPr>
                      </pic:pic>
                    </a:graphicData>
                  </a:graphic>
                </wp:inline>
              </w:drawing>
            </w:r>
          </w:p>
          <w:p w14:paraId="7B9A17BC" w14:textId="77777777" w:rsidR="00A206A1" w:rsidRDefault="00000000">
            <w:pPr>
              <w:pStyle w:val="ImageCaption"/>
              <w:spacing w:before="200"/>
            </w:pPr>
            <w:r>
              <w:t>Figure 11: Comparison of the seagrass percent cover before (left), during (center) and after (right) the heatwaves for seagrasses that have not been impacted by heatwaves (i.e. remains green) and seagrasses that have been impacted by the events (i.e. seagrasses that darkened).</w:t>
            </w:r>
          </w:p>
        </w:tc>
        <w:bookmarkEnd w:id="49"/>
      </w:tr>
    </w:tbl>
    <w:bookmarkEnd w:id="50"/>
    <w:p w14:paraId="0BB400C6" w14:textId="77777777" w:rsidR="00A206A1" w:rsidRDefault="00000000">
      <w:pPr>
        <w:pStyle w:val="Corpsdetexte"/>
      </w:pPr>
      <w:r>
        <w:lastRenderedPageBreak/>
        <w:t xml:space="preserve">On a physiological level, seagrasses possess coping mechanisms such as photoprotective responses and heat-responsive gene expression, including the activation of heat-shock proteins (HSPs) and other stress-related genes (Hughes and Stachowicz, 2004; Reusch et al., 2005). </w:t>
      </w:r>
      <w:r>
        <w:rPr>
          <w:i/>
          <w:iCs/>
        </w:rPr>
        <w:t>Zostera noltei</w:t>
      </w:r>
      <w:r>
        <w:t>,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 (Franssen et al., 2014).</w:t>
      </w:r>
    </w:p>
    <w:p w14:paraId="138E5CA3" w14:textId="77777777" w:rsidR="00A206A1" w:rsidRDefault="00000000">
      <w:pPr>
        <w:pStyle w:val="Corpsdetexte"/>
      </w:pPr>
      <w:r>
        <w:t>Given the combined pressures of temperature extremes, eutrophication, and other anthropogenic impacts, targeted management strategies are essential for enhancing seagrass resilience (Loarie et al., 2009).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 (Canadell and Jackson, 2021; De Fouw et al., 2022).</w:t>
      </w:r>
    </w:p>
    <w:p w14:paraId="57848F3D" w14:textId="77777777" w:rsidR="00A206A1" w:rsidRDefault="00000000">
      <w:pPr>
        <w:pStyle w:val="Corpsdetexte"/>
      </w:pPr>
      <w:r>
        <w:t xml:space="preserve">Seagrass meadows function as foundational components of coastal ecosystems, sustaining diverse marine communities by providing essential habitats, nursery grounds, and trophic resources for fish, invertebrates, and migratory birds (Zoffoli et al., 2023). Their dense canopies stabilize sediment and protect shorelines from erosion, an increasingly crucial role as sea levels rise due to climate change (Folmer et al., 2012; Gacia et al., 1999). Recurrent heatwave events, which induce physiological stress like leaf darkening, can severely diminish seagrass density, thereby reducing their effectiveness in sediment stabilization and wave attenuation, ultimately increasing the </w:t>
      </w:r>
      <w:r>
        <w:lastRenderedPageBreak/>
        <w:t>risk of coastal erosion (Calleja et al., 2007).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 (Unsworth and Cullen-Unsworth, 2014). Furthermore, as seagrasses decline, their capacity to act as a blue carbon sink—critical for climate mitigation—also diminishes, inadvertently contributing to increased atmospheric carbon levels (Armitage and Fourqurean, 2016; Samper-Villarreal et al., 2020)</w:t>
      </w:r>
    </w:p>
    <w:p w14:paraId="1377EF94" w14:textId="77777777" w:rsidR="00A206A1" w:rsidRDefault="00000000">
      <w:pPr>
        <w:pStyle w:val="Titre1"/>
      </w:pPr>
      <w:bookmarkStart w:id="51" w:name="conclusion"/>
      <w:bookmarkEnd w:id="46"/>
      <w:r>
        <w:t>5. Conclusion</w:t>
      </w:r>
    </w:p>
    <w:p w14:paraId="7B2EC120" w14:textId="77777777" w:rsidR="00A206A1" w:rsidRDefault="00000000">
      <w:pPr>
        <w:pStyle w:val="FirstParagraph"/>
      </w:pPr>
      <w:r>
        <w:t xml:space="preserve">This research has investigated the effects of both marine and atmospheric heatwaves on the intertidal seagrass </w:t>
      </w:r>
      <w:r>
        <w:rPr>
          <w:i/>
          <w:iCs/>
        </w:rPr>
        <w:t>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w:t>
      </w:r>
      <w:r>
        <w:lastRenderedPageBreak/>
        <w:t>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p w14:paraId="4BB3E9F3" w14:textId="77777777" w:rsidR="00A206A1" w:rsidRDefault="00000000">
      <w:pPr>
        <w:pStyle w:val="Titre1"/>
      </w:pPr>
      <w:bookmarkStart w:id="52" w:name="annexes"/>
      <w:bookmarkEnd w:id="51"/>
      <w:r>
        <w:lastRenderedPageBreak/>
        <w:t>6. Annexes</w:t>
      </w:r>
    </w:p>
    <w:p w14:paraId="5022FCE6" w14:textId="77777777" w:rsidR="00A206A1" w:rsidRDefault="00000000">
      <w:pPr>
        <w:pStyle w:val="Titre2"/>
      </w:pPr>
      <w:bookmarkStart w:id="53" w:name="sec-AnnexeA"/>
      <w:r>
        <w:t>6.1 Annexes A - Temperatures of the experiment</w:t>
      </w:r>
    </w:p>
    <w:p w14:paraId="694CD36D" w14:textId="77777777" w:rsidR="00A206A1" w:rsidRDefault="00000000">
      <w:pPr>
        <w:pStyle w:val="CaptionedFigure"/>
      </w:pPr>
      <w:r>
        <w:rPr>
          <w:noProof/>
        </w:rPr>
        <w:drawing>
          <wp:inline distT="0" distB="0" distL="0" distR="0" wp14:anchorId="372876A5" wp14:editId="265C7049">
            <wp:extent cx="5943600" cy="5943600"/>
            <wp:effectExtent l="0" t="0" r="0" b="0"/>
            <wp:docPr id="112" name="Picture"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wp:cNvGraphicFramePr/>
            <a:graphic xmlns:a="http://schemas.openxmlformats.org/drawingml/2006/main">
              <a:graphicData uri="http://schemas.openxmlformats.org/drawingml/2006/picture">
                <pic:pic xmlns:pic="http://schemas.openxmlformats.org/drawingml/2006/picture">
                  <pic:nvPicPr>
                    <pic:cNvPr id="113" name="Picture" descr="Figs/High_res/Temperature_compare.png"/>
                    <pic:cNvPicPr>
                      <a:picLocks noChangeAspect="1" noChangeArrowheads="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14:paraId="4357EE90" w14:textId="77777777" w:rsidR="00A206A1" w:rsidRDefault="00000000">
      <w:pPr>
        <w:pStyle w:val="ImageCaption"/>
      </w:pPr>
      <w:r>
        <w:t>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14:paraId="1F67EEB8" w14:textId="77777777" w:rsidR="00A206A1" w:rsidRDefault="00000000">
      <w:pPr>
        <w:pStyle w:val="Corpsdetexte"/>
      </w:pPr>
      <w:r>
        <w:t xml:space="preserve">On average, </w:t>
      </w:r>
      <w:r>
        <w:rPr>
          <w:i/>
          <w:iCs/>
        </w:rPr>
        <w:t>in situ</w:t>
      </w:r>
      <w:r>
        <w:t xml:space="preserve"> temperatures were 3 ± 3.2°C higher than those recorded by Meteo France. Additionally, temperatures recorded by Meteo France were more stable </w:t>
      </w:r>
      <w:r>
        <w:lastRenderedPageBreak/>
        <w:t xml:space="preserve">than those from the </w:t>
      </w:r>
      <w:r>
        <w:rPr>
          <w:i/>
          <w:iCs/>
        </w:rPr>
        <w:t>in situ</w:t>
      </w:r>
      <w:r>
        <w:t xml:space="preserve"> sensors, likely due to the sheltered and shaded location of the Meteo France equipment. This difference was used to adjust heatwave temperatures measured by Meteo France to better reflect the conditions experienced by the seagrasses.</w:t>
      </w:r>
    </w:p>
    <w:p w14:paraId="713DCB9A" w14:textId="77777777" w:rsidR="00A206A1" w:rsidRDefault="00000000">
      <w:pPr>
        <w:pStyle w:val="CaptionedFigure"/>
      </w:pPr>
      <w:r>
        <w:rPr>
          <w:noProof/>
        </w:rPr>
        <w:drawing>
          <wp:inline distT="0" distB="0" distL="0" distR="0" wp14:anchorId="434C59EA" wp14:editId="63224517">
            <wp:extent cx="5943600" cy="2718555"/>
            <wp:effectExtent l="0" t="0" r="0" b="0"/>
            <wp:docPr id="115" name="Picture"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wp:cNvGraphicFramePr/>
            <a:graphic xmlns:a="http://schemas.openxmlformats.org/drawingml/2006/main">
              <a:graphicData uri="http://schemas.openxmlformats.org/drawingml/2006/picture">
                <pic:pic xmlns:pic="http://schemas.openxmlformats.org/drawingml/2006/picture">
                  <pic:nvPicPr>
                    <pic:cNvPr id="116" name="Picture" descr="Figs/Low_res/Chamber_Profils.png"/>
                    <pic:cNvPicPr>
                      <a:picLocks noChangeAspect="1" noChangeArrowheads="1"/>
                    </pic:cNvPicPr>
                  </pic:nvPicPr>
                  <pic:blipFill>
                    <a:blip r:embed="rId22"/>
                    <a:stretch>
                      <a:fillRect/>
                    </a:stretch>
                  </pic:blipFill>
                  <pic:spPr bwMode="auto">
                    <a:xfrm>
                      <a:off x="0" y="0"/>
                      <a:ext cx="5943600" cy="2718555"/>
                    </a:xfrm>
                    <a:prstGeom prst="rect">
                      <a:avLst/>
                    </a:prstGeom>
                    <a:noFill/>
                    <a:ln w="9525">
                      <a:noFill/>
                      <a:headEnd/>
                      <a:tailEnd/>
                    </a:ln>
                  </pic:spPr>
                </pic:pic>
              </a:graphicData>
            </a:graphic>
          </wp:inline>
        </w:drawing>
      </w:r>
    </w:p>
    <w:p w14:paraId="6AB8CD13" w14:textId="77777777" w:rsidR="00A206A1" w:rsidRDefault="00000000">
      <w:pPr>
        <w:pStyle w:val="ImageCaption"/>
      </w:pPr>
      <w:r>
        <w:t>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14:paraId="4EA0551A" w14:textId="77777777" w:rsidR="00A206A1" w:rsidRDefault="00000000">
      <w:pPr>
        <w:pStyle w:val="Titre2"/>
      </w:pPr>
      <w:bookmarkStart w:id="54" w:name="sec-AnnexeB"/>
      <w:bookmarkEnd w:id="53"/>
      <w:r>
        <w:lastRenderedPageBreak/>
        <w:t>6.2 Annexes B - SDI applied on Experiment samples</w:t>
      </w:r>
    </w:p>
    <w:p w14:paraId="77EDA24E" w14:textId="77777777" w:rsidR="00A206A1" w:rsidRDefault="00000000">
      <w:pPr>
        <w:pStyle w:val="CaptionedFigure"/>
      </w:pPr>
      <w:r>
        <w:rPr>
          <w:noProof/>
        </w:rPr>
        <w:drawing>
          <wp:inline distT="0" distB="0" distL="0" distR="0" wp14:anchorId="34C17074" wp14:editId="7C03D799">
            <wp:extent cx="5943600" cy="2971800"/>
            <wp:effectExtent l="0" t="0" r="0" b="0"/>
            <wp:docPr id="119" name="Picture"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wp:cNvGraphicFramePr/>
            <a:graphic xmlns:a="http://schemas.openxmlformats.org/drawingml/2006/main">
              <a:graphicData uri="http://schemas.openxmlformats.org/drawingml/2006/picture">
                <pic:pic xmlns:pic="http://schemas.openxmlformats.org/drawingml/2006/picture">
                  <pic:nvPicPr>
                    <pic:cNvPr id="120" name="Picture" descr="Figs/Low_res/PLOT_SDI_exp.png"/>
                    <pic:cNvPicPr>
                      <a:picLocks noChangeAspect="1" noChangeArrowheads="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p>
    <w:p w14:paraId="72787EB2" w14:textId="77777777" w:rsidR="00A206A1" w:rsidRDefault="00000000">
      <w:pPr>
        <w:pStyle w:val="ImageCaption"/>
      </w:pPr>
      <w:r>
        <w:t>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14:paraId="13A17651" w14:textId="77777777" w:rsidR="00A206A1" w:rsidRPr="00D32EE1" w:rsidRDefault="00000000">
      <w:pPr>
        <w:pStyle w:val="Titre1"/>
        <w:rPr>
          <w:lang w:val="es-ES"/>
        </w:rPr>
      </w:pPr>
      <w:bookmarkStart w:id="55" w:name="references"/>
      <w:bookmarkEnd w:id="52"/>
      <w:bookmarkEnd w:id="54"/>
      <w:r w:rsidRPr="00D32EE1">
        <w:rPr>
          <w:lang w:val="es-ES"/>
        </w:rPr>
        <w:t>7. References</w:t>
      </w:r>
    </w:p>
    <w:p w14:paraId="3444BA72" w14:textId="77777777" w:rsidR="00A206A1" w:rsidRPr="00D32EE1" w:rsidRDefault="00000000">
      <w:pPr>
        <w:pStyle w:val="FirstParagraph"/>
        <w:rPr>
          <w:lang w:val="es-ES"/>
        </w:rPr>
      </w:pPr>
      <w:r w:rsidRPr="00D32EE1">
        <w:rPr>
          <w:lang w:val="es-ES"/>
        </w:rPr>
        <w:t>1</w:t>
      </w:r>
    </w:p>
    <w:p w14:paraId="4BB18A05" w14:textId="77777777" w:rsidR="00A206A1" w:rsidRDefault="00000000">
      <w:pPr>
        <w:pStyle w:val="Bibliographie"/>
      </w:pPr>
      <w:bookmarkStart w:id="56" w:name="ref-akbar2020mangrove"/>
      <w:bookmarkStart w:id="57" w:name="refs"/>
      <w:r w:rsidRPr="00D32EE1">
        <w:rPr>
          <w:lang w:val="es-ES"/>
        </w:rPr>
        <w:t xml:space="preserve">Akbar, M., Arisanto, P., Sukirno, B., Merdeka, P., Priadhi, M., Zallesa, S., 2020. </w:t>
      </w:r>
      <w:r>
        <w:t>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p w14:paraId="7508BD27" w14:textId="77777777" w:rsidR="00A206A1" w:rsidRDefault="00000000">
      <w:pPr>
        <w:pStyle w:val="Bibliographie"/>
      </w:pPr>
      <w:bookmarkStart w:id="58" w:name="ref-armitage2016carbon"/>
      <w:bookmarkEnd w:id="56"/>
      <w:r>
        <w:t>Armitage, A., Fourqurean, J.W., 2016. Carbon storage in seagrass soils: Long-term nutrient history exceeds the effects of near-term nutrient enrichment. Biogeosciences 13, 313–321.</w:t>
      </w:r>
    </w:p>
    <w:p w14:paraId="6B4D6B1D" w14:textId="77777777" w:rsidR="00A206A1" w:rsidRDefault="00000000">
      <w:pPr>
        <w:pStyle w:val="Bibliographie"/>
      </w:pPr>
      <w:bookmarkStart w:id="59" w:name="ref-berger2024eelgrass"/>
      <w:bookmarkEnd w:id="58"/>
      <w:r>
        <w:t xml:space="preserve">Berger, A.C., Berg, P., McGlathery, K.J., Aoki, L.R., Kerns, K., 2024. Eelgrass meadow response to heat stress. II. Impacts of ocean warming and marine heatwaves measured by novel metrics. Marine Ecology Progress Series 736, 47–62. </w:t>
      </w:r>
      <w:hyperlink r:id="rId24">
        <w:r>
          <w:rPr>
            <w:rStyle w:val="Lienhypertexte"/>
          </w:rPr>
          <w:t>https://doi.org/10.3354/meps14588</w:t>
        </w:r>
      </w:hyperlink>
    </w:p>
    <w:p w14:paraId="141331BF" w14:textId="77777777" w:rsidR="00A206A1" w:rsidRDefault="00000000">
      <w:pPr>
        <w:pStyle w:val="Bibliographie"/>
      </w:pPr>
      <w:bookmarkStart w:id="60" w:name="ref-cabaco2009individual"/>
      <w:bookmarkEnd w:id="59"/>
      <w:r>
        <w:lastRenderedPageBreak/>
        <w:t>Cabaço, S., Machás, R., Santos, R., 2009. Individual and population plasticity of the seagrass zostera noltii along a vertical intertidal gradient. Estuarine, Coastal and Shelf Science 82, 301–308.</w:t>
      </w:r>
    </w:p>
    <w:p w14:paraId="3F6829C1" w14:textId="77777777" w:rsidR="00A206A1" w:rsidRDefault="00000000">
      <w:pPr>
        <w:pStyle w:val="Bibliographie"/>
      </w:pPr>
      <w:bookmarkStart w:id="61" w:name="ref-calleja2007relationship"/>
      <w:bookmarkEnd w:id="60"/>
      <w:r>
        <w:t>Calleja, M.L., Marbà, N., Duarte, C.M., 2007. The relationship between seagrass (posidonia oceanica) decline and sulfide porewater concentration in carbonate sediments. Estuarine, Coastal and Shelf Science 73, 583–588.</w:t>
      </w:r>
    </w:p>
    <w:p w14:paraId="1A16A1E3" w14:textId="77777777" w:rsidR="00A206A1" w:rsidRDefault="00000000">
      <w:pPr>
        <w:pStyle w:val="Bibliographie"/>
      </w:pPr>
      <w:bookmarkStart w:id="62" w:name="ref-canadell2021ecosystem"/>
      <w:bookmarkEnd w:id="61"/>
      <w:r>
        <w:t>Canadell, J.G., Jackson, R.B., 2021. Ecosystem collapse and climate change. Springer.</w:t>
      </w:r>
    </w:p>
    <w:p w14:paraId="714D53F5" w14:textId="77777777" w:rsidR="00A206A1" w:rsidRDefault="00000000">
      <w:pPr>
        <w:pStyle w:val="Bibliographie"/>
      </w:pPr>
      <w:bookmarkStart w:id="63" w:name="ref-carlan2020identifying"/>
      <w:bookmarkEnd w:id="62"/>
      <w:r>
        <w:t>Cârlan, I., Mihai, B.-A., Nistor, C., Große-Stoltenberg, A., 2020. Identifying urban vegetation stress factors based on open access remote sensing imagery and field observations. Ecological Informatics 55, 101032.</w:t>
      </w:r>
    </w:p>
    <w:p w14:paraId="3E9ADDAF" w14:textId="77777777" w:rsidR="00A206A1" w:rsidRDefault="00000000">
      <w:pPr>
        <w:pStyle w:val="Bibliographie"/>
      </w:pPr>
      <w:bookmarkStart w:id="64" w:name="ref-CMEMS_1"/>
      <w:bookmarkEnd w:id="63"/>
      <w:r>
        <w:t xml:space="preserve">CMEMS, 2024. European north west shelf/iberia biscay irish seas – high resolution ODYSSEA sea surface temperature multi-sensor L3 observations reprocessed, e.u. Copernicus marine service information (CMEMS). Marine data store (MDS). (Accessed on 17-10-2024). </w:t>
      </w:r>
      <w:hyperlink r:id="rId25">
        <w:r>
          <w:rPr>
            <w:rStyle w:val="Lienhypertexte"/>
          </w:rPr>
          <w:t>https://doi.org/10.48670/moi-00311</w:t>
        </w:r>
      </w:hyperlink>
    </w:p>
    <w:p w14:paraId="563749D4" w14:textId="77777777" w:rsidR="00A206A1" w:rsidRDefault="00000000">
      <w:pPr>
        <w:pStyle w:val="Bibliographie"/>
      </w:pPr>
      <w:bookmarkStart w:id="65" w:name="ref-dascaliuc2007heat"/>
      <w:bookmarkEnd w:id="64"/>
      <w:r w:rsidRPr="00D32EE1">
        <w:rPr>
          <w:lang w:val="es-ES"/>
        </w:rPr>
        <w:t xml:space="preserve">Dascaliuc, A., Ralea, T., Cuza, P., 2007. </w:t>
      </w:r>
      <w:r>
        <w:t xml:space="preserve">Influence of heat shock on chlorophyll fluorescence of white oak (quercus pubescens willd.) leaves. Photosynthetica 45, 469–471. </w:t>
      </w:r>
      <w:hyperlink r:id="rId26">
        <w:r>
          <w:rPr>
            <w:rStyle w:val="Lienhypertexte"/>
          </w:rPr>
          <w:t>https://doi.org/10.1007/s11099-007-0084-3</w:t>
        </w:r>
      </w:hyperlink>
    </w:p>
    <w:p w14:paraId="22184041" w14:textId="77777777" w:rsidR="00A206A1" w:rsidRDefault="00000000">
      <w:pPr>
        <w:pStyle w:val="Bibliographie"/>
      </w:pPr>
      <w:bookmarkStart w:id="66" w:name="ref-davies2024sentinel"/>
      <w:bookmarkEnd w:id="65"/>
      <w:r>
        <w:t xml:space="preserve">Davies, B.F.R., Oiry, S., Rosa, P., Zoffoli, M.L., Sousa, A.I., Thomas, O.R., Smale, D.A., Austen, M.C., Biermann, L., Attrill, M.J., others, 2024a. A sentinel watching over inter-tidal seagrass phenology across western europe and north africa. Communications Earth &amp; Environment 5, 382. </w:t>
      </w:r>
      <w:hyperlink r:id="rId27">
        <w:r>
          <w:rPr>
            <w:rStyle w:val="Lienhypertexte"/>
          </w:rPr>
          <w:t>https://doi.org/10.1038/s43247-024-01543-z</w:t>
        </w:r>
      </w:hyperlink>
    </w:p>
    <w:p w14:paraId="1765C938" w14:textId="77777777" w:rsidR="00A206A1" w:rsidRDefault="00000000">
      <w:pPr>
        <w:pStyle w:val="Bibliographie"/>
      </w:pPr>
      <w:bookmarkStart w:id="67" w:name="ref-davies2024intertidal"/>
      <w:bookmarkEnd w:id="66"/>
      <w:r>
        <w:t xml:space="preserve">Davies, B.F.R., Oiry, S., Rosa, P., Zoffoli, M.L., Sousa, A.I., Thomas, O.R., Smale, D.A., Austen, M.C., Biermann, L., Attrill, M.J., others, 2024b. Intertidal seagrass extent from sentinel-2 time-series show distinct trajectories in western europe. Remote Sensing of Environment 312, 114340. </w:t>
      </w:r>
      <w:hyperlink r:id="rId28">
        <w:r>
          <w:rPr>
            <w:rStyle w:val="Lienhypertexte"/>
          </w:rPr>
          <w:t>https://doi.org/10.1016/j.rse.2024.114340</w:t>
        </w:r>
      </w:hyperlink>
    </w:p>
    <w:p w14:paraId="36E52763" w14:textId="77777777" w:rsidR="00A206A1" w:rsidRDefault="00000000">
      <w:pPr>
        <w:pStyle w:val="Bibliographie"/>
      </w:pPr>
      <w:bookmarkStart w:id="68" w:name="ref-de2022increased"/>
      <w:bookmarkEnd w:id="67"/>
      <w:r>
        <w:t>De Fouw, J., Rehlmeyer, K., Geest, M. van der, Smolders, A.J., Van Der Heide, T., 2022. Increased temperature reduces the positive effect of sulfide-detoxification mutualism on zostera noltii nutrient uptake and growth. Marine Ecology Progress Series 692, 43–52.</w:t>
      </w:r>
    </w:p>
    <w:p w14:paraId="1024C3BB" w14:textId="77777777" w:rsidR="00A206A1" w:rsidRDefault="00000000">
      <w:pPr>
        <w:pStyle w:val="Bibliographie"/>
      </w:pPr>
      <w:bookmarkStart w:id="69" w:name="ref-deguette2022physiological"/>
      <w:bookmarkEnd w:id="68"/>
      <w:r>
        <w:t>Deguette, A., Barrote, I., Silva, J., 2022. Physiological and morphological effects of a marine heatwave on the seagrass cymodocea nodosa. Scientific Reports 12, 7950.</w:t>
      </w:r>
    </w:p>
    <w:p w14:paraId="6D758A56" w14:textId="77777777" w:rsidR="00A206A1" w:rsidRDefault="00000000">
      <w:pPr>
        <w:pStyle w:val="Bibliographie"/>
      </w:pPr>
      <w:bookmarkStart w:id="70" w:name="ref-devi2024intensity"/>
      <w:bookmarkEnd w:id="69"/>
      <w:r>
        <w:t>Devi, R., Gouda, K., Lenka, S., 2024. Intensity duration and frequency of heat wave in different phases of MJO over india. Atmospheric Research 300, 107250.</w:t>
      </w:r>
    </w:p>
    <w:p w14:paraId="5149084B" w14:textId="77777777" w:rsidR="00A206A1" w:rsidRDefault="00000000">
      <w:pPr>
        <w:pStyle w:val="Bibliographie"/>
      </w:pPr>
      <w:bookmarkStart w:id="71" w:name="ref-sen2cor"/>
      <w:bookmarkEnd w:id="70"/>
      <w:r>
        <w:t>European Space Agency, 2024b. Sen2Cor: Sentinel-2 atmospheric correction processor.</w:t>
      </w:r>
    </w:p>
    <w:p w14:paraId="79CFF33E" w14:textId="77777777" w:rsidR="00A206A1" w:rsidRDefault="00000000">
      <w:pPr>
        <w:pStyle w:val="Bibliographie"/>
      </w:pPr>
      <w:bookmarkStart w:id="72" w:name="ref-copernicus_sentinel2"/>
      <w:bookmarkEnd w:id="71"/>
      <w:r>
        <w:lastRenderedPageBreak/>
        <w:t>European Space Agency, 2024a. Copernicus open access hub.</w:t>
      </w:r>
    </w:p>
    <w:p w14:paraId="39B39519" w14:textId="77777777" w:rsidR="00A206A1" w:rsidRDefault="00000000">
      <w:pPr>
        <w:pStyle w:val="Bibliographie"/>
      </w:pPr>
      <w:bookmarkStart w:id="73" w:name="ref-folmer2012seagrass"/>
      <w:bookmarkEnd w:id="72"/>
      <w:r w:rsidRPr="00D32EE1">
        <w:rPr>
          <w:lang w:val="es-ES"/>
        </w:rPr>
        <w:t xml:space="preserve">Folmer, E.O., Geest, M. van der, Jansen, E., Olff, H., Michael Anderson, T., Piersma, T., Gils, J.A. van, 2012. </w:t>
      </w:r>
      <w:r>
        <w:t>Seagrass–sediment feedback: An exploration using a non-recursive structural equation model. Ecosystems 15, 1380–1393.</w:t>
      </w:r>
    </w:p>
    <w:p w14:paraId="396BB86C" w14:textId="77777777" w:rsidR="00A206A1" w:rsidRDefault="00000000">
      <w:pPr>
        <w:pStyle w:val="Bibliographie"/>
      </w:pPr>
      <w:bookmarkStart w:id="74" w:name="ref-franssen2014genome"/>
      <w:bookmarkEnd w:id="73"/>
      <w:r>
        <w:t>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p w14:paraId="748EE6FD" w14:textId="77777777" w:rsidR="00A206A1" w:rsidRDefault="00000000">
      <w:pPr>
        <w:pStyle w:val="Bibliographie"/>
      </w:pPr>
      <w:bookmarkStart w:id="75" w:name="ref-gacia1999approach"/>
      <w:bookmarkEnd w:id="74"/>
      <w:r>
        <w:t>Gacia, E., Granata, T., Duarte, C., 1999. An approach to measurement of particle flux and sediment retention within seagrass (posidonia oceanica) meadows. Aquatic Botany 65, 255–268.</w:t>
      </w:r>
    </w:p>
    <w:p w14:paraId="29407D5C" w14:textId="77777777" w:rsidR="00A206A1" w:rsidRDefault="00000000">
      <w:pPr>
        <w:pStyle w:val="Bibliographie"/>
      </w:pPr>
      <w:bookmarkStart w:id="76" w:name="ref-gardner2018global"/>
      <w:bookmarkEnd w:id="75"/>
      <w:r>
        <w:t>Gardner, R.C., Finlayson, C., 2018. Global wetland outlook: State of the world’s wetlands and their services to people, in: Ramsar Convention Secretariat. pp. 2020–5.</w:t>
      </w:r>
    </w:p>
    <w:p w14:paraId="2A15F93B" w14:textId="77777777" w:rsidR="00A206A1" w:rsidRDefault="00000000">
      <w:pPr>
        <w:pStyle w:val="Bibliographie"/>
      </w:pPr>
      <w:bookmarkStart w:id="77" w:name="ref-guerrero2020heat"/>
      <w:bookmarkEnd w:id="76"/>
      <w:r w:rsidRPr="00D32EE1">
        <w:rPr>
          <w:lang w:val="es-ES"/>
        </w:rPr>
        <w:t xml:space="preserve">Guerrero-Meseguer, L., Marı́n, A., Sanz-Lázaro, C., 2020. </w:t>
      </w:r>
      <w:r>
        <w:t>Heat wave intensity can vary the cumulative effects of multiple environmental stressors on posidonia oceanica seedlings. Marine Environmental Research 159, 105001.</w:t>
      </w:r>
    </w:p>
    <w:p w14:paraId="280718DD" w14:textId="77777777" w:rsidR="00A206A1" w:rsidRDefault="00000000">
      <w:pPr>
        <w:pStyle w:val="Bibliographie"/>
      </w:pPr>
      <w:bookmarkStart w:id="78" w:name="ref-hatum2024predicting"/>
      <w:bookmarkEnd w:id="77"/>
      <w:r>
        <w:t xml:space="preserve">Hatum, P.S., McMahon, K., Mengersen, K., Kilminster, K., Wu, P.P.-Y., 2024. Predicting seagrass ecosystem resilience to marine heatwave events of variable duration, frequency and re-occurrence patterns with gaps. Aquatic Conservation: Marine and Freshwater Ecosystems 34, e4210. </w:t>
      </w:r>
      <w:hyperlink r:id="rId29">
        <w:r>
          <w:rPr>
            <w:rStyle w:val="Lienhypertexte"/>
          </w:rPr>
          <w:t>https://doi.org/10.1002/aqc.4210</w:t>
        </w:r>
      </w:hyperlink>
    </w:p>
    <w:p w14:paraId="33519441" w14:textId="77777777" w:rsidR="00A206A1" w:rsidRDefault="00000000">
      <w:pPr>
        <w:pStyle w:val="Bibliographie"/>
      </w:pPr>
      <w:bookmarkStart w:id="79" w:name="ref-hobday2016hierarchical"/>
      <w:bookmarkEnd w:id="78"/>
      <w:r>
        <w:t>Hobday, A.J., Alexander, L.V., Perkins, S.E., Smale, D.A., Straub, S.C., Oliver, E.C., Benthuysen, J.A., Burrows, M.T., Donat, M.G., Feng, M., others, 2016. A hierarchical approach to defining marine heatwaves. Progress in oceanography 141, 227–238.</w:t>
      </w:r>
    </w:p>
    <w:p w14:paraId="5BB13D68" w14:textId="77777777" w:rsidR="00A206A1" w:rsidRDefault="00000000">
      <w:pPr>
        <w:pStyle w:val="Bibliographie"/>
      </w:pPr>
      <w:bookmarkStart w:id="80" w:name="ref-hobday2018categorizing"/>
      <w:bookmarkEnd w:id="79"/>
      <w:r>
        <w:t>Hobday, A.J., Oliver, E.C., Gupta, A.S., Benthuysen, J.A., Burrows, M.T., Donat, M.G., Holbrook, N.J., Moore, P.J., Thomsen, M.S., Wernberg, T., others, 2018. Categorizing and naming marine heatwaves. Oceanography 31, 162–173.</w:t>
      </w:r>
    </w:p>
    <w:p w14:paraId="398D96AC" w14:textId="77777777" w:rsidR="00A206A1" w:rsidRDefault="00000000">
      <w:pPr>
        <w:pStyle w:val="Bibliographie"/>
      </w:pPr>
      <w:bookmarkStart w:id="81" w:name="ref-huete2012vegetation"/>
      <w:bookmarkEnd w:id="80"/>
      <w:r>
        <w:t>Huete, A.R., 2012. Vegetation indices, remote sensing and forest monitoring. Geography Compass 6, 513–532.</w:t>
      </w:r>
    </w:p>
    <w:p w14:paraId="07DA20CD" w14:textId="77777777" w:rsidR="00A206A1" w:rsidRDefault="00000000">
      <w:pPr>
        <w:pStyle w:val="Bibliographie"/>
      </w:pPr>
      <w:bookmarkStart w:id="82" w:name="ref-hughes2004genetic"/>
      <w:bookmarkEnd w:id="81"/>
      <w:r>
        <w:t xml:space="preserve">Hughes, A.R., Stachowicz, J.J., 2004. Genetic diversity enhances the resistance of a seagrass ecosystem to disturbance. Proceedings of the National Academy of Sciences 101, 8998–9002. </w:t>
      </w:r>
      <w:hyperlink r:id="rId30">
        <w:r>
          <w:rPr>
            <w:rStyle w:val="Lienhypertexte"/>
          </w:rPr>
          <w:t>https://doi.org/10.1073/pnas.0402642101</w:t>
        </w:r>
      </w:hyperlink>
    </w:p>
    <w:p w14:paraId="5629038E" w14:textId="77777777" w:rsidR="00A206A1" w:rsidRDefault="00000000">
      <w:pPr>
        <w:pStyle w:val="Bibliographie"/>
      </w:pPr>
      <w:bookmarkStart w:id="83" w:name="ref-ioc_sea_level_lecy"/>
      <w:bookmarkEnd w:id="82"/>
      <w:r>
        <w:t xml:space="preserve">IOC, 2024. </w:t>
      </w:r>
      <w:hyperlink r:id="rId31">
        <w:r>
          <w:rPr>
            <w:rStyle w:val="Lienhypertexte"/>
          </w:rPr>
          <w:t>Intergovernmental oceanographic commission ; sea level monitoring station - le conquet, france (LECY)</w:t>
        </w:r>
      </w:hyperlink>
      <w:r>
        <w:t>.</w:t>
      </w:r>
    </w:p>
    <w:p w14:paraId="7E7A496E" w14:textId="77777777" w:rsidR="00A206A1" w:rsidRDefault="00000000">
      <w:pPr>
        <w:pStyle w:val="Bibliographie"/>
      </w:pPr>
      <w:bookmarkStart w:id="84" w:name="ref-jankowska2019stabilizing"/>
      <w:bookmarkEnd w:id="83"/>
      <w:r>
        <w:lastRenderedPageBreak/>
        <w:t>Jankowska, E., Michel, L.N., Lepoint, G., Włodarska-Kowalczuk, M., 2019. Stabilizing effects of seagrass meadows on coastal water benthic food webs. Journal of Experimental Marine Biology and Ecology 510, 54–63.</w:t>
      </w:r>
    </w:p>
    <w:p w14:paraId="346001EA" w14:textId="77777777" w:rsidR="00A206A1" w:rsidRDefault="00000000">
      <w:pPr>
        <w:pStyle w:val="Bibliographie"/>
      </w:pPr>
      <w:bookmarkStart w:id="85" w:name="ref-jones1992leaf"/>
      <w:bookmarkEnd w:id="84"/>
      <w:r>
        <w:t xml:space="preserve">Jones, R.B., Clayton-Greene, K.A., 1992. The role of photosynthesis and oxidative reactions in leaf blackening of protea neriifolia r. Br. leaves. Scientia Horticulturae 50, 137–145. </w:t>
      </w:r>
      <w:hyperlink r:id="rId32">
        <w:r>
          <w:rPr>
            <w:rStyle w:val="Lienhypertexte"/>
          </w:rPr>
          <w:t>https://doi.org/10.1016/S0304-4238(05)80016-0</w:t>
        </w:r>
      </w:hyperlink>
    </w:p>
    <w:p w14:paraId="623638B6" w14:textId="77777777" w:rsidR="00A206A1" w:rsidRDefault="00000000">
      <w:pPr>
        <w:pStyle w:val="Bibliographie"/>
      </w:pPr>
      <w:bookmarkStart w:id="86" w:name="ref-kloos2021agricultural"/>
      <w:bookmarkEnd w:id="85"/>
      <w:r>
        <w:t>Kloos, S., Yuan, Y., Castelli, M., Menzel, A., 2021. Agricultural drought detection with MODIS based vegetation health indices in southeast germany. Remote Sensing 13, 3907.</w:t>
      </w:r>
    </w:p>
    <w:p w14:paraId="552A7BA0" w14:textId="77777777" w:rsidR="00A206A1" w:rsidRDefault="00000000">
      <w:pPr>
        <w:pStyle w:val="Bibliographie"/>
      </w:pPr>
      <w:bookmarkStart w:id="87" w:name="ref-knipling1970reflectance"/>
      <w:bookmarkEnd w:id="86"/>
      <w:r>
        <w:t xml:space="preserve">Knipling, E.B., 1970. Physical and physiological basis for the reflectance of visible and near-infrared radiation from vegetation. Remote Sensing of Environment 1, 155–159. </w:t>
      </w:r>
      <w:hyperlink r:id="rId33">
        <w:r>
          <w:rPr>
            <w:rStyle w:val="Lienhypertexte"/>
          </w:rPr>
          <w:t>https://doi.org/10.1016/S0034-4257(70)80021-9</w:t>
        </w:r>
      </w:hyperlink>
    </w:p>
    <w:p w14:paraId="59D59D56" w14:textId="77777777" w:rsidR="00A206A1" w:rsidRDefault="00000000">
      <w:pPr>
        <w:pStyle w:val="Bibliographie"/>
      </w:pPr>
      <w:bookmarkStart w:id="88" w:name="ref-loarie2009velocity"/>
      <w:bookmarkEnd w:id="87"/>
      <w:r>
        <w:t>Loarie, S.R., Duffy, P.B., Hamilton, H., Asner, G.P., Field, C.B., Ackerly, D.D., 2009. The velocity of climate change. Nature 462, 1052–1055.</w:t>
      </w:r>
    </w:p>
    <w:p w14:paraId="7301E1E0" w14:textId="77777777" w:rsidR="00A206A1" w:rsidRDefault="00000000">
      <w:pPr>
        <w:pStyle w:val="Bibliographie"/>
      </w:pPr>
      <w:bookmarkStart w:id="89" w:name="ref-louhaichi2001spatially"/>
      <w:bookmarkEnd w:id="88"/>
      <w:r>
        <w:t>Louhaichi, M., Borman, M.M., Johnson, D.E., 2001. Spatially located platform and aerial photography for documentation of grazing impacts on wheat. Geocarto International 16, 65–70.</w:t>
      </w:r>
    </w:p>
    <w:p w14:paraId="2A435553" w14:textId="77777777" w:rsidR="00A206A1" w:rsidRDefault="00000000">
      <w:pPr>
        <w:pStyle w:val="Bibliographie"/>
      </w:pPr>
      <w:bookmarkStart w:id="90" w:name="ref-massa2009temperature"/>
      <w:bookmarkEnd w:id="89"/>
      <w:r>
        <w:t>Massa, S., Arnaud-Haond, S., Pearson, G., Serrão, E., 2009. Temperature tolerance and survival of intertidal populations of the seagrass zostera noltii (hornemann) in southern europe (ria formosa, portugal). Hydrobiologia 619, 195–201.</w:t>
      </w:r>
    </w:p>
    <w:p w14:paraId="742D09DF" w14:textId="77777777" w:rsidR="00A206A1" w:rsidRDefault="00000000">
      <w:pPr>
        <w:pStyle w:val="Bibliographie"/>
      </w:pPr>
      <w:bookmarkStart w:id="91" w:name="ref-mazdiyasni2019hidf"/>
      <w:bookmarkEnd w:id="90"/>
      <w:r>
        <w:t xml:space="preserve">Mazdiyasni, O., Sadegh, M., Chiang, F., AghaKouchak, A., 2019. Heat wave intensity duration frequency curve: A multivariate approach for hazard and attribution analysis. Scientific Reports 9, 14117. </w:t>
      </w:r>
      <w:hyperlink r:id="rId34">
        <w:r>
          <w:rPr>
            <w:rStyle w:val="Lienhypertexte"/>
          </w:rPr>
          <w:t>https://doi.org/10.1038/s41598-019-50643-w</w:t>
        </w:r>
      </w:hyperlink>
    </w:p>
    <w:p w14:paraId="7EE09D1B" w14:textId="77777777" w:rsidR="00A206A1" w:rsidRDefault="00000000">
      <w:pPr>
        <w:pStyle w:val="Bibliographie"/>
      </w:pPr>
      <w:bookmarkStart w:id="92" w:name="ref-o2018seagrass"/>
      <w:bookmarkEnd w:id="91"/>
      <w:r>
        <w:t>O’Brien, K.R., Waycott, M., Maxwell, P., Kendrick, G.A., Udy, J.W., Ferguson, A.J., Kilminster, K., Scanes, P., McKenzie, L.J., McMahon, K., others, 2018. Seagrass ecosystem trajectory depends on the relative timescales of resistance, recovery and disturbance. Marine Pollution Bulletin 134, 166–176.</w:t>
      </w:r>
    </w:p>
    <w:p w14:paraId="09F800A2" w14:textId="77777777" w:rsidR="00A206A1" w:rsidRDefault="00000000">
      <w:pPr>
        <w:pStyle w:val="Bibliographie"/>
      </w:pPr>
      <w:bookmarkStart w:id="93" w:name="ref-oliver2019projected"/>
      <w:bookmarkEnd w:id="92"/>
      <w:r>
        <w:t xml:space="preserve">Oliver, E.C.J., Burrows, M.T., Donat, M.G., others, 2019. Projected marine heatwaves in the 21st century and the potential for ecological impact. Frontiers in Marine Science 6, 734. </w:t>
      </w:r>
      <w:hyperlink r:id="rId35">
        <w:r>
          <w:rPr>
            <w:rStyle w:val="Lienhypertexte"/>
          </w:rPr>
          <w:t>https://doi.org/10.3389/fmars.2019.00734</w:t>
        </w:r>
      </w:hyperlink>
    </w:p>
    <w:p w14:paraId="0A3D0904" w14:textId="77777777" w:rsidR="00A206A1" w:rsidRDefault="00000000">
      <w:pPr>
        <w:pStyle w:val="Bibliographie"/>
      </w:pPr>
      <w:bookmarkStart w:id="94" w:name="ref-pansch2018heat"/>
      <w:bookmarkEnd w:id="93"/>
      <w:r>
        <w:t xml:space="preserve">Pansch, C., Scotti, M., Barboza, F.R., others, 2018. Heat waves and their significance for a temperate benthic community: A near-natural experimental approach. Global Change Biology 24, 4357–4367. </w:t>
      </w:r>
      <w:hyperlink r:id="rId36">
        <w:r>
          <w:rPr>
            <w:rStyle w:val="Lienhypertexte"/>
          </w:rPr>
          <w:t>https://doi.org/10.1111/gcb.14282</w:t>
        </w:r>
      </w:hyperlink>
    </w:p>
    <w:p w14:paraId="628FA0D6" w14:textId="77777777" w:rsidR="00A206A1" w:rsidRDefault="00000000">
      <w:pPr>
        <w:pStyle w:val="Bibliographie"/>
      </w:pPr>
      <w:bookmarkStart w:id="95" w:name="ref-papathanasopoulou2019satellite"/>
      <w:bookmarkEnd w:id="94"/>
      <w:r>
        <w:lastRenderedPageBreak/>
        <w:t>Papathanasopoulou, E., Simis, S., Alikas, K., Ansper, A., Anttila, J., Barillé, A., Barillé, L., Brando, V., Bresciani, M., Bučas, M., others, 2019. Satellite-assisted monitoring of water quality to support the implementation of the water framework directive. EOMORES white paper.</w:t>
      </w:r>
    </w:p>
    <w:p w14:paraId="3B1A2F66" w14:textId="77777777" w:rsidR="00A206A1" w:rsidRDefault="00000000">
      <w:pPr>
        <w:pStyle w:val="Bibliographie"/>
      </w:pPr>
      <w:bookmarkStart w:id="96" w:name="ref-perkins2013measurement"/>
      <w:bookmarkEnd w:id="95"/>
      <w:r>
        <w:t>Perkins, S.E., Alexander, L.V., 2013. On the measurement of heat waves. Journal of climate 26, 4500–4517.</w:t>
      </w:r>
    </w:p>
    <w:p w14:paraId="769926FB" w14:textId="77777777" w:rsidR="00A206A1" w:rsidRDefault="00000000">
      <w:pPr>
        <w:pStyle w:val="Bibliographie"/>
      </w:pPr>
      <w:bookmarkStart w:id="97" w:name="ref-ramesh2020seagrass"/>
      <w:bookmarkEnd w:id="96"/>
      <w:r>
        <w:t>Ramesh, C., Mohanraju, R., 2020. Seagrass ecosystems of andaman and nicobar islands: Status and future perspective. Environmental &amp; Earth Sciences Research Journal 7.</w:t>
      </w:r>
    </w:p>
    <w:p w14:paraId="6C795D99" w14:textId="77777777" w:rsidR="00A206A1" w:rsidRDefault="00000000">
      <w:pPr>
        <w:pStyle w:val="Bibliographie"/>
      </w:pPr>
      <w:bookmarkStart w:id="98" w:name="ref-reusch2005ecosystem"/>
      <w:bookmarkEnd w:id="97"/>
      <w:r>
        <w:t xml:space="preserve">Reusch, T.B., Ehlers, A., Hämmerli, A., Worm, B., 2005. Ecosystem recovery after climatic extremes enhanced by genotypic diversity. Proceedings of the National Academy of Sciences 102, 2826–2831. </w:t>
      </w:r>
      <w:hyperlink r:id="rId37">
        <w:r>
          <w:rPr>
            <w:rStyle w:val="Lienhypertexte"/>
          </w:rPr>
          <w:t>https://doi.org/10.1073/pnas.0500008102</w:t>
        </w:r>
      </w:hyperlink>
    </w:p>
    <w:p w14:paraId="07089E83" w14:textId="77777777" w:rsidR="00A206A1" w:rsidRDefault="00000000">
      <w:pPr>
        <w:pStyle w:val="Bibliographie"/>
      </w:pPr>
      <w:bookmarkStart w:id="99" w:name="ref-rouse1974monitoring"/>
      <w:bookmarkEnd w:id="98"/>
      <w:r>
        <w:t>Rouse, J.W., Haas, R.H., Schell, J.A., Deering, D.W., others, 1974. Monitoring vegetation systems in the great plains with ERTS. NASA Spec. Publ 351, 309.</w:t>
      </w:r>
    </w:p>
    <w:p w14:paraId="70B5B8AA" w14:textId="77777777" w:rsidR="00A206A1" w:rsidRDefault="00000000">
      <w:pPr>
        <w:pStyle w:val="Bibliographie"/>
      </w:pPr>
      <w:bookmarkStart w:id="100" w:name="ref-russo2023intensity"/>
      <w:bookmarkEnd w:id="99"/>
      <w:r>
        <w:t xml:space="preserve">Russo, E., Domeisen, D.I.V., 2023. Increasing intensity of extreme heatwaves: The crucial role of metrics. Geophysical Research Letters 50, e2023GL103540. </w:t>
      </w:r>
      <w:hyperlink r:id="rId38">
        <w:r>
          <w:rPr>
            <w:rStyle w:val="Lienhypertexte"/>
          </w:rPr>
          <w:t>https://doi.org/10.1029/2023GL103540</w:t>
        </w:r>
      </w:hyperlink>
    </w:p>
    <w:p w14:paraId="067A50FD" w14:textId="77777777" w:rsidR="00A206A1" w:rsidRDefault="00000000">
      <w:pPr>
        <w:pStyle w:val="Bibliographie"/>
      </w:pPr>
      <w:bookmarkStart w:id="101" w:name="ref-samper2020characterization"/>
      <w:bookmarkEnd w:id="100"/>
      <w:r>
        <w:t>Samper-Villarreal, J., Bolaños, R.C., Heidemeyer, M., Vargas, M.M., Vargas, R.M., 2020. Characterization of seagrasses at two new locations in the eastern tropical pacific (el jobo and matapalito, costa rica). Aquatic botany 165, 103237.</w:t>
      </w:r>
    </w:p>
    <w:p w14:paraId="1D81BDDF" w14:textId="77777777" w:rsidR="00A206A1" w:rsidRDefault="00000000">
      <w:pPr>
        <w:pStyle w:val="Bibliographie"/>
      </w:pPr>
      <w:bookmarkStart w:id="102" w:name="ref-sawall2021chronically"/>
      <w:bookmarkEnd w:id="101"/>
      <w:r>
        <w:t>Sawall, Y., Ito, M., Pansch, C., 2021. Chronically elevated sea surface temperatures revealed high susceptibility of the eelgrass zostera marina to winter and spring warming. Limnology and Oceanography 66, 4112–4124.</w:t>
      </w:r>
    </w:p>
    <w:p w14:paraId="155DE430" w14:textId="77777777" w:rsidR="00A206A1" w:rsidRDefault="00000000">
      <w:pPr>
        <w:pStyle w:val="Bibliographie"/>
      </w:pPr>
      <w:bookmarkStart w:id="103" w:name="ref-heatwaveR"/>
      <w:bookmarkEnd w:id="102"/>
      <w:r>
        <w:t xml:space="preserve">Schlegel, R.W., Smit, A.J., 2018. heatwaveR: A central algorithm for the detection of heatwaves and cold-spells. Journal of Open Source Software 3, 821. </w:t>
      </w:r>
      <w:hyperlink r:id="rId39">
        <w:r>
          <w:rPr>
            <w:rStyle w:val="Lienhypertexte"/>
          </w:rPr>
          <w:t>https://doi.org/10.21105/joss.00821</w:t>
        </w:r>
      </w:hyperlink>
    </w:p>
    <w:p w14:paraId="4E07C68D" w14:textId="77777777" w:rsidR="00A206A1" w:rsidRDefault="00000000">
      <w:pPr>
        <w:pStyle w:val="Bibliographie"/>
      </w:pPr>
      <w:bookmarkStart w:id="104" w:name="ref-scott2018role"/>
      <w:bookmarkEnd w:id="103"/>
      <w:r>
        <w:t>Scott, A.L., York, P.H., Duncan, C., Macreadie, P.I., Connolly, R.M., Ellis, M.T., Jarvis, J.C., Jinks, K.I., Marsh, H., Rasheed, M.A., 2018. The role of herbivory in structuring tropical seagrass ecosystem service delivery. Frontiers in Plant Science 9, 127.</w:t>
      </w:r>
    </w:p>
    <w:p w14:paraId="1B58E325" w14:textId="77777777" w:rsidR="00A206A1" w:rsidRPr="00D32EE1" w:rsidRDefault="00000000">
      <w:pPr>
        <w:pStyle w:val="Bibliographie"/>
        <w:rPr>
          <w:lang w:val="fr-FR"/>
        </w:rPr>
      </w:pPr>
      <w:bookmarkStart w:id="105" w:name="ref-sevgi2022bitkilerde"/>
      <w:bookmarkEnd w:id="104"/>
      <w:r>
        <w:t xml:space="preserve">Sevgi, K., Leblebici, S., 2022. Bitkilerde ağır metal stresine verilen fizyolojik ve moleküler yanıtlar. </w:t>
      </w:r>
      <w:r w:rsidRPr="00D32EE1">
        <w:rPr>
          <w:lang w:val="fr-FR"/>
        </w:rPr>
        <w:t>Journal of Anatolian Environmental and Animal Sciences 7, 528–536.</w:t>
      </w:r>
    </w:p>
    <w:p w14:paraId="3C0EC6B4" w14:textId="77777777" w:rsidR="00A206A1" w:rsidRPr="00D32EE1" w:rsidRDefault="00000000">
      <w:pPr>
        <w:pStyle w:val="Bibliographie"/>
        <w:rPr>
          <w:lang w:val="fr-FR"/>
        </w:rPr>
      </w:pPr>
      <w:bookmarkStart w:id="106" w:name="ref-shom_ram_2022"/>
      <w:bookmarkEnd w:id="105"/>
      <w:r w:rsidRPr="00D32EE1">
        <w:rPr>
          <w:lang w:val="fr-FR"/>
        </w:rPr>
        <w:lastRenderedPageBreak/>
        <w:t xml:space="preserve">Shom, 2022. </w:t>
      </w:r>
      <w:hyperlink r:id="rId40">
        <w:r w:rsidRPr="00D32EE1">
          <w:rPr>
            <w:rStyle w:val="Lienhypertexte"/>
            <w:lang w:val="fr-FR"/>
          </w:rPr>
          <w:t>Service hydrographique et océanographique de la marine ; références altimétriques maritimes: Ports de france métropolitaine et d’outre-mer, cotes du zéro hydrographique et niveaux caractéristiques de la marée</w:t>
        </w:r>
      </w:hyperlink>
      <w:r w:rsidRPr="00D32EE1">
        <w:rPr>
          <w:lang w:val="fr-FR"/>
        </w:rPr>
        <w:t>. Shom, Brest, France.</w:t>
      </w:r>
    </w:p>
    <w:p w14:paraId="1DE9AD14" w14:textId="77777777" w:rsidR="00A206A1" w:rsidRPr="00D32EE1" w:rsidRDefault="00000000">
      <w:pPr>
        <w:pStyle w:val="Bibliographie"/>
        <w:rPr>
          <w:lang w:val="fr-FR"/>
        </w:rPr>
      </w:pPr>
      <w:bookmarkStart w:id="107" w:name="Xbef41143b4d4042e58f11cfc27e216202646012"/>
      <w:bookmarkEnd w:id="106"/>
      <w:r w:rsidRPr="00D32EE1">
        <w:rPr>
          <w:lang w:val="fr-FR"/>
        </w:rPr>
        <w:t xml:space="preserve">SHOM, 2021. </w:t>
      </w:r>
      <w:hyperlink r:id="rId41" w:anchor="/metadata/BATHYMETRIE_LITTO3D_BZH_2018_2021.xml">
        <w:r w:rsidRPr="00D32EE1">
          <w:rPr>
            <w:rStyle w:val="Lienhypertexte"/>
            <w:lang w:val="fr-FR"/>
          </w:rPr>
          <w:t>Service hydrographique et océanographique de la marine ; bathymétrie Litto3D® bretagne 2018-2021</w:t>
        </w:r>
      </w:hyperlink>
      <w:r w:rsidRPr="00D32EE1">
        <w:rPr>
          <w:lang w:val="fr-FR"/>
        </w:rPr>
        <w:t>.</w:t>
      </w:r>
    </w:p>
    <w:p w14:paraId="28A188E5" w14:textId="77777777" w:rsidR="00A206A1" w:rsidRDefault="00000000">
      <w:pPr>
        <w:pStyle w:val="Bibliographie"/>
      </w:pPr>
      <w:bookmarkStart w:id="108" w:name="ref-simolo2022quantifying"/>
      <w:bookmarkEnd w:id="107"/>
      <w:r>
        <w:t xml:space="preserve">Simolo, C., Corti, S., 2022. Quantifying the role of variability in future intensification of heat extremes. Nature Communications 13. </w:t>
      </w:r>
      <w:hyperlink r:id="rId42">
        <w:r>
          <w:rPr>
            <w:rStyle w:val="Lienhypertexte"/>
          </w:rPr>
          <w:t>https://doi.org/10.1038/s41467-022-35571-0</w:t>
        </w:r>
      </w:hyperlink>
    </w:p>
    <w:p w14:paraId="580D8E9C" w14:textId="77777777" w:rsidR="00A206A1" w:rsidRDefault="00000000">
      <w:pPr>
        <w:pStyle w:val="Bibliographie"/>
      </w:pPr>
      <w:bookmarkStart w:id="109" w:name="ref-smale2019marine"/>
      <w:bookmarkEnd w:id="108"/>
      <w:r>
        <w:t xml:space="preserve">Smale, D.A., Wernberg, T., Oliver, E.C.J., others, 2019. Marine heatwaves threaten global biodiversity and the provision of ecosystem services. Nature Climate Change 9, 306–312. </w:t>
      </w:r>
      <w:hyperlink r:id="rId43">
        <w:r>
          <w:rPr>
            <w:rStyle w:val="Lienhypertexte"/>
          </w:rPr>
          <w:t>https://doi.org/10.1038/s41558-019-0412-1</w:t>
        </w:r>
      </w:hyperlink>
    </w:p>
    <w:p w14:paraId="1B24D336" w14:textId="77777777" w:rsidR="00A206A1" w:rsidRDefault="00000000">
      <w:pPr>
        <w:pStyle w:val="Bibliographie"/>
      </w:pPr>
      <w:bookmarkStart w:id="110" w:name="ref-sousa2019blue"/>
      <w:bookmarkEnd w:id="109"/>
      <w:r>
        <w:t>Sousa, A.I., Silva, J.F. da, Azevedo, A., Lillebø, A.I., 2019. Blue carbon stock in zostera noltei meadows at ria de aveiro coastal lagoon (portugal) over a decade. Scientific reports 9, 14387.</w:t>
      </w:r>
    </w:p>
    <w:p w14:paraId="6EC77E9A" w14:textId="77777777" w:rsidR="00A206A1" w:rsidRDefault="00000000">
      <w:pPr>
        <w:pStyle w:val="Bibliographie"/>
      </w:pPr>
      <w:bookmarkStart w:id="111" w:name="ref-stillman2019heat"/>
      <w:bookmarkEnd w:id="110"/>
      <w:r>
        <w:t xml:space="preserve">Stillman, J.H., 2019. Heat waves, the new normal: Summertime temperature extremes will impact animals, ecosystems, and human communities. Physiology 34, 86–100. </w:t>
      </w:r>
      <w:hyperlink r:id="rId44">
        <w:r>
          <w:rPr>
            <w:rStyle w:val="Lienhypertexte"/>
          </w:rPr>
          <w:t>https://doi.org/10.1152/physiol.00040.2018</w:t>
        </w:r>
      </w:hyperlink>
    </w:p>
    <w:p w14:paraId="7650DECA" w14:textId="77777777" w:rsidR="00A206A1" w:rsidRDefault="00000000">
      <w:pPr>
        <w:pStyle w:val="Bibliographie"/>
      </w:pPr>
      <w:bookmarkStart w:id="112" w:name="ref-thomsen2023meadow"/>
      <w:bookmarkEnd w:id="111"/>
      <w:r>
        <w:t>Thomsen, E., Herbeck, L.S., Viana, I.G., Jennerjahn, T.C., 2023. Meadow trophic status regulates the nitrogen filter function of tropical seagrasses in seasonally eutrophic coastal waters. Limnology and Oceanography 68, 1906–1919.</w:t>
      </w:r>
    </w:p>
    <w:p w14:paraId="177FED89" w14:textId="77777777" w:rsidR="00A206A1" w:rsidRDefault="00000000">
      <w:pPr>
        <w:pStyle w:val="Bibliographie"/>
      </w:pPr>
      <w:bookmarkStart w:id="113" w:name="ref-unsworth2014biodiversity"/>
      <w:bookmarkEnd w:id="112"/>
      <w:r>
        <w:t>Unsworth, R., Cullen-Unsworth, L.C., 2014. Biodiversity, ecosystem services, and the conservation of seagrass meadows. Coast. Conserv 19, 95.</w:t>
      </w:r>
    </w:p>
    <w:p w14:paraId="21C867E1" w14:textId="77777777" w:rsidR="00A206A1" w:rsidRDefault="00000000">
      <w:pPr>
        <w:pStyle w:val="Bibliographie"/>
      </w:pPr>
      <w:bookmarkStart w:id="114" w:name="ref-unsworth2022planetary"/>
      <w:bookmarkEnd w:id="113"/>
      <w:r>
        <w:t>Unsworth, R.K., Cullen-Unsworth, L.C., Jones, B.L., Lilley, R.J., 2022. The planetary role of seagrass conservation. Science 377, 609–613.</w:t>
      </w:r>
    </w:p>
    <w:p w14:paraId="2045E4AD" w14:textId="77777777" w:rsidR="00A206A1" w:rsidRDefault="00000000">
      <w:pPr>
        <w:pStyle w:val="Bibliographie"/>
      </w:pPr>
      <w:bookmarkStart w:id="115" w:name="ref-waycott2009accelerating"/>
      <w:bookmarkEnd w:id="114"/>
      <w:r>
        <w:t>Waycott, M., Duarte, C.M., Carruthers, T.J., Orth, R.J., Dennison, W.C., Olyarnik, S., Calladine, A., Fourqurean, J.W., Heck Jr, K.L., Hughes, A.R., others, 2009. Accelerating loss of seagrasses across the globe threatens coastal ecosystems. Proceedings of the national academy of sciences 106, 12377–12381.</w:t>
      </w:r>
    </w:p>
    <w:p w14:paraId="346294B2" w14:textId="77777777" w:rsidR="00A206A1" w:rsidRDefault="00000000">
      <w:pPr>
        <w:pStyle w:val="Bibliographie"/>
      </w:pPr>
      <w:bookmarkStart w:id="116" w:name="ref-winters2011effects"/>
      <w:bookmarkEnd w:id="115"/>
      <w:r>
        <w:t>Winters, G., Nelle, P., Fricke, B., Rauch, G., Reusch, T.B., 2011. Effects of a simulated heat wave on photophysiology and gene expression of high-and low-latitude populations of zostera marina. Marine Ecology Progress Series 435, 83–95.</w:t>
      </w:r>
    </w:p>
    <w:p w14:paraId="44EF2DF5" w14:textId="77777777" w:rsidR="00A206A1" w:rsidRDefault="00000000">
      <w:pPr>
        <w:pStyle w:val="Bibliographie"/>
      </w:pPr>
      <w:bookmarkStart w:id="117" w:name="ref-zoffoli2021decadal"/>
      <w:bookmarkEnd w:id="116"/>
      <w:r>
        <w:t>Zoffoli, M.L., Gernez, P., Godet, L., Peters, S., Oiry, S., Barillé, L., 2021. Decadal increase in the ecological status of a north-atlantic intertidal seagrass meadow observed with multi-mission satellite time-series. Ecological Indicators 130, 108033.</w:t>
      </w:r>
    </w:p>
    <w:p w14:paraId="26C2D9CF" w14:textId="77777777" w:rsidR="00A206A1" w:rsidRDefault="00000000">
      <w:pPr>
        <w:pStyle w:val="Bibliographie"/>
      </w:pPr>
      <w:bookmarkStart w:id="118" w:name="ref-zoffoli2023remote"/>
      <w:bookmarkEnd w:id="117"/>
      <w:r>
        <w:lastRenderedPageBreak/>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 </w:t>
      </w:r>
      <w:hyperlink r:id="rId45">
        <w:r>
          <w:rPr>
            <w:rStyle w:val="Lienhypertexte"/>
          </w:rPr>
          <w:t>https://doi.org/10.1002/rse2.319</w:t>
        </w:r>
      </w:hyperlink>
    </w:p>
    <w:p w14:paraId="1C2AB0D2" w14:textId="77777777" w:rsidR="00A206A1" w:rsidRDefault="00000000">
      <w:pPr>
        <w:pStyle w:val="Bibliographie"/>
      </w:pPr>
      <w:bookmarkStart w:id="119" w:name="ref-zoffoli2020sentinel"/>
      <w:bookmarkEnd w:id="118"/>
      <w:r w:rsidRPr="00D32EE1">
        <w:rPr>
          <w:lang w:val="fr-FR"/>
        </w:rPr>
        <w:t xml:space="preserve">Zoffoli, M.L., Gernez, P., Rosa, P., Le Bris, A., Brando, V.E., Barillé, A.-L., Harin, N., Peters, S., Poser, K., Spaias, L., others, 2020. </w:t>
      </w:r>
      <w:r>
        <w:t>Sentinel-2 remote sensing of zostera noltei-dominated intertidal seagrass meadows. Remote Sensing of Environment 251, 112020.</w:t>
      </w:r>
      <w:bookmarkEnd w:id="55"/>
      <w:bookmarkEnd w:id="57"/>
      <w:bookmarkEnd w:id="119"/>
    </w:p>
    <w:sectPr w:rsidR="00A206A1">
      <w:footerReference w:type="default" r:id="rId4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64615D" w14:textId="77777777" w:rsidR="00B820E1" w:rsidRDefault="00B820E1">
      <w:pPr>
        <w:spacing w:after="0"/>
      </w:pPr>
      <w:r>
        <w:separator/>
      </w:r>
    </w:p>
  </w:endnote>
  <w:endnote w:type="continuationSeparator" w:id="0">
    <w:p w14:paraId="1A5B46CB" w14:textId="77777777" w:rsidR="00B820E1" w:rsidRDefault="00B820E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83285314"/>
      <w:docPartObj>
        <w:docPartGallery w:val="Page Numbers (Bottom of Page)"/>
        <w:docPartUnique/>
      </w:docPartObj>
    </w:sdtPr>
    <w:sdtEndPr>
      <w:rPr>
        <w:noProof/>
      </w:rPr>
    </w:sdtEndPr>
    <w:sdtContent>
      <w:p w14:paraId="07718FB7" w14:textId="77777777" w:rsidR="00000000" w:rsidRDefault="00000000">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2AA31249" w14:textId="77777777" w:rsidR="00000000" w:rsidRDefault="000000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AE98F6" w14:textId="77777777" w:rsidR="00B820E1" w:rsidRDefault="00B820E1">
      <w:pPr>
        <w:spacing w:after="0"/>
      </w:pPr>
      <w:r>
        <w:separator/>
      </w:r>
    </w:p>
  </w:footnote>
  <w:footnote w:type="continuationSeparator" w:id="0">
    <w:p w14:paraId="74B9B0B6" w14:textId="77777777" w:rsidR="00B820E1" w:rsidRDefault="00B820E1">
      <w:pPr>
        <w:spacing w:after="0"/>
      </w:pPr>
      <w:r>
        <w:continuationSeparator/>
      </w:r>
    </w:p>
  </w:footnote>
  <w:footnote w:id="1">
    <w:p w14:paraId="106C3090" w14:textId="77777777" w:rsidR="00A206A1" w:rsidRPr="00D32EE1" w:rsidRDefault="00000000">
      <w:pPr>
        <w:pStyle w:val="Notedebasdepage"/>
        <w:rPr>
          <w:lang w:val="fr-FR"/>
        </w:rPr>
      </w:pPr>
      <w:r>
        <w:rPr>
          <w:rStyle w:val="Appelnotedebasdep"/>
        </w:rPr>
        <w:footnoteRef/>
      </w:r>
      <w:r w:rsidRPr="00D32EE1">
        <w:rPr>
          <w:lang w:val="fr-FR"/>
        </w:rPr>
        <w:t xml:space="preserve"> Institut des Substances et Organismes de la Mer, ISOMer, Nantes Université, UR 2160, F-44000 Nantes, France</w:t>
      </w:r>
    </w:p>
  </w:footnote>
  <w:footnote w:id="2">
    <w:p w14:paraId="218FC966" w14:textId="77777777" w:rsidR="00A206A1" w:rsidRPr="00D32EE1" w:rsidRDefault="00000000">
      <w:pPr>
        <w:pStyle w:val="Notedebasdepage"/>
        <w:rPr>
          <w:lang w:val="fr-FR"/>
        </w:rPr>
      </w:pPr>
      <w:r>
        <w:rPr>
          <w:rStyle w:val="Appelnotedebasdep"/>
        </w:rPr>
        <w:footnoteRef/>
      </w:r>
      <w:r w:rsidRPr="00D32EE1">
        <w:rPr>
          <w:lang w:val="fr-FR"/>
        </w:rPr>
        <w:t xml:space="preserve"> Consiglio Nazionale delle Ricerche, Istituto di Scienze Marine (CNR-ISMAR), 00133 Rome, Italy</w:t>
      </w:r>
    </w:p>
  </w:footnote>
  <w:footnote w:id="3">
    <w:p w14:paraId="242E13AA" w14:textId="77777777" w:rsidR="00A206A1" w:rsidRPr="00D32EE1" w:rsidRDefault="00000000">
      <w:pPr>
        <w:pStyle w:val="Notedebasdepage"/>
        <w:rPr>
          <w:lang w:val="fr-FR"/>
        </w:rPr>
      </w:pPr>
      <w:r>
        <w:rPr>
          <w:rStyle w:val="Appelnotedebasdep"/>
        </w:rPr>
        <w:footnoteRef/>
      </w:r>
      <w:r w:rsidRPr="00D32EE1">
        <w:rPr>
          <w:lang w:val="fr-FR"/>
        </w:rPr>
        <w:t xml:space="preserve"> Bio-littoral, Immeuble Le Nevada, 2 Rue du Château de l’Eraudière, 44300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F6CFC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03699836">
    <w:abstractNumId w:val="0"/>
  </w:num>
  <w:num w:numId="2" w16cid:durableId="1543325366">
    <w:abstractNumId w:val="0"/>
  </w:num>
  <w:num w:numId="3" w16cid:durableId="868227942">
    <w:abstractNumId w:val="1"/>
  </w:num>
  <w:num w:numId="4" w16cid:durableId="328488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6A1"/>
    <w:rsid w:val="00652A40"/>
    <w:rsid w:val="00A206A1"/>
    <w:rsid w:val="00B820E1"/>
    <w:rsid w:val="00D32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15454"/>
  <w15:docId w15:val="{97D06843-8DD3-4BBD-9802-A492B4C7C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07/s11099-007-0084-3" TargetMode="External"/><Relationship Id="rId39" Type="http://schemas.openxmlformats.org/officeDocument/2006/relationships/hyperlink" Target="https://doi.org/10.21105/joss.00821" TargetMode="External"/><Relationship Id="rId21" Type="http://schemas.openxmlformats.org/officeDocument/2006/relationships/image" Target="media/image12.png"/><Relationship Id="rId34" Type="http://schemas.openxmlformats.org/officeDocument/2006/relationships/hyperlink" Target="https://doi.org/10.1038/s41598-019-50643-w" TargetMode="External"/><Relationship Id="rId42" Type="http://schemas.openxmlformats.org/officeDocument/2006/relationships/hyperlink" Target="https://doi.org/10.1038/s41467-022-35571-0"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02/aqc.42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3354/meps14588" TargetMode="External"/><Relationship Id="rId32" Type="http://schemas.openxmlformats.org/officeDocument/2006/relationships/hyperlink" Target="https://doi.org/10.1016/S0304-4238(05)80016-0" TargetMode="External"/><Relationship Id="rId37" Type="http://schemas.openxmlformats.org/officeDocument/2006/relationships/hyperlink" Target="https://doi.org/10.1073/pnas.0500008102" TargetMode="External"/><Relationship Id="rId40" Type="http://schemas.openxmlformats.org/officeDocument/2006/relationships/hyperlink" Target="https://diffusion.shom.fr/references-altimetriques-maritimes-ram.html" TargetMode="External"/><Relationship Id="rId45" Type="http://schemas.openxmlformats.org/officeDocument/2006/relationships/hyperlink" Target="https://doi.org/10.1002/rse2.319"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i.org/10.1016/j.rse.2024.114340" TargetMode="External"/><Relationship Id="rId36" Type="http://schemas.openxmlformats.org/officeDocument/2006/relationships/hyperlink" Target="https://doi.org/10.1111/gcb.14282"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ioc-sealevelmonitoring.org/station.php?code=lecy" TargetMode="External"/><Relationship Id="rId44" Type="http://schemas.openxmlformats.org/officeDocument/2006/relationships/hyperlink" Target="https://doi.org/10.1152/physiol.00040.2018" TargetMode="External"/><Relationship Id="rId4" Type="http://schemas.openxmlformats.org/officeDocument/2006/relationships/webSettings" Target="webSettings.xml"/><Relationship Id="rId9" Type="http://schemas.openxmlformats.org/officeDocument/2006/relationships/hyperlink" Target="https://www.malvernpanalytical.com/en/learn/knowledge-center/user-manuals/rs3-software-user-manua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1038/s43247-024-01543-z" TargetMode="External"/><Relationship Id="rId30" Type="http://schemas.openxmlformats.org/officeDocument/2006/relationships/hyperlink" Target="https://doi.org/10.1073/pnas.0402642101" TargetMode="External"/><Relationship Id="rId35" Type="http://schemas.openxmlformats.org/officeDocument/2006/relationships/hyperlink" Target="https://doi.org/10.3389/fmars.2019.00734" TargetMode="External"/><Relationship Id="rId43" Type="http://schemas.openxmlformats.org/officeDocument/2006/relationships/hyperlink" Target="https://doi.org/10.1038/s41558-019-0412-1" TargetMode="External"/><Relationship Id="rId48" Type="http://schemas.openxmlformats.org/officeDocument/2006/relationships/theme" Target="theme/theme1.xml"/><Relationship Id="rId8" Type="http://schemas.openxmlformats.org/officeDocument/2006/relationships/hyperlink" Target="https://electricblue.eu/intertidal-chamber" TargetMode="External"/><Relationship Id="rId3" Type="http://schemas.openxmlformats.org/officeDocument/2006/relationships/settings" Target="settings.xml"/><Relationship Id="rId12" Type="http://schemas.openxmlformats.org/officeDocument/2006/relationships/hyperlink" Target="https://github.com/SigOiry/HeatWave_Seagrasses/blob/main/Scripts/MeteoFrance_Extraction.qmd" TargetMode="External"/><Relationship Id="rId17" Type="http://schemas.openxmlformats.org/officeDocument/2006/relationships/image" Target="media/image8.png"/><Relationship Id="rId25" Type="http://schemas.openxmlformats.org/officeDocument/2006/relationships/hyperlink" Target="https://doi.org/10.48670/moi-00311" TargetMode="External"/><Relationship Id="rId33" Type="http://schemas.openxmlformats.org/officeDocument/2006/relationships/hyperlink" Target="https://doi.org/10.1016/S0034-4257(70)80021-9" TargetMode="External"/><Relationship Id="rId38" Type="http://schemas.openxmlformats.org/officeDocument/2006/relationships/hyperlink" Target="https://doi.org/10.1029/2023GL103540" TargetMode="External"/><Relationship Id="rId4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hyperlink" Target="https://services.data.shom.fr/geonetwork/srv/fre/catalog.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44</Pages>
  <Words>11329</Words>
  <Characters>62314</Characters>
  <Application>Microsoft Office Word</Application>
  <DocSecurity>0</DocSecurity>
  <Lines>519</Lines>
  <Paragraphs>146</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73497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Oiry;Bede Ffinian Rowe Davies¹;Philippe Rosa¹;Augustin Debly¹;Maria Laura Zoffoli;Anne-Laure Barillé;Nicolas Harin³;Pierre Gernez¹;Laurent Barillé¹</dc:creator>
  <cp:keywords>Remote Sensing, Pigment Composition, Seagrass, Coastal Ecosystems, Heatwaves</cp:keywords>
  <cp:lastModifiedBy>simon oiry</cp:lastModifiedBy>
  <cp:revision>1</cp:revision>
  <dcterms:created xsi:type="dcterms:W3CDTF">2024-11-11T23:35:00Z</dcterms:created>
  <dcterms:modified xsi:type="dcterms:W3CDTF">2024-11-11T23:36:00Z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2024-11-12</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