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9.png" ContentType="image/png"/>
  <Override PartName="/word/media/rId112.png" ContentType="image/png"/>
  <Override PartName="/word/media/rId84.png" ContentType="image/png"/>
  <Override PartName="/word/media/rId24.png" ContentType="image/png"/>
  <Override PartName="/word/media/rId95.png" ContentType="image/png"/>
  <Override PartName="/word/media/rId78.png" ContentType="image/png"/>
  <Override PartName="/word/media/rId90.png" ContentType="image/png"/>
  <Override PartName="/word/media/rId38.png" ContentType="image/png"/>
  <Override PartName="/word/media/rId71.png" ContentType="image/png"/>
  <Override PartName="/word/media/rId43.png" ContentType="image/png"/>
  <Override PartName="/word/media/rId66.png" ContentType="image/png"/>
  <Override PartName="/word/media/rId60.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 of Marine and Atmospheric Heatwaves on Reflectance of Intertidal</w:t>
      </w:r>
      <w:r>
        <w:t xml:space="preserve"> </w:t>
      </w:r>
      <w:r>
        <w:rPr>
          <w:i/>
          <w:iCs/>
        </w:rPr>
        <w:t xml:space="preserve">Zostera noltei</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Pierre Gernez¹</w:t>
      </w:r>
    </w:p>
    <w:p>
      <w:pPr>
        <w:pStyle w:val="Author"/>
      </w:pPr>
      <w:r>
        <w:t xml:space="preserve">Laurent Barillé¹</w:t>
      </w:r>
    </w:p>
    <w:p>
      <w:pPr>
        <w:pStyle w:val="Date"/>
      </w:pPr>
      <w:r>
        <w:t xml:space="preserve">2024-11-14</w:t>
      </w:r>
    </w:p>
    <w:p>
      <w:pPr>
        <w:pStyle w:val="AbstractTitle"/>
      </w:pPr>
      <w:r>
        <w:t xml:space="preserve">Abstract</w:t>
      </w:r>
    </w:p>
    <w:p>
      <w:pPr>
        <w:pStyle w:val="Abstract"/>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reflectance of the intertidal seagrass</w:t>
      </w:r>
      <w:r>
        <w:t xml:space="preserve"> </w:t>
      </w:r>
      <w:r>
        <w:rPr>
          <w:i/>
          <w:iCs/>
        </w:rPr>
        <w:t xml:space="preserve">Zostera noltei</w:t>
      </w:r>
      <w:r>
        <w:t xml:space="preserve">. We performed laboratory experiments, exposing</w:t>
      </w:r>
      <w:r>
        <w:t xml:space="preserve"> </w:t>
      </w:r>
      <w:r>
        <w:rPr>
          <w:i/>
          <w:iCs/>
        </w:rPr>
        <w:t xml:space="preserve">Z.noltei</w:t>
      </w:r>
      <w:r>
        <w:t xml:space="preserve"> </w:t>
      </w:r>
      <w:r>
        <w:t xml:space="preserve">samples to controlled heatwave conditions while measuring hyperspectral reflectance to assess impact over time. We found that heatwaves induced significant declines in seagrass reflectance, particularly in the green and near-infrared regions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the atmospheric heatwave for more than 13.5 hours a day. This work highlights the need for continuous monitoring of seagrass meadows under the current and future climate regimes, underscoring the potential of remote sensing to capture rapid environmental changes in intertidal zones.</w:t>
      </w:r>
    </w:p>
    <w:bookmarkStart w:id="23"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which not only reduce the available habitat for seagrasses but also increase water turbidity, which limits light penetration and photosynthesis</w:t>
      </w:r>
      <w:r>
        <w:t xml:space="preserve"> </w:t>
      </w:r>
      <w:r>
        <w:t xml:space="preserve">(Waycott et al., 2009)</w:t>
      </w:r>
      <w:r>
        <w:t xml:space="preserve">. Seagrasses are also threatened by nutrient enrichment from agricultural and urban runoff, leading to eutrophication. This condition promotes the rapid growth of algale causing blooms that compete with seagrasses for light and nutrients, further stressing these important plants</w:t>
      </w:r>
      <w:r>
        <w:t xml:space="preserve"> </w:t>
      </w:r>
      <w:r>
        <w:t xml:space="preserve">(Thomsen et al., 2023)</w:t>
      </w:r>
      <w:r>
        <w:t xml:space="preserve"> </w:t>
      </w:r>
      <w:r>
        <w:t xml:space="preserve">(Oiry et al. 2024). Pollution from industrial and agricultural sources introduce harmful chemicals and heavy metals into coastal waters, posing toxic risks to seagrass health</w:t>
      </w:r>
      <w:r>
        <w:t xml:space="preserve"> </w:t>
      </w:r>
      <w:r>
        <w:t xml:space="preserve">(Bastos et al., 2023; Zahoor and Mushtaq, 2023)</w:t>
      </w:r>
      <w:r>
        <w:t xml:space="preserve">. These pollutants can affect the physiological processes of seagrasses, reducing their growth and survival rates</w:t>
      </w:r>
      <w:r>
        <w:t xml:space="preserve"> </w:t>
      </w:r>
      <w:r>
        <w:t xml:space="preserve">(Sevgi and Leblebici, 2022)</w:t>
      </w:r>
      <w:r>
        <w:t xml:space="preserve">.</w:t>
      </w:r>
    </w:p>
    <w:p>
      <w:pPr>
        <w:pStyle w:val="BodyText"/>
      </w:pPr>
      <w:r>
        <w:t xml:space="preserve">Heatwaves, exacerbated by climate change, pose a growing threat to seagrasses. Marine Heatwaves (MHW), defined by</w:t>
      </w:r>
      <w:r>
        <w:t xml:space="preserve"> </w:t>
      </w:r>
      <w:r>
        <w:t xml:space="preserve">Hobday et al. (2016)</w:t>
      </w:r>
      <w:r>
        <w:t xml:space="preserve"> </w:t>
      </w:r>
      <w:r>
        <w:t xml:space="preserve">as prolonged discrete anomalously warm water events, and Atmospheric Heatwaves (AHW), defined by</w:t>
      </w:r>
      <w:r>
        <w:t xml:space="preserve"> </w:t>
      </w:r>
      <w:r>
        <w:t xml:space="preserve">Perkins and Alexander (2013)</w:t>
      </w:r>
      <w:r>
        <w:t xml:space="preserve"> </w:t>
      </w:r>
      <w:r>
        <w:t xml:space="preserve">as periods of at least three consecutive days with temperatures exceeding the 90th percentile, cause severe physiological stress to seagrasses</w:t>
      </w:r>
      <w:r>
        <w:t xml:space="preserve"> </w:t>
      </w:r>
      <w:r>
        <w:t xml:space="preserve">(Deguette et al., 2022; Sawall et al., 2021)</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w:t>
      </w:r>
    </w:p>
    <w:p>
      <w:pPr>
        <w:pStyle w:val="BodyText"/>
      </w:pPr>
      <w:r>
        <w:t xml:space="preserve">Remote sensing is increasingly being used to monitor marine ecosystems, including intertidal seagrass meadows</w:t>
      </w:r>
      <w:r>
        <w:t xml:space="preserve"> </w:t>
      </w:r>
      <w:r>
        <w:t xml:space="preserve">(Davies et al., 2024a, 2024b)</w:t>
      </w:r>
      <w:r>
        <w:t xml:space="preserve">. Spectral indices such as the Normalized Difference Vegetation Index (NDVI) and the Green Leaf Index (GLI) are effective for quantifying vegetation health over time</w:t>
      </w:r>
      <w:r>
        <w:t xml:space="preserve"> </w:t>
      </w:r>
      <w:r>
        <w:t xml:space="preserve">(Akbar et al., 2020; Cârlan et al., 2020; Huete, 2012; Kloos et al., 2021)</w:t>
      </w:r>
      <w:r>
        <w:t xml:space="preserve">. By analyzing specific spectral patterns, remote sensing can track changes in seagrass meadows with high temporal and spatial resolution. The European Union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(Papathanasopoulou et al., 2019)</w:t>
      </w:r>
      <w:r>
        <w:t xml:space="preserve">.</w:t>
      </w:r>
    </w:p>
    <w:p>
      <w:pPr>
        <w:pStyle w:val="BodyText"/>
      </w:pPr>
      <w:r>
        <w:t xml:space="preserve">This study aims to experimentally test the hypothesis that warm events, such as atmospheric heatwaves, alter the reflectance of the intertidal seagrass</w:t>
      </w:r>
      <w:r>
        <w:t xml:space="preserve"> </w:t>
      </w:r>
      <w:r>
        <w:rPr>
          <w:i/>
          <w:iCs/>
        </w:rPr>
        <w:t xml:space="preserve">Zostera noltei</w:t>
      </w:r>
      <w:r>
        <w:t xml:space="preserve">. By linking these changes with satellite remote sensing data, the study seeks to provide insights into how heatwaves affect seagrass meadows and to assess the potential of remote sensing in monitoring these impacts</w:t>
      </w:r>
    </w:p>
    <w:bookmarkEnd w:id="23"/>
    <w:bookmarkStart w:id="59" w:name="material-methods"/>
    <w:p>
      <w:pPr>
        <w:pStyle w:val="Heading1"/>
      </w:pPr>
      <w:r>
        <w:t xml:space="preserve">2. Material &amp; Methods</w:t>
      </w:r>
    </w:p>
    <w:bookmarkStart w:id="37" w:name="laboratory-experiment"/>
    <w:p>
      <w:pPr>
        <w:pStyle w:val="Heading2"/>
      </w:pPr>
      <w:r>
        <w:t xml:space="preserve">2.1 Laboratory Experiment</w:t>
      </w:r>
    </w:p>
    <w:bookmarkStart w:id="29" w:name="sampling-and-acclimation-of-seagrasses"/>
    <w:p>
      <w:pPr>
        <w:pStyle w:val="Heading3"/>
      </w:pPr>
      <w:r>
        <w:t xml:space="preserve">2.1.1 Sampling and acclimation of seagrasses</w:t>
      </w:r>
    </w:p>
    <w:p>
      <w:pPr>
        <w:pStyle w:val="FirstParagraph"/>
      </w:pPr>
      <w:r>
        <w:t xml:space="preserve">Seagrass samples were taken from a</w:t>
      </w:r>
      <w:r>
        <w:t xml:space="preserve"> </w:t>
      </w:r>
      <w:r>
        <w:rPr>
          <w:i/>
          <w:iCs/>
        </w:rPr>
        <w:t xml:space="preserve">Zostera noltei</w:t>
      </w:r>
      <w:r>
        <w:t xml:space="preserve"> </w:t>
      </w:r>
      <w:r>
        <w:t xml:space="preserve">(dwarf eelgrass) meadow on Noirmoutier Island, France (46°57’32.0”N, 2°10’37.0”W) at low tide in June 2024. A metal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limitated variability between replicates. The entire system, including seagrass, sediment, meiofauna, and macrofauna, was placed in plastic trays together. Keeping the entire system allowed for the natural interactions between components to be maintained and reduced stress to the seagrass. To avoid hydric stress, caused by insufficient moisture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w:t>
      </w:r>
      <w:r>
        <w:t xml:space="preserve"> </w:t>
      </w:r>
      <w:r>
        <w:rPr>
          <w:i/>
          <w:iCs/>
        </w:rPr>
        <w:t xml:space="preserve">in situ</w:t>
      </w:r>
      <w:r>
        <w:t xml:space="preserve"> </w:t>
      </w:r>
      <w:r>
        <w:t xml:space="preserve">temperature during sampling, and with light of 150 µmol.s-1.m-2 of PAR photons</w:t>
      </w:r>
      <w:r>
        <w:t xml:space="preserve"> </w:t>
      </w:r>
      <w:r>
        <w:t xml:space="preserve">(Akbar et al., 2020)</w:t>
      </w:r>
      <w:r>
        <w:t xml:space="preserve">. During high tide, a pump allowed the water to circulate and to re-oxygenate.</w:t>
      </w:r>
    </w:p>
    <w:bookmarkStart w:id="28" w:name="cell-fig-design"/>
    <w:tbl>
      <w:tblPr>
        <w:tblStyle w:val="Table"/>
        <w:tblW w:type="pct" w:w="5000"/>
        <w:tblLayout w:type="fixed"/>
        <w:tblLook w:firstRow="0" w:lastRow="0" w:firstColumn="0" w:lastColumn="0" w:noHBand="0" w:noVBand="0" w:val="0000"/>
      </w:tblPr>
      <w:tblGrid>
        <w:gridCol w:w="7920"/>
      </w:tblGrid>
      <w:tr>
        <w:tc>
          <w:tcPr/>
          <w:bookmarkStart w:id="27" w:name="fig-design"/>
          <w:p>
            <w:pPr>
              <w:pStyle w:val="Compact"/>
              <w:jc w:val="center"/>
            </w:pPr>
            <w:r>
              <w:drawing>
                <wp:inline>
                  <wp:extent cx="5646420" cy="5554024"/>
                  <wp:effectExtent b="0" l="0" r="0" t="0"/>
                  <wp:docPr descr="" title="" id="25" name="Picture"/>
                  <a:graphic>
                    <a:graphicData uri="http://schemas.openxmlformats.org/drawingml/2006/picture">
                      <pic:pic>
                        <pic:nvPicPr>
                          <pic:cNvPr descr="Figs/Low_res/Experimental_design.png" id="26" name="Picture"/>
                          <pic:cNvPicPr>
                            <a:picLocks noChangeArrowheads="1" noChangeAspect="1"/>
                          </pic:cNvPicPr>
                        </pic:nvPicPr>
                        <pic:blipFill>
                          <a:blip r:embed="rId24"/>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box; B: Intertidal chambers used during the experiment; C: Seagrass sample inside a chamber during the experiment at high tide; D: Photo of the treatment sample at the start of the experiment; E: Photo of the treatment sample at the end of the experiment.</w:t>
            </w:r>
          </w:p>
          <w:bookmarkEnd w:id="27"/>
        </w:tc>
      </w:tr>
    </w:tbl>
    <w:bookmarkEnd w:id="28"/>
    <w:bookmarkEnd w:id="29"/>
    <w:bookmarkStart w:id="30" w:name="experimental-design"/>
    <w:p>
      <w:pPr>
        <w:pStyle w:val="Heading3"/>
      </w:pPr>
      <w:r>
        <w:t xml:space="preserve">2.1.2 Experimental design</w:t>
      </w:r>
    </w:p>
    <w:p>
      <w:pPr>
        <w:pStyle w:val="FirstParagraph"/>
      </w:pPr>
      <w:r>
        <w:t xml:space="preserve">Two intertidal chambers were used to simulate tidal cycles and control water temperature during high tide and air temperature during low tide , </w:t>
      </w:r>
      <w:hyperlink w:anchor="fig-design">
        <w:r>
          <w:rPr>
            <w:rStyle w:val="Hyperlink"/>
          </w:rPr>
          <w:t xml:space="preserve">Figure 1</w:t>
        </w:r>
      </w:hyperlink>
      <w:r>
        <w:t xml:space="preserve">. Chambers were utilized in parallel with one chamber serving as the control, while the other was used for the experimental treatment.</w:t>
      </w:r>
    </w:p>
    <w:p>
      <w:pPr>
        <w:pStyle w:val="BodyText"/>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(Annexe A1,</w:t>
      </w:r>
      <w:r>
        <w:t xml:space="preserve"> </w:t>
      </w:r>
      <w:hyperlink w:anchor="sec-AnnexeA">
        <w:r>
          <w:rPr>
            <w:rStyle w:val="Hyperlink"/>
          </w:rPr>
          <w:t xml:space="preserve">Section 6.1</w:t>
        </w:r>
      </w:hyperlink>
      <w:r>
        <w:t xml:space="preserve">).</w:t>
      </w:r>
      <w:r>
        <w:t xml:space="preserve"> </w:t>
      </w:r>
      <w:r>
        <w:t xml:space="preserve">The control chamber was kept at temperatures representing typical seasonal conditions, with water temperatures at 18°C and air temperatures from 19°C to 23°C, following natural daily temperature fluctuations (Annexe A2,</w:t>
      </w:r>
      <w:r>
        <w:t xml:space="preserve"> </w:t>
      </w:r>
      <w:hyperlink w:anchor="sec-AnnexeA">
        <w:r>
          <w:rPr>
            <w:rStyle w:val="Hyperlink"/>
          </w:rPr>
          <w:t xml:space="preserve">Section 6.1</w:t>
        </w:r>
      </w:hyperlink>
      <w:r>
        <w:t xml:space="preserve">).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aimed to replicate the thermal stress experienced by the seagrass meadow during the actual heatwave event (Annexe A2,</w:t>
      </w:r>
      <w:r>
        <w:t xml:space="preserve"> </w:t>
      </w:r>
      <w:hyperlink w:anchor="sec-AnnexeA">
        <w:r>
          <w:rPr>
            <w:rStyle w:val="Hyperlink"/>
          </w:rPr>
          <w:t xml:space="preserve">Section 6.1</w:t>
        </w:r>
      </w:hyperlink>
      <w:r>
        <w:t xml:space="preserve">).</w:t>
      </w:r>
    </w:p>
    <w:bookmarkEnd w:id="30"/>
    <w:bookmarkStart w:id="36" w:name="optical-measurements"/>
    <w:p>
      <w:pPr>
        <w:pStyle w:val="Heading3"/>
      </w:pPr>
      <w:r>
        <w:t xml:space="preserve">2.1.3 Optical measurements</w:t>
      </w:r>
    </w:p>
    <w:bookmarkStart w:id="31" w:name="hyperspectral-measurements"/>
    <w:p>
      <w:pPr>
        <w:pStyle w:val="Heading4"/>
      </w:pPr>
      <w:r>
        <w:t xml:space="preserve">2.1.3.1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where automatic spectra acquisition was carried out</w:t>
      </w:r>
      <w:r>
        <w:t xml:space="preserve"> </w:t>
      </w:r>
      <w:r>
        <w:t xml:space="preserve">(Malvern Panalytical, 2023)</w:t>
      </w:r>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intertidal chamber to the other, in order to measure reflectance in both treatment and control. Light conditions were controlled inside of the chambers so reflectance calibration of the instrument was performed each morning at the very first moment of low tide using a Spectralon white reference with 99% Lambertian reflectivity.</w:t>
      </w:r>
    </w:p>
    <w:bookmarkEnd w:id="31"/>
    <w:bookmarkStart w:id="35" w:name="spectrum-post-processing"/>
    <w:p>
      <w:pPr>
        <w:pStyle w:val="Heading4"/>
      </w:pPr>
      <w:r>
        <w:t xml:space="preserve">2.1.3.2 Spectrum post-processing</w:t>
      </w:r>
    </w:p>
    <w:p>
      <w:pPr>
        <w:pStyle w:val="FirstParagraph"/>
      </w:pPr>
      <w:r>
        <w:t xml:space="preserve">A Savitzky-Golay smoothing function with a 5 nm moving window was applied to each spectrum prior to computing the second derivative of</w:t>
      </w:r>
      <w:r>
        <w:t xml:space="preserve"> </w:t>
      </w:r>
      <m:oMath>
        <m:r>
          <m:t>R</m:t>
        </m:r>
        <m:d>
          <m:dPr>
            <m:begChr m:val="("/>
            <m:endChr m:val=")"/>
            <m:sepChr m:val=""/>
            <m:grow/>
          </m:dPr>
          <m:e>
            <m:r>
              <m:t>λ</m:t>
            </m:r>
          </m:e>
        </m:d>
      </m:oMath>
      <w:r>
        <w:t xml:space="preserve"> </w:t>
      </w:r>
      <w:r>
        <w:t xml:space="preserve">used to estimate absorption features and compare their variability over time. This analysis was performed using the</w:t>
      </w:r>
      <w:r>
        <w:t xml:space="preserve"> </w:t>
      </w:r>
      <w:r>
        <w:t xml:space="preserve">“hsdar”</w:t>
      </w:r>
      <w:r>
        <w:t xml:space="preserve"> </w:t>
      </w:r>
      <w:r>
        <w:t xml:space="preserve">package in R</w:t>
      </w:r>
      <w:r>
        <w:t xml:space="preserve"> </w:t>
      </w:r>
      <w:r>
        <w:t xml:space="preserve">(Lehnert et al., 2017)</w:t>
      </w:r>
      <w:r>
        <w:t xml:space="preserve">.</w:t>
      </w:r>
    </w:p>
    <w:p>
      <w:pPr>
        <w:pStyle w:val="BodyText"/>
      </w:pPr>
      <w:r>
        <w:t xml:space="preserve">Two well established radiometric indices were also calculated throughout the experiment :</w:t>
      </w:r>
    </w:p>
    <w:p>
      <w:pPr>
        <w:pStyle w:val="Compact"/>
        <w:numPr>
          <w:ilvl w:val="0"/>
          <w:numId w:val="1001"/>
        </w:numPr>
      </w:pPr>
      <w:r>
        <w:t xml:space="preserve">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2"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2"/>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Green Leaf Index (GLI,</w:t>
      </w:r>
      <w:r>
        <w:t xml:space="preserve"> </w:t>
      </w:r>
      <w:r>
        <w:t xml:space="preserve">Louhaichi et al. (2001)</w:t>
      </w:r>
      <w:r>
        <w:t xml:space="preserve">), a measurement of the greenness of seagrass leafs (</w:t>
      </w:r>
      <w:hyperlink w:anchor="eq-gli">
        <w:r>
          <w:rPr>
            <w:rStyle w:val="Hyperlink"/>
          </w:rPr>
          <w:t xml:space="preserve">Equation 2</w:t>
        </w:r>
      </w:hyperlink>
      <w:r>
        <w:t xml:space="preserve">)</w:t>
      </w:r>
    </w:p>
    <w:p>
      <w:pPr>
        <w:pStyle w:val="FirstParagraph"/>
      </w:pPr>
      <w:bookmarkStart w:id="33"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3"/>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‘baseline’</w:t>
      </w:r>
      <w:r>
        <w:t xml:space="preserve"> </w:t>
      </w:r>
      <w:r>
        <w:t xml:space="preserve">and 740 nm represents the central peak. The SDI can be mathematically expressed as:</w:t>
      </w:r>
    </w:p>
    <w:p>
      <w:pPr>
        <w:pStyle w:val="BodyText"/>
      </w:pPr>
      <w:bookmarkStart w:id="34" w:name="eq-SDI"/>
      <m:oMathPara>
        <m:oMathParaPr>
          <m:jc m:val="center"/>
        </m:oMathParaPr>
        <m:oMath>
          <m:r>
            <m:rPr>
              <m:nor/>
              <m:sty m:val="p"/>
            </m:rPr>
            <m:t>SDI</m:t>
          </m:r>
          <m:r>
            <m:rPr>
              <m:sty m:val="p"/>
            </m:rPr>
            <m:t>=</m:t>
          </m:r>
          <m:sSub>
            <m:e>
              <m:r>
                <m:t>I</m:t>
              </m:r>
            </m:e>
            <m:sub>
              <m:r>
                <m:t>S</m:t>
              </m:r>
              <m:r>
                <m:t>D</m:t>
              </m:r>
              <m:r>
                <m:t>I</m:t>
              </m:r>
            </m:sub>
          </m:sSub>
          <m:r>
            <m:rPr>
              <m:sty m:val="p"/>
            </m:rPr>
            <m:t>−</m:t>
          </m:r>
          <m:r>
            <m:t>R</m:t>
          </m:r>
          <m:d>
            <m:dPr>
              <m:begChr m:val="("/>
              <m:endChr m:val=")"/>
              <m:sepChr m:val=""/>
              <m:grow/>
            </m:dPr>
            <m:e>
              <m:r>
                <m:t>740</m:t>
              </m:r>
            </m:e>
          </m:d>
          <m:r>
            <m:t>  </m:t>
          </m:r>
          <m:d>
            <m:dPr>
              <m:begChr m:val="("/>
              <m:endChr m:val=")"/>
              <m:sepChr m:val=""/>
              <m:grow/>
            </m:dPr>
            <m:e>
              <m:r>
                <m:t>3</m:t>
              </m:r>
            </m:e>
          </m:d>
        </m:oMath>
      </m:oMathPara>
      <w:bookmarkEnd w:id="34"/>
    </w:p>
    <w:p>
      <w:pPr>
        <w:pStyle w:val="FirstParagraph"/>
      </w:pPr>
      <w:r>
        <w:t xml:space="preserve">where :</w:t>
      </w:r>
    </w:p>
    <w:p>
      <w:pPr>
        <w:pStyle w:val="BodyText"/>
      </w:pPr>
      <m:oMathPara>
        <m:oMathParaPr>
          <m:jc m:val="center"/>
        </m:oMathParaPr>
        <m:oMath>
          <m:sSub>
            <m:e>
              <m:r>
                <m:t>I</m:t>
              </m:r>
            </m:e>
            <m:sub>
              <m:r>
                <m:t>S</m:t>
              </m:r>
              <m:r>
                <m:t>D</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End w:id="35"/>
    <w:bookmarkEnd w:id="36"/>
    <w:bookmarkEnd w:id="37"/>
    <w:bookmarkStart w:id="57" w:name="in-situ-seagrass-darkening."/>
    <w:p>
      <w:pPr>
        <w:pStyle w:val="Heading2"/>
      </w:pPr>
      <w:r>
        <w:t xml:space="preserve">2.2</w:t>
      </w:r>
      <w:r>
        <w:t xml:space="preserve"> </w:t>
      </w:r>
      <w:r>
        <w:rPr>
          <w:i/>
          <w:iCs/>
        </w:rPr>
        <w:t xml:space="preserve">In situ</w:t>
      </w:r>
      <w:r>
        <w:t xml:space="preserve"> </w:t>
      </w:r>
      <w:r>
        <w:t xml:space="preserve">seagrass darkening.</w:t>
      </w:r>
    </w:p>
    <w:bookmarkStart w:id="48" w:name="field-observation"/>
    <w:p>
      <w:pPr>
        <w:pStyle w:val="Heading3"/>
      </w:pPr>
      <w:r>
        <w:t xml:space="preserve">2.2.1 Field Observation</w:t>
      </w:r>
    </w:p>
    <w:bookmarkStart w:id="42" w:name="cell-fig-quiberonMap"/>
    <w:tbl>
      <w:tblPr>
        <w:tblStyle w:val="Table"/>
        <w:tblW w:type="pct" w:w="5000"/>
        <w:tblLayout w:type="fixed"/>
        <w:tblLook w:firstRow="0" w:lastRow="0" w:firstColumn="0" w:lastColumn="0" w:noHBand="0" w:noVBand="0" w:val="0000"/>
      </w:tblPr>
      <w:tblGrid>
        <w:gridCol w:w="7920"/>
      </w:tblGrid>
      <w:tr>
        <w:tc>
          <w:tcPr/>
          <w:bookmarkStart w:id="41" w:name="fig-quiberonMap"/>
          <w:p>
            <w:pPr>
              <w:pStyle w:val="Compact"/>
              <w:jc w:val="center"/>
            </w:pPr>
            <w:r>
              <w:drawing>
                <wp:inline>
                  <wp:extent cx="5646420" cy="5646420"/>
                  <wp:effectExtent b="0" l="0" r="0" t="0"/>
                  <wp:docPr descr="" title="" id="39" name="Picture"/>
                  <a:graphic>
                    <a:graphicData uri="http://schemas.openxmlformats.org/drawingml/2006/picture">
                      <pic:pic>
                        <pic:nvPicPr>
                          <pic:cNvPr descr="Figs/Low_res/Quiberon_map.png" id="40" name="Picture"/>
                          <pic:cNvPicPr>
                            <a:picLocks noChangeArrowheads="1" noChangeAspect="1"/>
                          </pic:cNvPicPr>
                        </pic:nvPicPr>
                        <pic:blipFill>
                          <a:blip r:embed="rId38"/>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Location of the field campaign that occurred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bookmarkEnd w:id="41"/>
        </w:tc>
      </w:tr>
    </w:tbl>
    <w:bookmarkEnd w:id="42"/>
    <w:p>
      <w:pPr>
        <w:pStyle w:val="BodyText"/>
      </w:pPr>
      <w:r>
        <w:t xml:space="preserve">A field campaign, aiming to map a seagrass meadow near Quiberon (France : 46°57’32.0”N, 2°10’37.0”W), occurred on the 10th of September 2021 (</w:t>
      </w:r>
      <w:hyperlink w:anchor="fig-quiberonMap">
        <w:r>
          <w:rPr>
            <w:rStyle w:val="Hyperlink"/>
          </w:rPr>
          <w:t xml:space="preserve">Figure 2</w:t>
        </w:r>
      </w:hyperlink>
      <w:r>
        <w:t xml:space="preserve">). During this field campaign, significant darkening of seagrass leaves was observed over large areas of the meadow alongside normal green seagrass (</w:t>
      </w:r>
      <w:hyperlink w:anchor="fig-QuiberonImg">
        <w:r>
          <w:rPr>
            <w:rStyle w:val="Hyperlink"/>
          </w:rPr>
          <w:t xml:space="preserve">Figure 3</w:t>
        </w:r>
      </w:hyperlink>
      <w:r>
        <w:t xml:space="preserve">). A total of 96 Quadrat Points (QPs) were collected in the form of georeferenced quadrat images across the meadow. These images allow for visual assessment of vegetation type, density, and coloration. The images were then divided into two categories: green seagrasses (henceforth: QPs unimpacted) and darkened seagrasses (henceforth: QPs impacted), based on a visual estimation of the leaf coloration (</w:t>
      </w:r>
      <w:hyperlink w:anchor="fig-quiberonMap">
        <w:r>
          <w:rPr>
            <w:rStyle w:val="Hyperlink"/>
          </w:rPr>
          <w:t xml:space="preserve">Figure 2</w:t>
        </w:r>
      </w:hyperlink>
      <w:r>
        <w:t xml:space="preserve">).</w:t>
      </w:r>
    </w:p>
    <w:bookmarkStart w:id="47" w:name="cell-fig-QuiberonImg"/>
    <w:tbl>
      <w:tblPr>
        <w:tblStyle w:val="Table"/>
        <w:tblW w:type="pct" w:w="5000"/>
        <w:tblLayout w:type="fixed"/>
        <w:tblLook w:firstRow="0" w:lastRow="0" w:firstColumn="0" w:lastColumn="0" w:noHBand="0" w:noVBand="0" w:val="0000"/>
      </w:tblPr>
      <w:tblGrid>
        <w:gridCol w:w="7920"/>
      </w:tblGrid>
      <w:tr>
        <w:tc>
          <w:tcPr/>
          <w:bookmarkStart w:id="46" w:name="fig-QuiberonImg"/>
          <w:p>
            <w:pPr>
              <w:pStyle w:val="Compact"/>
              <w:jc w:val="center"/>
            </w:pPr>
            <w:r>
              <w:drawing>
                <wp:inline>
                  <wp:extent cx="5646420" cy="3733115"/>
                  <wp:effectExtent b="0" l="0" r="0" t="0"/>
                  <wp:docPr descr="" title="" id="44" name="Picture"/>
                  <a:graphic>
                    <a:graphicData uri="http://schemas.openxmlformats.org/drawingml/2006/picture">
                      <pic:pic>
                        <pic:nvPicPr>
                          <pic:cNvPr descr="Figs/Low_res/img_Quiberon.png" id="45" name="Picture"/>
                          <pic:cNvPicPr>
                            <a:picLocks noChangeArrowheads="1" noChangeAspect="1"/>
                          </pic:cNvPicPr>
                        </pic:nvPicPr>
                        <pic:blipFill>
                          <a:blip r:embed="rId43"/>
                          <a:stretch>
                            <a:fillRect/>
                          </a:stretch>
                        </pic:blipFill>
                        <pic:spPr bwMode="auto">
                          <a:xfrm>
                            <a:off x="0" y="0"/>
                            <a:ext cx="5646420" cy="37331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Illustrations of the two coloration of seagrasses observed in the field. A: View of a green meadow; B: Quadrat images of green seagrasses; C: Quadrat images of darkened seagrasses; D: View of darkened area of the meadow. All images were taken on September 10th, 2021, in Quiberon.</w:t>
            </w:r>
          </w:p>
          <w:bookmarkEnd w:id="46"/>
        </w:tc>
      </w:tr>
    </w:tbl>
    <w:bookmarkEnd w:id="47"/>
    <w:bookmarkEnd w:id="48"/>
    <w:bookmarkStart w:id="53" w:name="Xf8a39f1f3d5cbc00f14159fcb612e83e416b551"/>
    <w:p>
      <w:pPr>
        <w:pStyle w:val="Heading3"/>
      </w:pPr>
      <w:r>
        <w:t xml:space="preserve">2.2.2 Temperature Data and identification of heatwaves</w:t>
      </w:r>
    </w:p>
    <w:bookmarkStart w:id="50" w:name="air-temperature"/>
    <w:p>
      <w:pPr>
        <w:pStyle w:val="Heading4"/>
      </w:pPr>
      <w:r>
        <w:t xml:space="preserve">2.2.2.1 Air temperature</w:t>
      </w:r>
    </w:p>
    <w:p>
      <w:pPr>
        <w:pStyle w:val="FirstParagraph"/>
      </w:pPr>
      <w:r>
        <w:t xml:space="preserve">Since January 1, 2024, Meteo France weather data has been freely and openly accessible. Hourly air temperature data (°C) was retrieved using a</w:t>
      </w:r>
      <w:r>
        <w:t xml:space="preserve"> </w:t>
      </w:r>
      <w:hyperlink r:id="rId49">
        <w:r>
          <w:rPr>
            <w:rStyle w:val="Hyperlink"/>
          </w:rPr>
          <w:t xml:space="preserve">custom script</w:t>
        </w:r>
      </w:hyperlink>
      <w:r>
        <w:t xml:space="preserve"> </w:t>
      </w:r>
      <w:r>
        <w:t xml:space="preserve">as no API was available at the time of this study. Data form the nearest weather station of our study site (Lorient-Lann Bihoue, 47°45’46”N 3°26’11”W) were downloaded. For this station more than 395000 observation since the 1st of February 1952 were available.</w:t>
      </w:r>
    </w:p>
    <w:bookmarkEnd w:id="50"/>
    <w:bookmarkStart w:id="51" w:name="water-temperature"/>
    <w:p>
      <w:pPr>
        <w:pStyle w:val="Heading4"/>
      </w:pPr>
      <w:r>
        <w:t xml:space="preserve">2.2.2.2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w:t>
      </w:r>
    </w:p>
    <w:bookmarkEnd w:id="51"/>
    <w:bookmarkStart w:id="52" w:name="heatwave-detection-and-characterization"/>
    <w:p>
      <w:pPr>
        <w:pStyle w:val="Heading4"/>
      </w:pPr>
      <w:r>
        <w:t xml:space="preserve">2.2.2.3 Heatwave Detection and Characterization</w:t>
      </w:r>
    </w:p>
    <w:p>
      <w:pPr>
        <w:pStyle w:val="FirstParagraph"/>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52"/>
    <w:bookmarkEnd w:id="53"/>
    <w:bookmarkStart w:id="55" w:name="satellite-observation"/>
    <w:p>
      <w:pPr>
        <w:pStyle w:val="Heading3"/>
      </w:pPr>
      <w:r>
        <w:t xml:space="preserve">2.2.3 Satellite Observation</w:t>
      </w:r>
    </w:p>
    <w:p>
      <w:pPr>
        <w:pStyle w:val="FirstParagraph"/>
      </w:pPr>
      <w:r>
        <w:t xml:space="preserve">Three Sentinel-2 images covering the field campaign site (</w:t>
      </w:r>
      <w:hyperlink w:anchor="fig-quiberonMap">
        <w:r>
          <w:rPr>
            <w:rStyle w:val="Hyperlink"/>
          </w:rPr>
          <w:t xml:space="preserve">Figure 2</w:t>
        </w:r>
      </w:hyperlink>
      <w:r>
        <w:t xml:space="preserve">) were downloaded from the Copernicus platform</w:t>
      </w:r>
      <w:r>
        <w:t xml:space="preserve"> </w:t>
      </w:r>
      <w:r>
        <w:t xml:space="preserve">(European Space Agency, 2024a)</w:t>
      </w:r>
      <w:r>
        <w:t xml:space="preserve">. The first image was taken before the heatwave event on September 1, 2021, the second image during the event on September 6, 2021 and the last one, one month after the events on the 8th of October 2021.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of each QPs (</w:t>
      </w:r>
      <w:hyperlink w:anchor="fig-quiberonMap">
        <w:r>
          <w:rPr>
            <w:rStyle w:val="Hyperlink"/>
          </w:rPr>
          <w:t xml:space="preserve">Figure 2</w:t>
        </w:r>
      </w:hyperlink>
      <w:r>
        <w:t xml:space="preserve">) were extracted and compared before and after the heatwave event.</w:t>
      </w:r>
    </w:p>
    <w:p>
      <w:pPr>
        <w:pStyle w:val="BodyText"/>
      </w:pPr>
      <w:r>
        <w:t xml:space="preserve">A remote sensing based seagrass covers estimation equation, the SC developed by</w:t>
      </w:r>
      <w:r>
        <w:t xml:space="preserve"> </w:t>
      </w:r>
      <w:r>
        <w:t xml:space="preserve">Zoffoli et al. (2020)</w:t>
      </w:r>
      <w:r>
        <w:t xml:space="preserve">, were used to retrieve the proportion of seagrass of Sentinel-2 pixel (</w:t>
      </w:r>
      <w:hyperlink w:anchor="eq-spc">
        <w:r>
          <w:rPr>
            <w:rStyle w:val="Hyperlink"/>
          </w:rPr>
          <w:t xml:space="preserve">Equation 4</w:t>
        </w:r>
      </w:hyperlink>
      <w:r>
        <w:t xml:space="preserve">):</w:t>
      </w:r>
    </w:p>
    <w:p>
      <w:pPr>
        <w:pStyle w:val="BodyText"/>
      </w:pPr>
      <w:bookmarkStart w:id="54" w:name="eq-spc"/>
      <m:oMathPara>
        <m:oMathParaPr>
          <m:jc m:val="center"/>
        </m:oMathParaPr>
        <m:oMath>
          <m:r>
            <m:t>S</m:t>
          </m:r>
          <m:r>
            <m:t>C</m:t>
          </m:r>
          <m:r>
            <m:rPr>
              <m:sty m:val="p"/>
            </m:rPr>
            <m:t>=</m:t>
          </m:r>
          <m:r>
            <m:t>172.06</m:t>
          </m:r>
          <m:r>
            <m:rPr>
              <m:sty m:val="p"/>
            </m:rPr>
            <m:t>×</m:t>
          </m:r>
          <m:r>
            <m:t>N</m:t>
          </m:r>
          <m:r>
            <m:t>D</m:t>
          </m:r>
          <m:r>
            <m:t>V</m:t>
          </m:r>
          <m:r>
            <m:t>I</m:t>
          </m:r>
          <m:r>
            <m:rPr>
              <m:sty m:val="p"/>
            </m:rPr>
            <m:t>−</m:t>
          </m:r>
          <m:r>
            <m:t>22.18</m:t>
          </m:r>
          <m:r>
            <m:t>  </m:t>
          </m:r>
          <m:d>
            <m:dPr>
              <m:begChr m:val="("/>
              <m:endChr m:val=")"/>
              <m:sepChr m:val=""/>
              <m:grow/>
            </m:dPr>
            <m:e>
              <m:r>
                <m:t>4</m:t>
              </m:r>
            </m:e>
          </m:d>
        </m:oMath>
      </m:oMathPara>
      <w:bookmarkEnd w:id="54"/>
    </w:p>
    <w:bookmarkEnd w:id="55"/>
    <w:bookmarkStart w:id="56"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“Service Hydrographique et Océanographique de la Marine”</w:t>
      </w:r>
      <w:r>
        <w:t xml:space="preserve"> </w:t>
      </w:r>
      <w:r>
        <w:t xml:space="preserve">(SHOM, 2021)</w:t>
      </w:r>
      <w:r>
        <w:t xml:space="preserve">. It corresponds to the Litto3D® product, which is a three-dimensional land-sea elevation database, accurately depicting the coastal terrain along certain regions of the French shores. It uses the NGF/IGN69 reference</w:t>
      </w:r>
      <w:r>
        <w:t xml:space="preserve"> </w:t>
      </w:r>
      <w:r>
        <w:t xml:space="preserve">“zero”</w:t>
      </w:r>
      <w:r>
        <w:t xml:space="preserve">, which corresponds to the mean sea level recorded at the Marseille tide gauge between 1885 and 1897, commonly known as the</w:t>
      </w:r>
      <w:r>
        <w:t xml:space="preserve"> </w:t>
      </w:r>
      <w:r>
        <w:t xml:space="preserve">“Terrestrial Altimetric Zero”</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“zero”</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“Références Altimétriques Marines”</w:t>
      </w:r>
      <w:r>
        <w:t xml:space="preserve"> </w:t>
      </w:r>
      <w:r>
        <w:t xml:space="preserve">(RAM, Shom, 2022)</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56"/>
    <w:bookmarkEnd w:id="57"/>
    <w:bookmarkStart w:id="58" w:name="statistics"/>
    <w:p>
      <w:pPr>
        <w:pStyle w:val="Heading2"/>
      </w:pPr>
      <w:r>
        <w:t xml:space="preserve">2.3 Statistics</w:t>
      </w:r>
    </w:p>
    <w:p>
      <w:pPr>
        <w:pStyle w:val="FirstParagraph"/>
      </w:pPr>
      <w:r>
        <w:t xml:space="preserve">General Linear Models (GLMs) were used to assess relative differences over time in response variables (Spectral Indices) with different treatments. For analysis of relative changes in indices calculated from experimental spectra the relative change in index was modelled as function of Days (1-3: Discrete) with Run (1-3: Factor) and Timestep within Run (1-6: Factor) as cross random factors. Satellite derived indices were modelled as function of Date (1-3: Discrete) and Treatment (Impacted vs Unimpacted: Categorical). A General Additive Model (GAM) was used to assess the relationship between relative SDI change with emersion time. SDI was modelled as function of emersion time with a basis spline. All model parameters were estimated with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modelled assuming a Gaussian distribution, with weakly informative priors (Student-T(3,0,2.5)). Model parameters were estimated using Markov Chain Monte Carlo (MCMC) sampling, with 4 chains of 5000 iterations and a warm-up of 500.</w:t>
      </w:r>
    </w:p>
    <w:bookmarkEnd w:id="58"/>
    <w:bookmarkEnd w:id="59"/>
    <w:bookmarkStart w:id="102" w:name="results"/>
    <w:p>
      <w:pPr>
        <w:pStyle w:val="Heading1"/>
      </w:pPr>
      <w:r>
        <w:t xml:space="preserve">3. Results</w:t>
      </w:r>
    </w:p>
    <w:bookmarkStart w:id="77" w:name="laboratory-experiment-1"/>
    <w:p>
      <w:pPr>
        <w:pStyle w:val="Heading2"/>
      </w:pPr>
      <w:r>
        <w:t xml:space="preserve">3.1 Laboratory Experiment</w:t>
      </w:r>
    </w:p>
    <w:bookmarkStart w:id="65" w:name="spectral-inspection"/>
    <w:p>
      <w:pPr>
        <w:pStyle w:val="Heading3"/>
      </w:pPr>
      <w:r>
        <w:t xml:space="preserve">3.1.1 Spectral inspection</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4</w:t>
        </w:r>
      </w:hyperlink>
      <w:r>
        <w:t xml:space="preserve">).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4</w:t>
        </w:r>
      </w:hyperlink>
      <w:r>
        <w:t xml:space="preserve">, left).</w:t>
      </w:r>
    </w:p>
    <w:p>
      <w:pPr>
        <w:pStyle w:val="BodyText"/>
      </w:pPr>
      <w:r>
        <w:t xml:space="preserve">In contrast, the Treatment group showed more pronounced changes in reflectance throughout the experiment (</w:t>
      </w:r>
      <w:hyperlink w:anchor="fig-Exp_Spectra">
        <w:r>
          <w:rPr>
            <w:rStyle w:val="Hyperlink"/>
          </w:rPr>
          <w:t xml:space="preserve">Figure 4</w:t>
        </w:r>
      </w:hyperlink>
      <w:r>
        <w:t xml:space="preserve">, right). At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w:t>
      </w:r>
    </w:p>
    <w:bookmarkStart w:id="64" w:name="cell-fig-Exp_Spectra"/>
    <w:tbl>
      <w:tblPr>
        <w:tblStyle w:val="Table"/>
        <w:tblW w:type="pct" w:w="5000"/>
        <w:tblLayout w:type="fixed"/>
        <w:tblLook w:firstRow="0" w:lastRow="0" w:firstColumn="0" w:lastColumn="0" w:noHBand="0" w:noVBand="0" w:val="0000"/>
      </w:tblPr>
      <w:tblGrid>
        <w:gridCol w:w="7920"/>
      </w:tblGrid>
      <w:tr>
        <w:tc>
          <w:tcPr/>
          <w:bookmarkStart w:id="63" w:name="fig-Exp_Spectra"/>
          <w:p>
            <w:pPr>
              <w:pStyle w:val="Compact"/>
              <w:jc w:val="center"/>
            </w:pPr>
            <w:r>
              <w:drawing>
                <wp:inline>
                  <wp:extent cx="5646420" cy="2823210"/>
                  <wp:effectExtent b="0" l="0" r="0" t="0"/>
                  <wp:docPr descr="" title="" id="61" name="Picture"/>
                  <a:graphic>
                    <a:graphicData uri="http://schemas.openxmlformats.org/drawingml/2006/picture">
                      <pic:pic>
                        <pic:nvPicPr>
                          <pic:cNvPr descr="Figs/Low_res/plot_Spectra_exp.png" id="62" name="Picture"/>
                          <pic:cNvPicPr>
                            <a:picLocks noChangeArrowheads="1" noChangeAspect="1"/>
                          </pic:cNvPicPr>
                        </pic:nvPicPr>
                        <pic:blipFill>
                          <a:blip r:embed="rId60"/>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Standardized Hyperspectral Reflectance signature collected during the experiment for both the Control (Left) and the Treatment (Right). Color denotes the progression along the experiment from the beginning (Day 1: green), middle (Day 2: Yellow) and end (Day 3: Brown). A min-max standardization has been applied to each individual spectrum.</w:t>
            </w:r>
          </w:p>
          <w:bookmarkEnd w:id="63"/>
        </w:tc>
      </w:tr>
    </w:tbl>
    <w:bookmarkEnd w:id="64"/>
    <w:bookmarkEnd w:id="65"/>
    <w:bookmarkStart w:id="76" w:name="evolution-of-spectral-metrics"/>
    <w:p>
      <w:pPr>
        <w:pStyle w:val="Heading3"/>
      </w:pPr>
      <w:r>
        <w:t xml:space="preserve">3.1.2 Evolution of spectral metrics</w:t>
      </w:r>
    </w:p>
    <w:p>
      <w:pPr>
        <w:pStyle w:val="FirstParagraph"/>
      </w:pPr>
      <w:r>
        <w:t xml:space="preserve">The maximum difference of</w:t>
      </w:r>
      <w:r>
        <w:t xml:space="preserve"> </w:t>
      </w:r>
      <m:oMath>
        <m:r>
          <m:t>R</m:t>
        </m:r>
        <m:r>
          <m:rPr>
            <m:sty m:val="p"/>
          </m:rPr>
          <m:t>″</m:t>
        </m:r>
        <m:d>
          <m:dPr>
            <m:begChr m:val="("/>
            <m:endChr m:val=")"/>
            <m:sepChr m:val=""/>
            <m:grow/>
          </m:dPr>
          <m:e>
            <m:r>
              <m:t>λ</m:t>
            </m:r>
          </m:e>
        </m:d>
      </m:oMath>
      <w:r>
        <w:t xml:space="preserve"> </w:t>
      </w:r>
      <w:r>
        <w:t xml:space="preserve">was observed at 665 nm where the control was</w:t>
      </w:r>
      <w:r>
        <w:t xml:space="preserve"> </w:t>
      </w:r>
      <m:oMath>
        <m:r>
          <m:t>0.95</m:t>
        </m:r>
        <m:r>
          <m:rPr>
            <m:sty m:val="p"/>
          </m:rPr>
          <m:t>×</m:t>
        </m:r>
        <m:sSup>
          <m:e>
            <m:r>
              <m:t>10</m:t>
            </m:r>
          </m:e>
          <m:sup>
            <m:r>
              <m:rPr>
                <m:sty m:val="p"/>
              </m:rPr>
              <m:t>−</m:t>
            </m:r>
            <m:r>
              <m:t>4</m:t>
            </m:r>
          </m:sup>
        </m:sSup>
      </m:oMath>
      <w:r>
        <w:t xml:space="preserve"> </w:t>
      </w:r>
      <w:r>
        <w:t xml:space="preserve">higher than the treatment groups (</w:t>
      </w:r>
      <w:hyperlink w:anchor="fig-Exp_Spectral_indices">
        <w:r>
          <w:rPr>
            <w:rStyle w:val="Hyperlink"/>
          </w:rPr>
          <w:t xml:space="preserve">Figure 5</w:t>
        </w:r>
      </w:hyperlink>
      <w:r>
        <w:t xml:space="preserve"> </w:t>
      </w:r>
      <w:r>
        <w:t xml:space="preserve">A).</w:t>
      </w:r>
    </w:p>
    <w:p>
      <w:pPr>
        <w:pStyle w:val="BodyText"/>
      </w:pPr>
      <w:r>
        <w:t xml:space="preserve">Similar patterns were found for the (</w:t>
      </w:r>
      <m:oMath>
        <m:r>
          <m:t>R</m:t>
        </m:r>
        <m:sSub>
          <m:e>
            <m:r>
              <m:rPr>
                <m:sty m:val="p"/>
              </m:rPr>
              <m:t>″</m:t>
            </m:r>
          </m:e>
          <m:sub>
            <m:r>
              <m:t>665</m:t>
            </m:r>
            <m:r>
              <m:t> </m:t>
            </m:r>
            <m:r>
              <m:rPr>
                <m:nor/>
                <m:sty m:val="p"/>
              </m:rPr>
              <m:t>nm</m:t>
            </m:r>
          </m:sub>
        </m:sSub>
      </m:oMath>
      <w:r>
        <w:t xml:space="preserve">), NDVI and GLI, where the indices start similar to the control and consistently decline over the 3 days of experiment (</w:t>
      </w:r>
      <w:hyperlink w:anchor="fig-Exp_Spectral_indices">
        <w:r>
          <w:rPr>
            <w:rStyle w:val="Hyperlink"/>
          </w:rPr>
          <w:t xml:space="preserve">Figure 5</w:t>
        </w:r>
      </w:hyperlink>
      <w:r>
        <w:t xml:space="preserve"> </w:t>
      </w:r>
      <w:r>
        <w:t xml:space="preserve">B)</w:t>
      </w:r>
    </w:p>
    <w:p>
      <w:pPr>
        <w:pStyle w:val="BodyText"/>
      </w:pPr>
      <w:r>
        <w:t xml:space="preserve">At the start of the experiment (day 1)</w:t>
      </w:r>
      <w:r>
        <w:t xml:space="preserve"> </w:t>
      </w:r>
      <m:oMath>
        <m:r>
          <m:t>R</m:t>
        </m:r>
        <m:sSub>
          <m:e>
            <m:r>
              <m:rPr>
                <m:sty m:val="p"/>
              </m:rPr>
              <m:t>″</m:t>
            </m:r>
          </m:e>
          <m:sub>
            <m:r>
              <m:t>665</m:t>
            </m:r>
            <m:r>
              <m:t> </m:t>
            </m:r>
            <m:r>
              <m:rPr>
                <m:nor/>
                <m:sty m:val="p"/>
              </m:rPr>
              <m:t>nm</m:t>
            </m:r>
          </m:sub>
        </m:sSub>
      </m:oMath>
      <w:r>
        <w:t xml:space="preserve">, NDVI and GLI in the Treatment group were on average 13% greater, 3% lower and 2% lower, respectively, than that of the Control. However, by day 2, the Treatment showed a rapid decease of approximately 27%, 17% and 28%, eventually reaching a total decline of 68%, 31% and 54% by day 3.</w:t>
      </w:r>
    </w:p>
    <w:p>
      <w:pPr>
        <w:pStyle w:val="BodyText"/>
      </w:pPr>
      <w:r>
        <w:t xml:space="preserve">Unlike the other metrics, at the start of the experiment (day 1), the SDI for the Treatment group was on average 55 % greater than that of the Control. By day 2, the SDI for the Treatment exhibited a rapid decrease of approximately 241 %, eventually reaching a cumulative decline of 420 % by day 3 (</w:t>
      </w:r>
      <w:hyperlink w:anchor="fig-Exp_Spectral_indices">
        <w:r>
          <w:rPr>
            <w:rStyle w:val="Hyperlink"/>
          </w:rPr>
          <w:t xml:space="preserve">Figure 5</w:t>
        </w:r>
      </w:hyperlink>
      <w:r>
        <w:t xml:space="preserve"> </w:t>
      </w:r>
      <w:r>
        <w:t xml:space="preserve">E).</w:t>
      </w:r>
    </w:p>
    <w:bookmarkStart w:id="70" w:name="cell-fig-Exp_Spectral_indices"/>
    <w:tbl>
      <w:tblPr>
        <w:tblStyle w:val="Table"/>
        <w:tblW w:type="pct" w:w="5000"/>
        <w:tblLayout w:type="fixed"/>
        <w:tblLook w:firstRow="0" w:lastRow="0" w:firstColumn="0" w:lastColumn="0" w:noHBand="0" w:noVBand="0" w:val="0000"/>
      </w:tblPr>
      <w:tblGrid>
        <w:gridCol w:w="7920"/>
      </w:tblGrid>
      <w:tr>
        <w:tc>
          <w:tcPr/>
          <w:bookmarkStart w:id="69" w:name="fig-Exp_Spectral_indices"/>
          <w:p>
            <w:pPr>
              <w:pStyle w:val="Compact"/>
              <w:jc w:val="center"/>
            </w:pPr>
            <w:r>
              <w:drawing>
                <wp:inline>
                  <wp:extent cx="5646420" cy="6970888"/>
                  <wp:effectExtent b="0" l="0" r="0" t="0"/>
                  <wp:docPr descr="" title="" id="67" name="Picture"/>
                  <a:graphic>
                    <a:graphicData uri="http://schemas.openxmlformats.org/drawingml/2006/picture">
                      <pic:pic>
                        <pic:nvPicPr>
                          <pic:cNvPr descr="Figs/Low_res/merged_indices.png" id="68" name="Picture"/>
                          <pic:cNvPicPr>
                            <a:picLocks noChangeArrowheads="1" noChangeAspect="1"/>
                          </pic:cNvPicPr>
                        </pic:nvPicPr>
                        <pic:blipFill>
                          <a:blip r:embed="rId66"/>
                          <a:stretch>
                            <a:fillRect/>
                          </a:stretch>
                        </pic:blipFill>
                        <pic:spPr bwMode="auto">
                          <a:xfrm>
                            <a:off x="0" y="0"/>
                            <a:ext cx="5646420" cy="69708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Absolute difference in the second derivative of hyperspectral signature at the end of the experiment (A), and relative difference of the second derivative at 665 nm (B), the NDVI (C), the GLI (D) and the SDI (E) between the Control and the Treatment over time. Points indicate raw data, the line represents a generalized linear model, and the shaded area the model’s standard error.</w:t>
            </w:r>
          </w:p>
          <w:bookmarkEnd w:id="69"/>
        </w:tc>
      </w:tr>
    </w:tbl>
    <w:bookmarkEnd w:id="70"/>
    <w:p>
      <w:pPr>
        <w:pStyle w:val="BodyText"/>
      </w:pPr>
      <w:r>
        <w:t xml:space="preserve">The SDI revealed clear distinctions between the Control and Treatment groups (</w:t>
      </w:r>
      <w:hyperlink w:anchor="fig-SDI_over_Time">
        <w:r>
          <w:rPr>
            <w:rStyle w:val="Hyperlink"/>
          </w:rPr>
          <w:t xml:space="preserve">Figure 6</w:t>
        </w:r>
      </w:hyperlink>
      <w:r>
        <w:t xml:space="preserve">). At day 1, the SDI of the Control and Treatment groups are comparable, with value of -0.11 and -0.08, respectively. By the end of the experiment, seagrasses in the Treatment group exhibited an average SDI of 0.15, consistent with their visibly darkened appearance. In contrast, the Control group retained a green appearance throughout the experiment, with an average SDI of -0.07.</w:t>
      </w:r>
    </w:p>
    <w:bookmarkStart w:id="75" w:name="cell-fig-SDI_over_Time"/>
    <w:tbl>
      <w:tblPr>
        <w:tblStyle w:val="Table"/>
        <w:tblW w:type="pct" w:w="5000"/>
        <w:tblLayout w:type="fixed"/>
        <w:tblLook w:firstRow="0" w:lastRow="0" w:firstColumn="0" w:lastColumn="0" w:noHBand="0" w:noVBand="0" w:val="0000"/>
      </w:tblPr>
      <w:tblGrid>
        <w:gridCol w:w="7920"/>
      </w:tblGrid>
      <w:tr>
        <w:tc>
          <w:tcPr/>
          <w:bookmarkStart w:id="74" w:name="fig-SDI_over_Time"/>
          <w:p>
            <w:pPr>
              <w:pStyle w:val="Compact"/>
              <w:jc w:val="center"/>
            </w:pPr>
            <w:r>
              <w:drawing>
                <wp:inline>
                  <wp:extent cx="5646420" cy="3387852"/>
                  <wp:effectExtent b="0" l="0" r="0" t="0"/>
                  <wp:docPr descr="" title="" id="72" name="Picture"/>
                  <a:graphic>
                    <a:graphicData uri="http://schemas.openxmlformats.org/drawingml/2006/picture">
                      <pic:pic>
                        <pic:nvPicPr>
                          <pic:cNvPr descr="Figs/Low_res/SDI_exp_overtime.png" id="73" name="Picture"/>
                          <pic:cNvPicPr>
                            <a:picLocks noChangeArrowheads="1" noChangeAspect="1"/>
                          </pic:cNvPicPr>
                        </pic:nvPicPr>
                        <pic:blipFill>
                          <a:blip r:embed="rId71"/>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Average and standard deviation of the Seagrass Darkening Index (SDI) across expimental runs, at each day of the experiment. Tge green line shows values of the Control group while the golden line indicates values of the Treatment group.</w:t>
            </w:r>
          </w:p>
          <w:bookmarkEnd w:id="74"/>
        </w:tc>
      </w:tr>
    </w:tbl>
    <w:bookmarkEnd w:id="75"/>
    <w:bookmarkEnd w:id="76"/>
    <w:bookmarkEnd w:id="77"/>
    <w:bookmarkStart w:id="101" w:name="heatwaves-of-quiberon"/>
    <w:p>
      <w:pPr>
        <w:pStyle w:val="Heading2"/>
      </w:pPr>
      <w:r>
        <w:t xml:space="preserve">3.2 Heatwaves of Quiberon</w:t>
      </w:r>
    </w:p>
    <w:bookmarkStart w:id="8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7</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7</w:t>
        </w:r>
      </w:hyperlink>
      <w:r>
        <w:t xml:space="preserve"> </w:t>
      </w:r>
      <w:r>
        <w:t xml:space="preserve">B). The AHW has been classified as a strong event, and the MHW was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7</w:t>
        </w:r>
      </w:hyperlink>
      <w:r>
        <w:t xml:space="preserve"> </w:t>
      </w:r>
      <w:r>
        <w:t xml:space="preserve">C). Before the event, all QPs appeared green on the images, with similar reflectance spectra, regardless of the class attributed to the QPs in the field after the events (</w:t>
      </w:r>
      <w:hyperlink w:anchor="fig-S2_comparison">
        <w:r>
          <w:rPr>
            <w:rStyle w:val="Hyperlink"/>
          </w:rPr>
          <w:t xml:space="preserve">Figure 7</w:t>
        </w:r>
      </w:hyperlink>
      <w:r>
        <w:t xml:space="preserve"> </w:t>
      </w:r>
      <w:r>
        <w:t xml:space="preserve">A and D left). Their reflectance spectra showed a peak at 560 nm (in the green part of the spectra), low values at 665 nm and a high infrared plateau (&gt; 705 nm). However, on the 6th of September, QPs classified as impacted during the field campaign, showed significant differences in reflectance spectral shape compared to QPs classified as unimpacted during the campaign, with corresponding differences in the true color composition (</w:t>
      </w:r>
      <w:hyperlink w:anchor="fig-S2_comparison">
        <w:r>
          <w:rPr>
            <w:rStyle w:val="Hyperlink"/>
          </w:rPr>
          <w:t xml:space="preserve">Figure 7</w:t>
        </w:r>
      </w:hyperlink>
      <w:r>
        <w:t xml:space="preserve"> </w:t>
      </w:r>
      <w:r>
        <w:t xml:space="preserve">C and D right). The reflectance spectra over dark seagrass were characterized by the loss of the reflectance peak at 560 nm and a decrease in the infrared plateau, which was observed as a steady increasing slope up to 940 nm.</w:t>
      </w:r>
    </w:p>
    <w:bookmarkStart w:id="82" w:name="cell-fig-S2_comparison"/>
    <w:tbl>
      <w:tblPr>
        <w:tblStyle w:val="Table"/>
        <w:tblW w:type="pct" w:w="5000"/>
        <w:tblLayout w:type="fixed"/>
        <w:tblLook w:firstRow="0" w:lastRow="0" w:firstColumn="0" w:lastColumn="0" w:noHBand="0" w:noVBand="0" w:val="0000"/>
      </w:tblPr>
      <w:tblGrid>
        <w:gridCol w:w="7920"/>
      </w:tblGrid>
      <w:tr>
        <w:tc>
          <w:tcPr/>
          <w:bookmarkStart w:id="81" w:name="fig-S2_comparison"/>
          <w:p>
            <w:pPr>
              <w:pStyle w:val="Compact"/>
              <w:jc w:val="center"/>
            </w:pPr>
            <w:r>
              <w:drawing>
                <wp:inline>
                  <wp:extent cx="5646420" cy="5392331"/>
                  <wp:effectExtent b="0" l="0" r="0" t="0"/>
                  <wp:docPr descr="" title="" id="79" name="Picture"/>
                  <a:graphic>
                    <a:graphicData uri="http://schemas.openxmlformats.org/drawingml/2006/picture">
                      <pic:pic>
                        <pic:nvPicPr>
                          <pic:cNvPr descr="Figs/Low_res/Heatwaves_S2_plot.png" id="80" name="Picture"/>
                          <pic:cNvPicPr>
                            <a:picLocks noChangeArrowheads="1" noChangeAspect="1"/>
                          </pic:cNvPicPr>
                        </pic:nvPicPr>
                        <pic:blipFill>
                          <a:blip r:embed="rId78"/>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Spectral Comparison of Sentinel-2 Reflectance (D) of Quadrats Points (QPs) Before (A) and During (C) Heatwave Events (B); A: RGB color composition of the Sentinel-2 image on the 1st of September 2021. The points correspond to QPs collected on September 10, 2021, with unimpacted seagrass in green and impacted seagrass in golden;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with unimpacted seagrass in green and impacted seagrass in golden; D : Average spectral signatures of QPs where dark and green seagrasses (gold and green lines, respectively) were identified during the field survey. The left plot shows the reflectance of these QPs before the heatwave impact, while the right plot shows the spectral signature during the heatwaves. The ribbons around the lines represent the standard deviation.</w:t>
            </w:r>
          </w:p>
          <w:bookmarkEnd w:id="81"/>
        </w:tc>
      </w:tr>
    </w:tbl>
    <w:bookmarkEnd w:id="82"/>
    <w:bookmarkEnd w:id="83"/>
    <w:bookmarkStart w:id="89" w:name="sentinel-2-derived-metrics-comparison"/>
    <w:p>
      <w:pPr>
        <w:pStyle w:val="Heading3"/>
      </w:pPr>
      <w:r>
        <w:t xml:space="preserve">3.2.2 Sentinel-2 derived metrics comparison</w:t>
      </w:r>
    </w:p>
    <w:p>
      <w:pPr>
        <w:pStyle w:val="FirstParagraph"/>
      </w:pPr>
      <w:r>
        <w:t xml:space="preserve">Using Sentinel-2 data, NDVI, Seagrass Cover (SC), GLI and SDI estimated for pixels unaffected by the heatwave showed minimal changes for all metrics of -1 %, -1 %, -10 and 3 %, respectively between the 1st of September and the 6th of September (</w:t>
      </w:r>
      <w:hyperlink w:anchor="fig-NDVI_GLI_SPC">
        <w:r>
          <w:rPr>
            <w:rStyle w:val="Hyperlink"/>
          </w:rPr>
          <w:t xml:space="preserve">Figure 8</w:t>
        </w:r>
      </w:hyperlink>
      <w:r>
        <w:t xml:space="preserve">). In contrast, seagrass impacted by the heatwave exhibited a significant changes in all metrics. Because the SC is linearly related to the NDVI, both metrics dropped of 35 %, however the drop in SC was not due to a loss of density of seagrass on the field (</w:t>
      </w:r>
      <w:hyperlink w:anchor="fig-QuiberonImg">
        <w:r>
          <w:rPr>
            <w:rStyle w:val="Hyperlink"/>
          </w:rPr>
          <w:t xml:space="preserve">Figure 3</w:t>
        </w:r>
      </w:hyperlink>
      <w:r>
        <w:t xml:space="preserve">). The GLI drops of about 85% at the 6th of September. The SDI was the most sensitive metric to the darkening of seagrasses, showing an increase of 97 % during heatwave exposure (</w:t>
      </w:r>
      <w:hyperlink w:anchor="fig-NDVI_GLI_SPC">
        <w:r>
          <w:rPr>
            <w:rStyle w:val="Hyperlink"/>
          </w:rPr>
          <w:t xml:space="preserve">Figure 8</w:t>
        </w:r>
      </w:hyperlink>
      <w:r>
        <w:t xml:space="preserve">).</w:t>
      </w:r>
    </w:p>
    <w:p>
      <w:pPr>
        <w:pStyle w:val="BodyText"/>
      </w:pPr>
      <w:r>
        <w:t xml:space="preserve">One month later the heatwaves events, on the 8th of October, all metrics of unimpacted QPs had increased compared to the 1st of September: The NDVI and SC by 21 %, The GLI by 15 % and the SDI 14 %. Concerning QPs impacted by the heatwaves, even though all the metrics were closer to the values they had prior to the heatwaves, they have not regained their level from before the events. By the 8th of October, the NDVI and the SC of these QPs were 5 % lower, The GLI was 16 % lower and the SDI 14 % higher than on the 1st of September.</w:t>
      </w:r>
    </w:p>
    <w:bookmarkStart w:id="88" w:name="cell-fig-NDVI_GLI_SPC"/>
    <w:tbl>
      <w:tblPr>
        <w:tblStyle w:val="Table"/>
        <w:tblW w:type="pct" w:w="5000"/>
        <w:tblLayout w:type="fixed"/>
        <w:tblLook w:firstRow="0" w:lastRow="0" w:firstColumn="0" w:lastColumn="0" w:noHBand="0" w:noVBand="0" w:val="0000"/>
      </w:tblPr>
      <w:tblGrid>
        <w:gridCol w:w="7920"/>
      </w:tblGrid>
      <w:tr>
        <w:tc>
          <w:tcPr/>
          <w:bookmarkStart w:id="87" w:name="fig-NDVI_GLI_SPC"/>
          <w:p>
            <w:pPr>
              <w:pStyle w:val="Compact"/>
              <w:jc w:val="center"/>
            </w:pPr>
            <w:r>
              <w:drawing>
                <wp:inline>
                  <wp:extent cx="5646420" cy="5646420"/>
                  <wp:effectExtent b="0" l="0" r="0" t="0"/>
                  <wp:docPr descr="" title="" id="85" name="Picture"/>
                  <a:graphic>
                    <a:graphicData uri="http://schemas.openxmlformats.org/drawingml/2006/picture">
                      <pic:pic>
                        <pic:nvPicPr>
                          <pic:cNvPr descr="Figs/Low_res/Compares_Indices_S2.png" id="86" name="Picture"/>
                          <pic:cNvPicPr>
                            <a:picLocks noChangeArrowheads="1" noChangeAspect="1"/>
                          </pic:cNvPicPr>
                        </pic:nvPicPr>
                        <pic:blipFill>
                          <a:blip r:embed="rId84"/>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Relative difference of the Normalized Difference Vegetation Index (NDVI: A); Seagrass Cover (SC: B); Green Leaf Index (GLI: C); and Seagrass Darkening Index (SDI: D) to the 1st of September 2021 of Sentinel-2 based metrics at two different dates : during (2021-09-06) and after the heatwave events (2021-10-08) of Quiberons, for the two category of QPs : Unimpacted seagrasses (green) and Impacted Seagrasses (golden). Points represent predicted value of the metric using a Generalized Linear Model (GLM) while error bar represent the 89% confidance interval of it.</w:t>
            </w:r>
          </w:p>
          <w:bookmarkEnd w:id="87"/>
        </w:tc>
      </w:tr>
    </w:tbl>
    <w:bookmarkEnd w:id="88"/>
    <w:bookmarkEnd w:id="89"/>
    <w:bookmarkStart w:id="100" w:name="mapping-of-the-seagrass-darkening"/>
    <w:p>
      <w:pPr>
        <w:pStyle w:val="Heading3"/>
      </w:pPr>
      <w:r>
        <w:t xml:space="preserve">3.2.3 Mapping of the seagrass darkening</w:t>
      </w:r>
    </w:p>
    <w:p>
      <w:pPr>
        <w:pStyle w:val="FirstParagraph"/>
      </w:pPr>
      <w:r>
        <w:t xml:space="preserve">Using the SDI (</w:t>
      </w:r>
      <w:hyperlink w:anchor="eq-SDI">
        <w:r>
          <w:rPr>
            <w:rStyle w:val="Hyperlink"/>
          </w:rPr>
          <w:t xml:space="preserve">Equation 3</w:t>
        </w:r>
      </w:hyperlink>
      <w:r>
        <w:t xml:space="preserve">), we detected seagrass patches that have darkened (</w:t>
      </w:r>
      <w:hyperlink w:anchor="fig-Map_darkening_Bathy">
        <w:r>
          <w:rPr>
            <w:rStyle w:val="Hyperlink"/>
          </w:rPr>
          <w:t xml:space="preserve">Figure 9</w:t>
        </w:r>
      </w:hyperlink>
      <w:r>
        <w:t xml:space="preserve">).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revealed that 94.6 % of darkened areas were located at above 3.9 meters of bathymetry (</w:t>
      </w:r>
      <w:hyperlink w:anchor="fig-Map_darkening_Bathy">
        <w:r>
          <w:rPr>
            <w:rStyle w:val="Hyperlink"/>
          </w:rPr>
          <w:t xml:space="preserve">Figure 9</w:t>
        </w:r>
      </w:hyperlink>
      <w:r>
        <w:t xml:space="preserve">, A and B).</w:t>
      </w:r>
      <w:r>
        <w:t xml:space="preserve"> </w:t>
      </w:r>
      <w:r>
        <w:t xml:space="preserve">One month later, on October 8th, areas that were previously darkened had regained their green color (</w:t>
      </w:r>
      <w:hyperlink w:anchor="fig-Map_darkening_Bathy">
        <w:r>
          <w:rPr>
            <w:rStyle w:val="Hyperlink"/>
          </w:rPr>
          <w:t xml:space="preserve">Figure 9</w:t>
        </w:r>
      </w:hyperlink>
      <w:r>
        <w:t xml:space="preserve">, C).</w:t>
      </w:r>
    </w:p>
    <w:bookmarkStart w:id="94" w:name="cell-fig-Map_darkening_Bathy"/>
    <w:tbl>
      <w:tblPr>
        <w:tblStyle w:val="Table"/>
        <w:tblW w:type="pct" w:w="5000"/>
        <w:tblLayout w:type="fixed"/>
        <w:tblLook w:firstRow="0" w:lastRow="0" w:firstColumn="0" w:lastColumn="0" w:noHBand="0" w:noVBand="0" w:val="0000"/>
      </w:tblPr>
      <w:tblGrid>
        <w:gridCol w:w="7920"/>
      </w:tblGrid>
      <w:tr>
        <w:tc>
          <w:tcPr/>
          <w:bookmarkStart w:id="93" w:name="fig-Map_darkening_Bathy"/>
          <w:p>
            <w:pPr>
              <w:pStyle w:val="Compact"/>
              <w:jc w:val="center"/>
            </w:pPr>
            <w:r>
              <w:drawing>
                <wp:inline>
                  <wp:extent cx="5646420" cy="3500780"/>
                  <wp:effectExtent b="0" l="0" r="0" t="0"/>
                  <wp:docPr descr="" title="" id="91" name="Picture"/>
                  <a:graphic>
                    <a:graphicData uri="http://schemas.openxmlformats.org/drawingml/2006/picture">
                      <pic:pic>
                        <pic:nvPicPr>
                          <pic:cNvPr descr="Figs/Low_res/Map_darkening_Bathy.png" id="92" name="Picture"/>
                          <pic:cNvPicPr>
                            <a:picLocks noChangeArrowheads="1" noChangeAspect="1"/>
                          </pic:cNvPicPr>
                        </pic:nvPicPr>
                        <pic:blipFill>
                          <a:blip r:embed="rId90"/>
                          <a:stretch>
                            <a:fillRect/>
                          </a:stretch>
                        </pic:blipFill>
                        <pic:spPr bwMode="auto">
                          <a:xfrm>
                            <a:off x="0" y="0"/>
                            <a:ext cx="5646420" cy="35007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Map of the Darkening of seagrasses during the heatwave events of September 2021 in Quiberon. A: 3.9 m bathymetry isobar (golden line); B: Result of the detection of darkened seagrass patches (Blue polygons); C: Sentinel-2 image one month after the end of the heatwaves (2021-10-08).</w:t>
            </w:r>
          </w:p>
          <w:bookmarkEnd w:id="93"/>
        </w:tc>
      </w:tr>
    </w:tbl>
    <w:bookmarkEnd w:id="94"/>
    <w:p>
      <w:pPr>
        <w:pStyle w:val="BodyText"/>
      </w:pPr>
      <w:r>
        <w:t xml:space="preserve">Additionally, seagrass emersion time revealed a clear relationship between the duration of air exposure and seagrass darkening (</w:t>
      </w:r>
      <w:hyperlink w:anchor="fig-GAM_Emersion">
        <w:r>
          <w:rPr>
            <w:rStyle w:val="Hyperlink"/>
          </w:rPr>
          <w:t xml:space="preserve">Figure 10</w:t>
        </w:r>
      </w:hyperlink>
      <w:r>
        <w:t xml:space="preserve">). During the heatwave, no significant darkening occurred with daily exposure less than 13 hours. However, above 13 hours, seagrasses began to darken, reaching peak darkening at around 14.5 hours of daily exposure.</w:t>
      </w:r>
    </w:p>
    <w:bookmarkStart w:id="99" w:name="cell-fig-GAM_Emersion"/>
    <w:tbl>
      <w:tblPr>
        <w:tblStyle w:val="Table"/>
        <w:tblW w:type="pct" w:w="5000"/>
        <w:tblLayout w:type="fixed"/>
        <w:tblLook w:firstRow="0" w:lastRow="0" w:firstColumn="0" w:lastColumn="0" w:noHBand="0" w:noVBand="0" w:val="0000"/>
      </w:tblPr>
      <w:tblGrid>
        <w:gridCol w:w="7920"/>
      </w:tblGrid>
      <w:tr>
        <w:tc>
          <w:tcPr/>
          <w:bookmarkStart w:id="98" w:name="fig-GAM_Emersion"/>
          <w:p>
            <w:pPr>
              <w:pStyle w:val="Compact"/>
              <w:jc w:val="center"/>
            </w:pPr>
            <w:r>
              <w:drawing>
                <wp:inline>
                  <wp:extent cx="5646420" cy="2823210"/>
                  <wp:effectExtent b="0" l="0" r="0" t="0"/>
                  <wp:docPr descr="" title="" id="96" name="Picture"/>
                  <a:graphic>
                    <a:graphicData uri="http://schemas.openxmlformats.org/drawingml/2006/picture">
                      <pic:pic>
                        <pic:nvPicPr>
                          <pic:cNvPr descr="Figs/Low_res/GAM_emersion.png" id="97" name="Picture"/>
                          <pic:cNvPicPr>
                            <a:picLocks noChangeArrowheads="1" noChangeAspect="1"/>
                          </pic:cNvPicPr>
                        </pic:nvPicPr>
                        <pic:blipFill>
                          <a:blip r:embed="rId95"/>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Relative change of the Seagrass Darkening Index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bookmarkEnd w:id="98"/>
        </w:tc>
      </w:tr>
    </w:tbl>
    <w:bookmarkEnd w:id="99"/>
    <w:bookmarkEnd w:id="100"/>
    <w:bookmarkEnd w:id="101"/>
    <w:bookmarkEnd w:id="102"/>
    <w:bookmarkStart w:id="107" w:name="discussion"/>
    <w:p>
      <w:pPr>
        <w:pStyle w:val="Heading1"/>
      </w:pPr>
      <w:r>
        <w:t xml:space="preserve">4. Discussion</w:t>
      </w:r>
    </w:p>
    <w:bookmarkStart w:id="103" w:name="Xd32f8be805d1b37672f96d647c22fdb6e508461"/>
    <w:p>
      <w:pPr>
        <w:pStyle w:val="Heading2"/>
      </w:pPr>
      <w:r>
        <w:t xml:space="preserve">4.1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w:t>
      </w:r>
      <w:hyperlink w:anchor="fig-Exp_Spectral_indices">
        <w:r>
          <w:rPr>
            <w:rStyle w:val="Hyperlink"/>
          </w:rPr>
          <w:t xml:space="preserve">Figure 5</w:t>
        </w:r>
      </w:hyperlink>
      <w:r>
        <w:t xml:space="preserve">). The second derivative at 665 nm (R’’665), NDVI, and GLI (</w:t>
      </w:r>
      <w:hyperlink w:anchor="fig-Exp_Spectral_indices">
        <w:r>
          <w:rPr>
            <w:rStyle w:val="Hyperlink"/>
          </w:rPr>
          <w:t xml:space="preserve">Figure 5</w:t>
        </w:r>
      </w:hyperlink>
      <w:r>
        <w:t xml:space="preserve"> </w:t>
      </w:r>
      <w:r>
        <w:t xml:space="preserve">B, C, and D) all demonstrated a clear decline over the experimental period (days 1-3), suggesting a progressive reduction in photosynthetic activity or pigment levels in the treatment group relative to the control. In contrast, SDI shows a marked increase, reaching up to 600% for some samples by day 3 (</w:t>
      </w:r>
      <w:hyperlink w:anchor="fig-Exp_Spectral_indices">
        <w:r>
          <w:rPr>
            <w:rStyle w:val="Hyperlink"/>
          </w:rPr>
          <w:t xml:space="preserve">Figure 5</w:t>
        </w:r>
      </w:hyperlink>
      <w:r>
        <w:t xml:space="preserve"> </w:t>
      </w:r>
      <w:r>
        <w:t xml:space="preserve">E).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hyperlink w:anchor="fig-GAM_Emersion">
        <w:r>
          <w:rPr>
            <w:rStyle w:val="Hyperlink"/>
          </w:rPr>
          <w:t xml:space="preserve">Figure 10</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3</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03"/>
    <w:bookmarkStart w:id="104" w:name="climate-change-and-heatwaves"/>
    <w:p>
      <w:pPr>
        <w:pStyle w:val="Heading2"/>
      </w:pPr>
      <w:r>
        <w:t xml:space="preserve">4.2 Climate change and heatwaves</w:t>
      </w:r>
    </w:p>
    <w:p>
      <w:pPr>
        <w:pStyle w:val="FirstParagraph"/>
      </w:pPr>
      <w:r>
        <w:t xml:space="preserve">The rapid global escalation of heatwave frequency, intensity and duration is a defining characteristic of the current climate crisis, heavily influenced by anthropogenic activities and greenhouse gas emissions</w:t>
      </w:r>
      <w:r>
        <w:t xml:space="preserve"> </w:t>
      </w:r>
      <w:r>
        <w:t xml:space="preserve">(Devi et al., 2024; Russo and Domeisen, 2023)</w:t>
      </w:r>
      <w:r>
        <w:t xml:space="preserve">.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“Blob”</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104"/>
    <w:bookmarkStart w:id="105" w:name="seagrass-resilience-to-heatwaves"/>
    <w:p>
      <w:pPr>
        <w:pStyle w:val="Heading2"/>
      </w:pPr>
      <w:r>
        <w:t xml:space="preserve">4.3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experience prolonged immersion throughout the tidal cycle,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 The long-term impact of heatwaves is especially evident in changes to seagrass cover (SC). Before the heatwave event on 1st September 2021, impacted seagrass patches exhibited higher SC than non-impacted areas. However, during the event on 6th September, SC in the impacted patch experienced a sharp decline. By 8th October, one month post-event, the SC of impacted seagrasses, initially higher, had fallen below that of non-impacted seagrasses (</w:t>
      </w:r>
      <w:hyperlink w:anchor="fig-NDVI_GLI_SPC">
        <w:r>
          <w:rPr>
            <w:rStyle w:val="Hyperlink"/>
          </w:rPr>
          <w:t xml:space="preserve">Figure 8</w:t>
        </w:r>
      </w:hyperlink>
      <w:r>
        <w:t xml:space="preserve">). The observed decrease in seagrass cover on 6th September was primarily due to leaf darkening, which influenced the NDVI measurements used to estimate SC. This darkening effect reduced the NDVI values, creating an apparent decrease in SC in the impacted patch when, in reality, the density of seagrass remained stable (</w:t>
      </w:r>
      <w:hyperlink w:anchor="fig-QuiberonImg">
        <w:r>
          <w:rPr>
            <w:rStyle w:val="Hyperlink"/>
          </w:rPr>
          <w:t xml:space="preserve">Figure 3</w:t>
        </w:r>
      </w:hyperlink>
      <w:r>
        <w:t xml:space="preserv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 xml:space="preserve">Figure 8</w:t>
        </w:r>
      </w:hyperlink>
      <w:r>
        <w:t xml:space="preserve">).</w:t>
      </w:r>
    </w:p>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bookmarkEnd w:id="105"/>
    <w:bookmarkStart w:id="106" w:name="big-picture"/>
    <w:p>
      <w:pPr>
        <w:pStyle w:val="Heading2"/>
      </w:pPr>
      <w:r>
        <w:t xml:space="preserve">4.4 Big picture</w:t>
      </w:r>
    </w:p>
    <w:p>
      <w:pPr>
        <w:pStyle w:val="FirstParagraph"/>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06"/>
    <w:bookmarkEnd w:id="107"/>
    <w:bookmarkStart w:id="108" w:name="conclusion"/>
    <w:p>
      <w:pPr>
        <w:pStyle w:val="Heading1"/>
      </w:pPr>
      <w:r>
        <w:t xml:space="preserve">5.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08"/>
    <w:bookmarkStart w:id="116" w:name="annexes"/>
    <w:p>
      <w:pPr>
        <w:pStyle w:val="Heading1"/>
      </w:pPr>
      <w:r>
        <w:t xml:space="preserve">6. Annexes</w:t>
      </w:r>
    </w:p>
    <w:bookmarkStart w:id="115" w:name="sec-AnnexeA"/>
    <w:p>
      <w:pPr>
        <w:pStyle w:val="Heading2"/>
      </w:pPr>
      <w:r>
        <w:t xml:space="preserve">6.1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0" name="Picture"/>
            <a:graphic>
              <a:graphicData uri="http://schemas.openxmlformats.org/drawingml/2006/picture">
                <pic:pic>
                  <pic:nvPicPr>
                    <pic:cNvPr descr="Figs/High_res/Temperature_compare.png" id="111" name="Picture"/>
                    <pic:cNvPicPr>
                      <a:picLocks noChangeArrowheads="1" noChangeAspect="1"/>
                    </pic:cNvPicPr>
                  </pic:nvPicPr>
                  <pic:blipFill>
                    <a:blip r:embed="rId109"/>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CaptionedFigure"/>
      </w:pPr>
      <w:r>
        <w:drawing>
          <wp:inline>
            <wp:extent cx="5943600" cy="2718555"/>
            <wp:effectExtent b="0" l="0" r="0" t="0"/>
            <wp:docPr descr="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 title="" id="113" name="Picture"/>
            <a:graphic>
              <a:graphicData uri="http://schemas.openxmlformats.org/drawingml/2006/picture">
                <pic:pic>
                  <pic:nvPicPr>
                    <pic:cNvPr descr="Figs/Low_res/Chamber_Profils.png" id="114" name="Picture"/>
                    <pic:cNvPicPr>
                      <a:picLocks noChangeArrowheads="1" noChangeAspect="1"/>
                    </pic:cNvPicPr>
                  </pic:nvPicPr>
                  <pic:blipFill>
                    <a:blip r:embed="rId112"/>
                    <a:stretch>
                      <a:fillRect/>
                    </a:stretch>
                  </pic:blipFill>
                  <pic:spPr bwMode="auto">
                    <a:xfrm>
                      <a:off x="0" y="0"/>
                      <a:ext cx="5943600" cy="2718555"/>
                    </a:xfrm>
                    <a:prstGeom prst="rect">
                      <a:avLst/>
                    </a:prstGeom>
                    <a:noFill/>
                    <a:ln w="9525">
                      <a:noFill/>
                      <a:headEnd/>
                      <a:tailEnd/>
                    </a:ln>
                  </pic:spPr>
                </pic:pic>
              </a:graphicData>
            </a:graphic>
          </wp:inline>
        </w:drawing>
      </w:r>
    </w:p>
    <w:p>
      <w:pPr>
        <w:pStyle w:val="ImageCaption"/>
      </w:pPr>
      <w:r>
        <w:t xml:space="preserve">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115"/>
    <w:bookmarkEnd w:id="116"/>
    <w:bookmarkStart w:id="215" w:name="references"/>
    <w:p>
      <w:pPr>
        <w:pStyle w:val="Heading1"/>
      </w:pPr>
      <w:r>
        <w:t xml:space="preserve">7. References</w:t>
      </w:r>
    </w:p>
    <w:bookmarkStart w:id="214" w:name="refs"/>
    <w:bookmarkStart w:id="117"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17"/>
    <w:bookmarkStart w:id="118" w:name="ref-armitage2016carbon"/>
    <w:p>
      <w:pPr>
        <w:pStyle w:val="Bibliography"/>
      </w:pPr>
      <w:r>
        <w:t xml:space="preserve">Armitage, A., Fourqurean, J.W., 2016. Carbon storage in seagrass soils: Long-term nutrient history exceeds the effects of near-term nutrient enrichment. Biogeosciences 13, 313–321.</w:t>
      </w:r>
    </w:p>
    <w:bookmarkEnd w:id="118"/>
    <w:bookmarkStart w:id="119"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19"/>
    <w:bookmarkStart w:id="121"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0">
        <w:r>
          <w:rPr>
            <w:rStyle w:val="Hyperlink"/>
          </w:rPr>
          <w:t xml:space="preserve">https://doi.org/10.3354/meps14588</w:t>
        </w:r>
      </w:hyperlink>
    </w:p>
    <w:bookmarkEnd w:id="121"/>
    <w:bookmarkStart w:id="123" w:name="ref-JSSv100i05"/>
    <w:p>
      <w:pPr>
        <w:pStyle w:val="Bibliography"/>
      </w:pPr>
      <w:r>
        <w:t xml:space="preserve">Bürkner, P.-C., 2021. Bayesian item response modeling in r with brms and stan. Journal of Statistical Software 100, 1–54.</w:t>
      </w:r>
      <w:r>
        <w:t xml:space="preserve"> </w:t>
      </w:r>
      <w:hyperlink r:id="rId122">
        <w:r>
          <w:rPr>
            <w:rStyle w:val="Hyperlink"/>
          </w:rPr>
          <w:t xml:space="preserve">https://doi.org/10.18637/jss.v100.i05</w:t>
        </w:r>
      </w:hyperlink>
    </w:p>
    <w:bookmarkEnd w:id="123"/>
    <w:bookmarkStart w:id="124"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4"/>
    <w:bookmarkStart w:id="125"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25"/>
    <w:bookmarkStart w:id="126" w:name="ref-canadell2021ecosystem"/>
    <w:p>
      <w:pPr>
        <w:pStyle w:val="Bibliography"/>
      </w:pPr>
      <w:r>
        <w:t xml:space="preserve">Canadell, J.G., Jackson, R.B., 2021. Ecosystem collapse and climate change. Springer.</w:t>
      </w:r>
    </w:p>
    <w:bookmarkEnd w:id="126"/>
    <w:bookmarkStart w:id="127"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27"/>
    <w:bookmarkStart w:id="129"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28">
        <w:r>
          <w:rPr>
            <w:rStyle w:val="Hyperlink"/>
          </w:rPr>
          <w:t xml:space="preserve">https://doi.org/10.18637/jss.v076.i01</w:t>
        </w:r>
      </w:hyperlink>
    </w:p>
    <w:bookmarkEnd w:id="129"/>
    <w:bookmarkStart w:id="131"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0">
        <w:r>
          <w:rPr>
            <w:rStyle w:val="Hyperlink"/>
          </w:rPr>
          <w:t xml:space="preserve">https://doi.org/10.48670/moi-00311</w:t>
        </w:r>
      </w:hyperlink>
    </w:p>
    <w:bookmarkEnd w:id="131"/>
    <w:bookmarkStart w:id="133"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2">
        <w:r>
          <w:rPr>
            <w:rStyle w:val="Hyperlink"/>
          </w:rPr>
          <w:t xml:space="preserve">https://doi.org/10.1007/s11099-007-0084-3</w:t>
        </w:r>
      </w:hyperlink>
    </w:p>
    <w:bookmarkEnd w:id="133"/>
    <w:bookmarkStart w:id="135"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4">
        <w:r>
          <w:rPr>
            <w:rStyle w:val="Hyperlink"/>
          </w:rPr>
          <w:t xml:space="preserve">https://doi.org/10.1038/s43247-024-01543-z</w:t>
        </w:r>
      </w:hyperlink>
    </w:p>
    <w:bookmarkEnd w:id="135"/>
    <w:bookmarkStart w:id="137"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6">
        <w:r>
          <w:rPr>
            <w:rStyle w:val="Hyperlink"/>
          </w:rPr>
          <w:t xml:space="preserve">https://doi.org/10.1016/j.rse.2024.114340</w:t>
        </w:r>
      </w:hyperlink>
    </w:p>
    <w:bookmarkEnd w:id="137"/>
    <w:bookmarkStart w:id="138"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38"/>
    <w:bookmarkStart w:id="139" w:name="ref-deguette2022physiological"/>
    <w:p>
      <w:pPr>
        <w:pStyle w:val="Bibliography"/>
      </w:pPr>
      <w:r>
        <w:t xml:space="preserve">Deguette, A., Barrote, I., Silva, J., 2022. Physiological and morphological effects of a marine heatwave on the seagrass cymodocea nodosa. Scientific Reports 12, 7950.</w:t>
      </w:r>
    </w:p>
    <w:bookmarkEnd w:id="139"/>
    <w:bookmarkStart w:id="140" w:name="ref-devi2024intensity"/>
    <w:p>
      <w:pPr>
        <w:pStyle w:val="Bibliography"/>
      </w:pPr>
      <w:r>
        <w:t xml:space="preserve">Devi, R., Gouda, K., Lenka, S., 2024. Intensity duration and frequency of heat wave in different phases of MJO over india. Atmospheric Research 300, 107250.</w:t>
      </w:r>
    </w:p>
    <w:bookmarkEnd w:id="140"/>
    <w:bookmarkStart w:id="141" w:name="ref-sen2cor"/>
    <w:p>
      <w:pPr>
        <w:pStyle w:val="Bibliography"/>
      </w:pPr>
      <w:r>
        <w:t xml:space="preserve">European Space Agency, 2024b. Sen2Cor: Sentinel-2 atmospheric correction processor.</w:t>
      </w:r>
    </w:p>
    <w:bookmarkEnd w:id="141"/>
    <w:bookmarkStart w:id="142" w:name="ref-copernicus_sentinel2"/>
    <w:p>
      <w:pPr>
        <w:pStyle w:val="Bibliography"/>
      </w:pPr>
      <w:r>
        <w:t xml:space="preserve">European Space Agency, 2024a. Copernicus open access hub.</w:t>
      </w:r>
    </w:p>
    <w:bookmarkEnd w:id="142"/>
    <w:bookmarkStart w:id="143"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43"/>
    <w:bookmarkStart w:id="144"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4"/>
    <w:bookmarkStart w:id="145" w:name="ref-gacia1999approach"/>
    <w:p>
      <w:pPr>
        <w:pStyle w:val="Bibliography"/>
      </w:pPr>
      <w:r>
        <w:t xml:space="preserve">Gacia, E., Granata, T., Duarte, C., 1999. An approach to measurement of particle flux and sediment retention within seagrass (posidonia oceanica) meadows. Aquatic Botany 65, 255–268.</w:t>
      </w:r>
    </w:p>
    <w:bookmarkEnd w:id="145"/>
    <w:bookmarkStart w:id="146" w:name="ref-gardner2018global"/>
    <w:p>
      <w:pPr>
        <w:pStyle w:val="Bibliography"/>
      </w:pPr>
      <w:r>
        <w:t xml:space="preserve">Gardner, R.C., Finlayson, C., 2018. Global wetland outlook: State of the world’s wetlands and their services to people, in: Ramsar Convention Secretariat. pp. 2020–5.</w:t>
      </w:r>
    </w:p>
    <w:bookmarkEnd w:id="146"/>
    <w:bookmarkStart w:id="147"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7"/>
    <w:bookmarkStart w:id="149"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48">
        <w:r>
          <w:rPr>
            <w:rStyle w:val="Hyperlink"/>
          </w:rPr>
          <w:t xml:space="preserve">https://doi.org/10.1002/aqc.4210</w:t>
        </w:r>
      </w:hyperlink>
    </w:p>
    <w:bookmarkEnd w:id="149"/>
    <w:bookmarkStart w:id="150"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50"/>
    <w:bookmarkStart w:id="151"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51"/>
    <w:bookmarkStart w:id="152" w:name="ref-huete2012vegetation"/>
    <w:p>
      <w:pPr>
        <w:pStyle w:val="Bibliography"/>
      </w:pPr>
      <w:r>
        <w:t xml:space="preserve">Huete, A.R., 2012. Vegetation indices, remote sensing and forest monitoring. Geography Compass 6, 513–532.</w:t>
      </w:r>
    </w:p>
    <w:bookmarkEnd w:id="152"/>
    <w:bookmarkStart w:id="154"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53">
        <w:r>
          <w:rPr>
            <w:rStyle w:val="Hyperlink"/>
          </w:rPr>
          <w:t xml:space="preserve">https://doi.org/10.1073/pnas.0402642101</w:t>
        </w:r>
      </w:hyperlink>
    </w:p>
    <w:bookmarkEnd w:id="154"/>
    <w:bookmarkStart w:id="156" w:name="ref-ioc_sea_level_lecy"/>
    <w:p>
      <w:pPr>
        <w:pStyle w:val="Bibliography"/>
      </w:pPr>
      <w:r>
        <w:t xml:space="preserve">IOC, 2024.</w:t>
      </w:r>
      <w:r>
        <w:t xml:space="preserve"> </w:t>
      </w:r>
      <w:hyperlink r:id="rId155">
        <w:r>
          <w:rPr>
            <w:rStyle w:val="Hyperlink"/>
          </w:rPr>
          <w:t xml:space="preserve">Intergovernmental oceanographic commission ; sea level monitoring station - le conquet, france (LECY)</w:t>
        </w:r>
      </w:hyperlink>
      <w:r>
        <w:t xml:space="preserve">.</w:t>
      </w:r>
    </w:p>
    <w:bookmarkEnd w:id="156"/>
    <w:bookmarkStart w:id="157"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7"/>
    <w:bookmarkStart w:id="159"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58">
        <w:r>
          <w:rPr>
            <w:rStyle w:val="Hyperlink"/>
          </w:rPr>
          <w:t xml:space="preserve">https://doi.org/10.1016/S0304-4238(05)80016-0</w:t>
        </w:r>
      </w:hyperlink>
    </w:p>
    <w:bookmarkEnd w:id="159"/>
    <w:bookmarkStart w:id="160" w:name="ref-kloos2021agricultural"/>
    <w:p>
      <w:pPr>
        <w:pStyle w:val="Bibliography"/>
      </w:pPr>
      <w:r>
        <w:t xml:space="preserve">Kloos, S., Yuan, Y., Castelli, M., Menzel, A., 2021. Agricultural drought detection with MODIS based vegetation health indices in southeast germany. Remote Sensing 13, 3907.</w:t>
      </w:r>
    </w:p>
    <w:bookmarkEnd w:id="160"/>
    <w:bookmarkStart w:id="162"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1">
        <w:r>
          <w:rPr>
            <w:rStyle w:val="Hyperlink"/>
          </w:rPr>
          <w:t xml:space="preserve">https://doi.org/10.1016/S0034-4257(70)80021-9</w:t>
        </w:r>
      </w:hyperlink>
    </w:p>
    <w:bookmarkEnd w:id="162"/>
    <w:bookmarkStart w:id="163" w:name="ref-hsdar"/>
    <w:p>
      <w:pPr>
        <w:pStyle w:val="Bibliography"/>
      </w:pPr>
      <w:r>
        <w:t xml:space="preserve">Lehnert, L.W., Meyer, H., Bendix, J., 2017. Hsdar: Manage, analyse and simulate hyperspectral data in r.</w:t>
      </w:r>
    </w:p>
    <w:bookmarkEnd w:id="163"/>
    <w:bookmarkStart w:id="164" w:name="ref-loarie2009velocity"/>
    <w:p>
      <w:pPr>
        <w:pStyle w:val="Bibliography"/>
      </w:pPr>
      <w:r>
        <w:t xml:space="preserve">Loarie, S.R., Duffy, P.B., Hamilton, H., Asner, G.P., Field, C.B., Ackerly, D.D., 2009. The velocity of climate change. Nature 462, 1052–1055.</w:t>
      </w:r>
    </w:p>
    <w:bookmarkEnd w:id="164"/>
    <w:bookmarkStart w:id="165"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65"/>
    <w:bookmarkStart w:id="167" w:name="ref-malvern_panalytical_rs3"/>
    <w:p>
      <w:pPr>
        <w:pStyle w:val="Bibliography"/>
      </w:pPr>
      <w:r>
        <w:t xml:space="preserve">Malvern Panalytical, 2023.</w:t>
      </w:r>
      <w:r>
        <w:t xml:space="preserve"> </w:t>
      </w:r>
      <w:hyperlink r:id="rId166">
        <w:r>
          <w:rPr>
            <w:rStyle w:val="Hyperlink"/>
          </w:rPr>
          <w:t xml:space="preserve">RS3 software</w:t>
        </w:r>
      </w:hyperlink>
      <w:r>
        <w:t xml:space="preserve">.</w:t>
      </w:r>
    </w:p>
    <w:bookmarkEnd w:id="167"/>
    <w:bookmarkStart w:id="168"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68"/>
    <w:bookmarkStart w:id="170"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69">
        <w:r>
          <w:rPr>
            <w:rStyle w:val="Hyperlink"/>
          </w:rPr>
          <w:t xml:space="preserve">https://doi.org/10.1038/s41598-019-50643-w</w:t>
        </w:r>
      </w:hyperlink>
    </w:p>
    <w:bookmarkEnd w:id="170"/>
    <w:bookmarkStart w:id="171"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71"/>
    <w:bookmarkStart w:id="173"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72">
        <w:r>
          <w:rPr>
            <w:rStyle w:val="Hyperlink"/>
          </w:rPr>
          <w:t xml:space="preserve">https://doi.org/10.3389/fmars.2019.00734</w:t>
        </w:r>
      </w:hyperlink>
    </w:p>
    <w:bookmarkEnd w:id="173"/>
    <w:bookmarkStart w:id="175"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74">
        <w:r>
          <w:rPr>
            <w:rStyle w:val="Hyperlink"/>
          </w:rPr>
          <w:t xml:space="preserve">https://doi.org/10.1111/gcb.14282</w:t>
        </w:r>
      </w:hyperlink>
    </w:p>
    <w:bookmarkEnd w:id="175"/>
    <w:bookmarkStart w:id="176"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76"/>
    <w:bookmarkStart w:id="177" w:name="ref-perkins2013measurement"/>
    <w:p>
      <w:pPr>
        <w:pStyle w:val="Bibliography"/>
      </w:pPr>
      <w:r>
        <w:t xml:space="preserve">Perkins, S.E., Alexander, L.V., 2013. On the measurement of heat waves. Journal of climate 26, 4500–4517.</w:t>
      </w:r>
    </w:p>
    <w:bookmarkEnd w:id="177"/>
    <w:bookmarkStart w:id="179" w:name="ref-Rbase"/>
    <w:p>
      <w:pPr>
        <w:pStyle w:val="Bibliography"/>
      </w:pPr>
      <w:r>
        <w:t xml:space="preserve">R Core Team, 2023.</w:t>
      </w:r>
      <w:r>
        <w:t xml:space="preserve"> </w:t>
      </w:r>
      <w:hyperlink r:id="rId178">
        <w:r>
          <w:rPr>
            <w:rStyle w:val="Hyperlink"/>
          </w:rPr>
          <w:t xml:space="preserve">R: A language and environment for statistical computing</w:t>
        </w:r>
      </w:hyperlink>
      <w:r>
        <w:t xml:space="preserve">. R Foundation for Statistical Computing, Vienna, Austria.</w:t>
      </w:r>
    </w:p>
    <w:bookmarkEnd w:id="179"/>
    <w:bookmarkStart w:id="180" w:name="ref-ramesh2020seagrass"/>
    <w:p>
      <w:pPr>
        <w:pStyle w:val="Bibliography"/>
      </w:pPr>
      <w:r>
        <w:t xml:space="preserve">Ramesh, C., Mohanraju, R., 2020. Seagrass ecosystems of andaman and nicobar islands: Status and future perspective. Environmental &amp; Earth Sciences Research Journal 7.</w:t>
      </w:r>
    </w:p>
    <w:bookmarkEnd w:id="180"/>
    <w:bookmarkStart w:id="182"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81">
        <w:r>
          <w:rPr>
            <w:rStyle w:val="Hyperlink"/>
          </w:rPr>
          <w:t xml:space="preserve">https://doi.org/10.1073/pnas.0500008102</w:t>
        </w:r>
      </w:hyperlink>
    </w:p>
    <w:bookmarkEnd w:id="182"/>
    <w:bookmarkStart w:id="183" w:name="ref-rouse1974monitoring"/>
    <w:p>
      <w:pPr>
        <w:pStyle w:val="Bibliography"/>
      </w:pPr>
      <w:r>
        <w:t xml:space="preserve">Rouse, J.W., Haas, R.H., Schell, J.A., Deering, D.W., others, 1974. Monitoring vegetation systems in the great plains with ERTS. NASA Spec. Publ 351, 309.</w:t>
      </w:r>
    </w:p>
    <w:bookmarkEnd w:id="183"/>
    <w:bookmarkStart w:id="185"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84">
        <w:r>
          <w:rPr>
            <w:rStyle w:val="Hyperlink"/>
          </w:rPr>
          <w:t xml:space="preserve">https://doi.org/10.1029/2023GL103540</w:t>
        </w:r>
      </w:hyperlink>
    </w:p>
    <w:bookmarkEnd w:id="185"/>
    <w:bookmarkStart w:id="186"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86"/>
    <w:bookmarkStart w:id="187"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87"/>
    <w:bookmarkStart w:id="189"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88">
        <w:r>
          <w:rPr>
            <w:rStyle w:val="Hyperlink"/>
          </w:rPr>
          <w:t xml:space="preserve">https://doi.org/10.21105/joss.00821</w:t>
        </w:r>
      </w:hyperlink>
    </w:p>
    <w:bookmarkEnd w:id="189"/>
    <w:bookmarkStart w:id="190"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90"/>
    <w:bookmarkStart w:id="191"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91"/>
    <w:bookmarkStart w:id="193" w:name="ref-shom_ram_2022"/>
    <w:p>
      <w:pPr>
        <w:pStyle w:val="Bibliography"/>
      </w:pPr>
      <w:r>
        <w:t xml:space="preserve">Shom, 2022.</w:t>
      </w:r>
      <w:r>
        <w:t xml:space="preserve"> </w:t>
      </w:r>
      <w:hyperlink r:id="rId192">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93"/>
    <w:bookmarkStart w:id="195" w:name="Xbef41143b4d4042e58f11cfc27e216202646012"/>
    <w:p>
      <w:pPr>
        <w:pStyle w:val="Bibliography"/>
      </w:pPr>
      <w:r>
        <w:t xml:space="preserve">SHOM, 2021.</w:t>
      </w:r>
      <w:r>
        <w:t xml:space="preserve"> </w:t>
      </w:r>
      <w:hyperlink r:id="rId194">
        <w:r>
          <w:rPr>
            <w:rStyle w:val="Hyperlink"/>
          </w:rPr>
          <w:t xml:space="preserve">Service hydrographique et océanographique de la marine ; bathymétrie Litto3D® bretagne 2018-2021</w:t>
        </w:r>
      </w:hyperlink>
      <w:r>
        <w:t xml:space="preserve">.</w:t>
      </w:r>
    </w:p>
    <w:bookmarkEnd w:id="195"/>
    <w:bookmarkStart w:id="197" w:name="ref-simolo2022quantifying"/>
    <w:p>
      <w:pPr>
        <w:pStyle w:val="Bibliography"/>
      </w:pPr>
      <w:r>
        <w:t xml:space="preserve">Simolo, C., Corti, S., 2022. Quantifying the role of variability in future intensification of heat extremes. Nature Communications 13.</w:t>
      </w:r>
      <w:r>
        <w:t xml:space="preserve"> </w:t>
      </w:r>
      <w:hyperlink r:id="rId196">
        <w:r>
          <w:rPr>
            <w:rStyle w:val="Hyperlink"/>
          </w:rPr>
          <w:t xml:space="preserve">https://doi.org/10.1038/s41467-022-35571-0</w:t>
        </w:r>
      </w:hyperlink>
    </w:p>
    <w:bookmarkEnd w:id="197"/>
    <w:bookmarkStart w:id="199"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98">
        <w:r>
          <w:rPr>
            <w:rStyle w:val="Hyperlink"/>
          </w:rPr>
          <w:t xml:space="preserve">https://doi.org/10.1038/s41558-019-0412-1</w:t>
        </w:r>
      </w:hyperlink>
    </w:p>
    <w:bookmarkEnd w:id="199"/>
    <w:bookmarkStart w:id="200"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00"/>
    <w:bookmarkStart w:id="201" w:name="ref-stan2020rstan"/>
    <w:p>
      <w:pPr>
        <w:pStyle w:val="Bibliography"/>
      </w:pPr>
      <w:r>
        <w:t xml:space="preserve">Stan Development Team, C., others, 2020. RStan: The r interface to stan. R package version 2.21. 2.</w:t>
      </w:r>
    </w:p>
    <w:bookmarkEnd w:id="201"/>
    <w:bookmarkStart w:id="203"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02">
        <w:r>
          <w:rPr>
            <w:rStyle w:val="Hyperlink"/>
          </w:rPr>
          <w:t xml:space="preserve">https://doi.org/10.1152/physiol.00040.2018</w:t>
        </w:r>
      </w:hyperlink>
    </w:p>
    <w:bookmarkEnd w:id="203"/>
    <w:bookmarkStart w:id="204"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04"/>
    <w:bookmarkStart w:id="205" w:name="ref-unsworth2014biodiversity"/>
    <w:p>
      <w:pPr>
        <w:pStyle w:val="Bibliography"/>
      </w:pPr>
      <w:r>
        <w:t xml:space="preserve">Unsworth, R., Cullen-Unsworth, L.C., 2014. Biodiversity, ecosystem services, and the conservation of seagrass meadows. Coast. Conserv 19, 95.</w:t>
      </w:r>
    </w:p>
    <w:bookmarkEnd w:id="205"/>
    <w:bookmarkStart w:id="206" w:name="ref-unsworth2022planetary"/>
    <w:p>
      <w:pPr>
        <w:pStyle w:val="Bibliography"/>
      </w:pPr>
      <w:r>
        <w:t xml:space="preserve">Unsworth, R.K., Cullen-Unsworth, L.C., Jones, B.L., Lilley, R.J., 2022. The planetary role of seagrass conservation. Science 377, 609–613.</w:t>
      </w:r>
    </w:p>
    <w:bookmarkEnd w:id="206"/>
    <w:bookmarkStart w:id="207"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07"/>
    <w:bookmarkStart w:id="208"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08"/>
    <w:bookmarkStart w:id="209" w:name="ref-zahoor2023water"/>
    <w:p>
      <w:pPr>
        <w:pStyle w:val="Bibliography"/>
      </w:pPr>
      <w:r>
        <w:t xml:space="preserve">Zahoor, I., Mushtaq, A., 2023. Water pollution from agricultural activities: A critical global review. Int. J. Chem. Biochem. Sci 23, 164–176.</w:t>
      </w:r>
    </w:p>
    <w:bookmarkEnd w:id="209"/>
    <w:bookmarkStart w:id="210"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10"/>
    <w:bookmarkStart w:id="212"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11">
        <w:r>
          <w:rPr>
            <w:rStyle w:val="Hyperlink"/>
          </w:rPr>
          <w:t xml:space="preserve">https://doi.org/10.1002/rse2.319</w:t>
        </w:r>
      </w:hyperlink>
    </w:p>
    <w:bookmarkEnd w:id="212"/>
    <w:bookmarkStart w:id="213"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13"/>
    <w:bookmarkEnd w:id="214"/>
    <w:bookmarkEnd w:id="215"/>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84" Target="media/rId84.png" /><Relationship Type="http://schemas.openxmlformats.org/officeDocument/2006/relationships/image" Id="rId24" Target="media/rId24.png" /><Relationship Type="http://schemas.openxmlformats.org/officeDocument/2006/relationships/image" Id="rId95" Target="media/rId95.png" /><Relationship Type="http://schemas.openxmlformats.org/officeDocument/2006/relationships/image" Id="rId78" Target="media/rId78.png" /><Relationship Type="http://schemas.openxmlformats.org/officeDocument/2006/relationships/image" Id="rId90" Target="media/rId90.png" /><Relationship Type="http://schemas.openxmlformats.org/officeDocument/2006/relationships/image" Id="rId38" Target="media/rId38.png" /><Relationship Type="http://schemas.openxmlformats.org/officeDocument/2006/relationships/image" Id="rId71" Target="media/rId71.png" /><Relationship Type="http://schemas.openxmlformats.org/officeDocument/2006/relationships/image" Id="rId43" Target="media/rId43.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hyperlink" Id="rId192" Target="https://diffusion.shom.fr/references-altimetriques-maritimes-ram.html" TargetMode="External" /><Relationship Type="http://schemas.openxmlformats.org/officeDocument/2006/relationships/hyperlink" Id="rId148" Target="https://doi.org/10.1002/aqc.4210" TargetMode="External" /><Relationship Type="http://schemas.openxmlformats.org/officeDocument/2006/relationships/hyperlink" Id="rId211" Target="https://doi.org/10.1002/rse2.319" TargetMode="External" /><Relationship Type="http://schemas.openxmlformats.org/officeDocument/2006/relationships/hyperlink" Id="rId132" Target="https://doi.org/10.1007/s11099-007-0084-3" TargetMode="External" /><Relationship Type="http://schemas.openxmlformats.org/officeDocument/2006/relationships/hyperlink" Id="rId161" Target="https://doi.org/10.1016/S0034-4257(70)80021-9" TargetMode="External" /><Relationship Type="http://schemas.openxmlformats.org/officeDocument/2006/relationships/hyperlink" Id="rId158" Target="https://doi.org/10.1016/S0304-4238(05)80016-0" TargetMode="External" /><Relationship Type="http://schemas.openxmlformats.org/officeDocument/2006/relationships/hyperlink" Id="rId136" Target="https://doi.org/10.1016/j.rse.2024.114340" TargetMode="External" /><Relationship Type="http://schemas.openxmlformats.org/officeDocument/2006/relationships/hyperlink" Id="rId184" Target="https://doi.org/10.1029/2023GL103540" TargetMode="External" /><Relationship Type="http://schemas.openxmlformats.org/officeDocument/2006/relationships/hyperlink" Id="rId196" Target="https://doi.org/10.1038/s41467-022-35571-0" TargetMode="External" /><Relationship Type="http://schemas.openxmlformats.org/officeDocument/2006/relationships/hyperlink" Id="rId198" Target="https://doi.org/10.1038/s41558-019-0412-1" TargetMode="External" /><Relationship Type="http://schemas.openxmlformats.org/officeDocument/2006/relationships/hyperlink" Id="rId169" Target="https://doi.org/10.1038/s41598-019-50643-w" TargetMode="External" /><Relationship Type="http://schemas.openxmlformats.org/officeDocument/2006/relationships/hyperlink" Id="rId134" Target="https://doi.org/10.1038/s43247-024-01543-z" TargetMode="External" /><Relationship Type="http://schemas.openxmlformats.org/officeDocument/2006/relationships/hyperlink" Id="rId153" Target="https://doi.org/10.1073/pnas.0402642101" TargetMode="External" /><Relationship Type="http://schemas.openxmlformats.org/officeDocument/2006/relationships/hyperlink" Id="rId181" Target="https://doi.org/10.1073/pnas.0500008102" TargetMode="External" /><Relationship Type="http://schemas.openxmlformats.org/officeDocument/2006/relationships/hyperlink" Id="rId174" Target="https://doi.org/10.1111/gcb.14282" TargetMode="External" /><Relationship Type="http://schemas.openxmlformats.org/officeDocument/2006/relationships/hyperlink" Id="rId202" Target="https://doi.org/10.1152/physiol.00040.2018" TargetMode="External" /><Relationship Type="http://schemas.openxmlformats.org/officeDocument/2006/relationships/hyperlink" Id="rId128" Target="https://doi.org/10.18637/jss.v076.i01" TargetMode="External" /><Relationship Type="http://schemas.openxmlformats.org/officeDocument/2006/relationships/hyperlink" Id="rId122" Target="https://doi.org/10.18637/jss.v100.i05" TargetMode="External" /><Relationship Type="http://schemas.openxmlformats.org/officeDocument/2006/relationships/hyperlink" Id="rId188" Target="https://doi.org/10.21105/joss.00821" TargetMode="External" /><Relationship Type="http://schemas.openxmlformats.org/officeDocument/2006/relationships/hyperlink" Id="rId120" Target="https://doi.org/10.3354/meps14588" TargetMode="External" /><Relationship Type="http://schemas.openxmlformats.org/officeDocument/2006/relationships/hyperlink" Id="rId172" Target="https://doi.org/10.3389/fmars.2019.00734" TargetMode="External" /><Relationship Type="http://schemas.openxmlformats.org/officeDocument/2006/relationships/hyperlink" Id="rId130" Target="https://doi.org/10.48670/moi-00311" TargetMode="External" /><Relationship Type="http://schemas.openxmlformats.org/officeDocument/2006/relationships/hyperlink" Id="rId49" Target="https://github.com/SigOiry/HeatWave_Seagrasses/blob/main/Scripts/MeteoFrance_Extraction.qmd" TargetMode="External" /><Relationship Type="http://schemas.openxmlformats.org/officeDocument/2006/relationships/hyperlink" Id="rId194" Target="https://services.data.shom.fr/geonetwork/srv/fre/catalog.search#/metadata/BATHYMETRIE_LITTO3D_BZH_2018_2021.xml" TargetMode="External" /><Relationship Type="http://schemas.openxmlformats.org/officeDocument/2006/relationships/hyperlink" Id="rId178" Target="https://www.R-project.org/" TargetMode="External" /><Relationship Type="http://schemas.openxmlformats.org/officeDocument/2006/relationships/hyperlink" Id="rId155" Target="https://www.ioc-sealevelmonitoring.org/station.php?code=lecy" TargetMode="External" /><Relationship Type="http://schemas.openxmlformats.org/officeDocument/2006/relationships/hyperlink" Id="rId166"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192" Target="https://diffusion.shom.fr/references-altimetriques-maritimes-ram.html" TargetMode="External" /><Relationship Type="http://schemas.openxmlformats.org/officeDocument/2006/relationships/hyperlink" Id="rId148" Target="https://doi.org/10.1002/aqc.4210" TargetMode="External" /><Relationship Type="http://schemas.openxmlformats.org/officeDocument/2006/relationships/hyperlink" Id="rId211" Target="https://doi.org/10.1002/rse2.319" TargetMode="External" /><Relationship Type="http://schemas.openxmlformats.org/officeDocument/2006/relationships/hyperlink" Id="rId132" Target="https://doi.org/10.1007/s11099-007-0084-3" TargetMode="External" /><Relationship Type="http://schemas.openxmlformats.org/officeDocument/2006/relationships/hyperlink" Id="rId161" Target="https://doi.org/10.1016/S0034-4257(70)80021-9" TargetMode="External" /><Relationship Type="http://schemas.openxmlformats.org/officeDocument/2006/relationships/hyperlink" Id="rId158" Target="https://doi.org/10.1016/S0304-4238(05)80016-0" TargetMode="External" /><Relationship Type="http://schemas.openxmlformats.org/officeDocument/2006/relationships/hyperlink" Id="rId136" Target="https://doi.org/10.1016/j.rse.2024.114340" TargetMode="External" /><Relationship Type="http://schemas.openxmlformats.org/officeDocument/2006/relationships/hyperlink" Id="rId184" Target="https://doi.org/10.1029/2023GL103540" TargetMode="External" /><Relationship Type="http://schemas.openxmlformats.org/officeDocument/2006/relationships/hyperlink" Id="rId196" Target="https://doi.org/10.1038/s41467-022-35571-0" TargetMode="External" /><Relationship Type="http://schemas.openxmlformats.org/officeDocument/2006/relationships/hyperlink" Id="rId198" Target="https://doi.org/10.1038/s41558-019-0412-1" TargetMode="External" /><Relationship Type="http://schemas.openxmlformats.org/officeDocument/2006/relationships/hyperlink" Id="rId169" Target="https://doi.org/10.1038/s41598-019-50643-w" TargetMode="External" /><Relationship Type="http://schemas.openxmlformats.org/officeDocument/2006/relationships/hyperlink" Id="rId134" Target="https://doi.org/10.1038/s43247-024-01543-z" TargetMode="External" /><Relationship Type="http://schemas.openxmlformats.org/officeDocument/2006/relationships/hyperlink" Id="rId153" Target="https://doi.org/10.1073/pnas.0402642101" TargetMode="External" /><Relationship Type="http://schemas.openxmlformats.org/officeDocument/2006/relationships/hyperlink" Id="rId181" Target="https://doi.org/10.1073/pnas.0500008102" TargetMode="External" /><Relationship Type="http://schemas.openxmlformats.org/officeDocument/2006/relationships/hyperlink" Id="rId174" Target="https://doi.org/10.1111/gcb.14282" TargetMode="External" /><Relationship Type="http://schemas.openxmlformats.org/officeDocument/2006/relationships/hyperlink" Id="rId202" Target="https://doi.org/10.1152/physiol.00040.2018" TargetMode="External" /><Relationship Type="http://schemas.openxmlformats.org/officeDocument/2006/relationships/hyperlink" Id="rId128" Target="https://doi.org/10.18637/jss.v076.i01" TargetMode="External" /><Relationship Type="http://schemas.openxmlformats.org/officeDocument/2006/relationships/hyperlink" Id="rId122" Target="https://doi.org/10.18637/jss.v100.i05" TargetMode="External" /><Relationship Type="http://schemas.openxmlformats.org/officeDocument/2006/relationships/hyperlink" Id="rId188" Target="https://doi.org/10.21105/joss.00821" TargetMode="External" /><Relationship Type="http://schemas.openxmlformats.org/officeDocument/2006/relationships/hyperlink" Id="rId120" Target="https://doi.org/10.3354/meps14588" TargetMode="External" /><Relationship Type="http://schemas.openxmlformats.org/officeDocument/2006/relationships/hyperlink" Id="rId172" Target="https://doi.org/10.3389/fmars.2019.00734" TargetMode="External" /><Relationship Type="http://schemas.openxmlformats.org/officeDocument/2006/relationships/hyperlink" Id="rId130" Target="https://doi.org/10.48670/moi-00311" TargetMode="External" /><Relationship Type="http://schemas.openxmlformats.org/officeDocument/2006/relationships/hyperlink" Id="rId49" Target="https://github.com/SigOiry/HeatWave_Seagrasses/blob/main/Scripts/MeteoFrance_Extraction.qmd" TargetMode="External" /><Relationship Type="http://schemas.openxmlformats.org/officeDocument/2006/relationships/hyperlink" Id="rId194" Target="https://services.data.shom.fr/geonetwork/srv/fre/catalog.search#/metadata/BATHYMETRIE_LITTO3D_BZH_2018_2021.xml" TargetMode="External" /><Relationship Type="http://schemas.openxmlformats.org/officeDocument/2006/relationships/hyperlink" Id="rId178" Target="https://www.R-project.org/" TargetMode="External" /><Relationship Type="http://schemas.openxmlformats.org/officeDocument/2006/relationships/hyperlink" Id="rId155" Target="https://www.ioc-sealevelmonitoring.org/station.php?code=lecy" TargetMode="External" /><Relationship Type="http://schemas.openxmlformats.org/officeDocument/2006/relationships/hyperlink" Id="rId166"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 of Marine and Atmospheric Heatwaves on Reflectance of Intertidal Zostera noltei</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2024-11-14T16:47:26Z</dcterms:created>
  <dcterms:modified xsi:type="dcterms:W3CDTF">2024-11-14T16:47:26Z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reflectance of the intertidal seagrass Zostera noltei. We performed laboratory experiments, exposing Z.noltei samples to controlled heatwave conditions while measuring hyperspectral reflectance to assess impact over time. We found that heatwaves induced significant declines in seagrass reflectance, particularly in the green and near-infrared regions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the atmospheric heatwave for more than 13.5 hours a day. This work highlights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2024-11-14</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