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113.png" ContentType="image/png"/>
  <Override PartName="/word/media/rId67.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2023a</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Zostera noltei</w:t>
      </w:r>
      <w:r>
        <w:t xml:space="preserve"> </w:t>
      </w:r>
      <w:r>
        <w:t xml:space="preserve">(dwarf eelgrass)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Crouesty.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64 %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50 and 68 %,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0.23 to 0.03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85%;</w:t>
      </w:r>
      <w:r>
        <w:t xml:space="preserve"> </w:t>
      </w:r>
      <w:hyperlink w:anchor="fig-NDVI_GLI_SPC">
        <w:r>
          <w:rPr>
            <w:rStyle w:val="Hyperlink"/>
          </w:rPr>
          <w:t xml:space="preserve">Figure 10</w:t>
        </w:r>
      </w:hyperlink>
      <w:r>
        <w:t xml:space="preserve"> </w:t>
      </w:r>
      <w:r>
        <w:t xml:space="preserve">D green) were denser than the those remained unchanged (median SPC = 65%;</w:t>
      </w:r>
      <w:r>
        <w:t xml:space="preserve"> </w:t>
      </w:r>
      <w:hyperlink w:anchor="fig-NDVI_GLI_SPC">
        <w:r>
          <w:rPr>
            <w:rStyle w:val="Hyperlink"/>
          </w:rPr>
          <w:t xml:space="preserve">Figure 10</w:t>
        </w:r>
      </w:hyperlink>
      <w:r>
        <w:t xml:space="preserve"> </w:t>
      </w:r>
      <w:r>
        <w:t xml:space="preserve">C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24" w:name="discussion---work-in-progress"/>
    <w:p>
      <w:pPr>
        <w:pStyle w:val="Heading1"/>
      </w:pPr>
      <w:r>
        <w:t xml:space="preserve">4. Discussion -</w:t>
      </w:r>
      <w:r>
        <w:t xml:space="preserve"> </w:t>
      </w:r>
      <w:r>
        <w:rPr>
          <w:b/>
          <w:bCs/>
        </w:rPr>
        <w:t xml:space="preserve">WORK IN PROGRESS</w:t>
      </w:r>
    </w:p>
    <w:p>
      <w:pPr>
        <w:pStyle w:val="FirstParagraph"/>
      </w:pPr>
      <w:r>
        <w:t xml:space="preserve">Although extensive research exists on marine heatwaves’ effects on subtidal seagrasses, little attention has been given to intertidal regions and even less to the interaction between atmospherical extrem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The decrease in visible reflectance can be multifactorial and has been documented in plants under various stress conditions, including thermal stress. Leaf blackening in plants,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In the absence of photosynthesis, membrane integrity is compromised, allowing PPO to interact with phenolic compounds, thereby accelerating darkening. Low-oxygen environments and antioxidant treatments, like diphenylamine (DPA), have been effective in reducing these oxidative reactions. Furthermore, high temperatures can destabilize membranes, especially in chloroplasts, disrupting photosystem II and impairing recovery of photosynthetic function</w:t>
      </w:r>
      <w:r>
        <w:t xml:space="preserve"> </w:t>
      </w:r>
      <w:r>
        <w:t xml:space="preserve">(</w:t>
      </w:r>
      <w:hyperlink w:anchor="ref-dascaliuc2007heat">
        <w:r>
          <w:rPr>
            <w:rStyle w:val="Hyperlink"/>
          </w:rPr>
          <w:t xml:space="preserve">Dascaliuc et al., 2007</w:t>
        </w:r>
      </w:hyperlink>
      <w:r>
        <w:t xml:space="preserve">;</w:t>
      </w:r>
      <w:r>
        <w:t xml:space="preserve"> </w:t>
      </w:r>
      <w:hyperlink w:anchor="ref-jones1992leaf">
        <w:r>
          <w:rPr>
            <w:rStyle w:val="Hyperlink"/>
          </w:rPr>
          <w:t xml:space="preserve">Jones and Clayton-Greene, 1992</w:t>
        </w:r>
      </w:hyperlink>
      <w:r>
        <w:t xml:space="preserve">)</w:t>
      </w:r>
      <w:r>
        <w:t xml:space="preserve">. Furethemore, has the chlorophyll-a is degraded, other pigments like carotenoids become more visible, renforcing the dark color of leaves.</w:t>
      </w:r>
      <w:r>
        <w:t xml:space="preserve"> </w:t>
      </w:r>
      <w:r>
        <w:t xml:space="preserve">The destruction of membranes (Chloroplasts, thylakoids, cell walls) due to oxidative stress also contributes to the drop in reflectance in the Red Edge and near-infrared regions of the spectrum (&gt; 700 nm). Infrared reflectance in plant leaves is high primarily due to the internal cellular structure that scatters light within the leaf. When sunlight enters the leaf, it is diffused and scattered through various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structure of these walls is compromised, the infrared plateau decreases significantly</w:t>
      </w:r>
      <w:r>
        <w:t xml:space="preserve"> </w:t>
      </w:r>
      <w:r>
        <w:t xml:space="preserve">(</w:t>
      </w:r>
      <w:hyperlink w:anchor="ref-knipling1970reflectance">
        <w:r>
          <w:rPr>
            <w:rStyle w:val="Hyperlink"/>
          </w:rPr>
          <w:t xml:space="preserve">Knipling, 1970</w:t>
        </w:r>
      </w:hyperlink>
      <w:r>
        <w:t xml:space="preserve">)</w:t>
      </w:r>
      <w:r>
        <w:t xml:space="preserve">.</w:t>
      </w:r>
    </w:p>
    <w:p>
      <w:pPr>
        <w:pStyle w:val="BodyText"/>
      </w:pPr>
      <w:r>
        <w:rPr>
          <w:b/>
          <w:bCs/>
        </w:rPr>
        <w:t xml:space="preserve">The unique reflectance properties of seagrasses under heat stress facilitate the detection of this stress through remote sensing techniques (</w:t>
      </w:r>
      <w:hyperlink w:anchor="eq-SDI">
        <w:r>
          <w:rPr>
            <w:rStyle w:val="Hyperlink"/>
            <w:b/>
            <w:bCs/>
          </w:rPr>
          <w:t xml:space="preserve">Equation 4</w:t>
        </w:r>
      </w:hyperlink>
      <w:r>
        <w:rPr>
          <w:b/>
          <w:bCs/>
        </w:rPr>
        <w:t xml:space="preserve">). The SDI index developed in this study allows for remote sensing assessment of the extent and severity of darkening events across intertidal seagrass meadows. Requiring only three spectral bands (560, 740, and 840 nm), this index can be applied to data from various current satellite missions, including Sentinel-2, Pleiades-Neo, WorldView-3, SkySat, and GeoSat-2 and will also be compatible with upcoming missions such as Sentinel-2 Next Generation and Landsat Next. As climate change progresses, the frequency and intensity of heatwave events are projected to increase, positioning remote sensing as an essential tool for monitoring cumulative ecological impacts on seagrass meadows. While satellite platforms provide extensive spatial coverage, limitations such as cloud interference may restrict the continuity of observations, particularly during peak heatwave periods. Integrating satellite-derived data with drone-based observations, which offer enhanced spatial resolution and flexible deployment, could address these limitations by filling temporal gaps in satellite revisit cycles. This combined approach enables precise, localized monitoring of seagrass meadows immediately following extreme events, thus capturing rapid physiological and structural changes that might otherwise remain undetected. Such datasets are critical for the early detection of ecosystem degradation, facilitating timely conservation interventions and enabling targeted management strategies. Moreover, continuous, multi-year data acquisition would bolster the development of predictive models to forecast future heatwave impacts, enhancing the capacity for adaptive management and long-term resilience planning for seagrass ecosystems.</w:t>
      </w:r>
    </w:p>
    <w:p>
      <w:pPr>
        <w:pStyle w:val="Compact"/>
        <w:numPr>
          <w:ilvl w:val="0"/>
          <w:numId w:val="1004"/>
        </w:numPr>
      </w:pPr>
      <w:r>
        <w:t xml:space="preserve">make a link with the batymetry and modelisation of futur impact regarding heatwaves and sealevel rise</w:t>
      </w:r>
    </w:p>
    <w:bookmarkStart w:id="123" w:name="X327e5cb9f509cc61fbc30aa2dc25bd1f67a7b7c"/>
    <w:p>
      <w:pPr>
        <w:pStyle w:val="Heading2"/>
      </w:pPr>
      <w:r>
        <w:t xml:space="preserve">4.1 Frequency and Intensity of Heatwaves: Implications for Seagrasses and Their Resilience.</w:t>
      </w:r>
    </w:p>
    <w:p>
      <w:pPr>
        <w:pStyle w:val="FirstParagraph"/>
      </w:pPr>
      <w:r>
        <w:t xml:space="preserve">The rapid escalation of heatwave frequency and intensity globally is a defining characteristic of the current climate crisis, influenced heavily by anthropogenic activities and greenhouse gas emissions. Rising temperatures have led to the intensification of extreme weather events, particularly heatwaves, which are not only becoming more frequent but also lasting longer and reaching higher temperature peaks. Recent research suggests that the magnitude of these events has surged in the past decades, and projections indicate a continuation of this trend well into the future. For example, heatwaves that were once considered rare are now up to ten times more likely to occur, with some regions experiencing events three times as intense as those in the early 20th century</w:t>
      </w:r>
      <w:r>
        <w:t xml:space="preserve"> </w:t>
      </w:r>
      <w:r>
        <w:t xml:space="preserve">(</w:t>
      </w:r>
      <w:hyperlink w:anchor="ref-devi2024intensity">
        <w:r>
          <w:rPr>
            <w:rStyle w:val="Hyperlink"/>
          </w:rPr>
          <w:t xml:space="preserve">Devi et al., 2024</w:t>
        </w:r>
      </w:hyperlink>
      <w:r>
        <w:t xml:space="preserve">;</w:t>
      </w:r>
      <w:r>
        <w:t xml:space="preserve"> </w:t>
      </w:r>
      <w:hyperlink w:anchor="ref-russo2023intensity">
        <w:r>
          <w:rPr>
            <w:rStyle w:val="Hyperlink"/>
          </w:rPr>
          <w:t xml:space="preserve">Russo and Domeisen, 2023</w:t>
        </w:r>
      </w:hyperlink>
      <w:r>
        <w:t xml:space="preserve">)</w:t>
      </w:r>
      <w:r>
        <w:t xml:space="preserve">. In our study site in Quiberon, a similar pattern emerges at the local scale. Data from a local weather station indicate an increasing trend in both the frequency and cumulative intensity of atmospheric heatwaves, while the same parameters for coldspells—defined as extreme low temperatures below the 10th percentile—show a marked decline in both frequency and intensity</w:t>
      </w:r>
      <w:r>
        <w:t xml:space="preserve"> </w:t>
      </w:r>
      <w:hyperlink w:anchor="fig-Freq_Int_HW_CS">
        <w:r>
          <w:rPr>
            <w:rStyle w:val="Hyperlink"/>
          </w:rPr>
          <w:t xml:space="preserve">Figure 13</w:t>
        </w:r>
      </w:hyperlink>
      <w:r>
        <w:t xml:space="preserve">.</w:t>
      </w:r>
    </w:p>
    <w:bookmarkStart w:id="117" w:name="cell-fig-Freq_Int_HW_CS"/>
    <w:bookmarkStart w:id="116" w:name="fig-Freq_Int_HW_CS"/>
    <w:p>
      <w:pPr>
        <w:pStyle w:val="FigureTitle"/>
      </w:pPr>
      <w:r>
        <w:t xml:space="preserve">Figure 13</w:t>
      </w:r>
    </w:p>
    <w:p>
      <w:pPr>
        <w:pStyle w:val="Caption"/>
      </w:pPr>
      <w:r>
        <w:t xml:space="preserve">Frequency and intensity of atmospheric heatwaves (red) and cold spells (blue) over time at the Lorient-Lann Bihoué weather station. The left column displays the annual frequency of heatwaves and cold spells as the total number of events per year. The right column illustrates event intensity, represented by the cumulative temperature anomaly throughout the year, measured in degrees Celsius.</w:t>
      </w:r>
    </w:p>
    <w:p>
      <w:pPr>
        <w:pStyle w:val="FigureWithoutNote"/>
      </w:pPr>
      <w:r>
        <w:drawing>
          <wp:inline>
            <wp:extent cx="4754880" cy="4754880"/>
            <wp:effectExtent b="0" l="0" r="0" t="0"/>
            <wp:docPr descr="" title="" id="114" name="Picture"/>
            <a:graphic>
              <a:graphicData uri="http://schemas.openxmlformats.org/drawingml/2006/picture">
                <pic:pic>
                  <pic:nvPicPr>
                    <pic:cNvPr descr="Figs/Low_res/plot_HW_CS.png" id="115" name="Picture"/>
                    <pic:cNvPicPr>
                      <a:picLocks noChangeArrowheads="1" noChangeAspect="1"/>
                    </pic:cNvPicPr>
                  </pic:nvPicPr>
                  <pic:blipFill>
                    <a:blip r:embed="rId113"/>
                    <a:stretch>
                      <a:fillRect/>
                    </a:stretch>
                  </pic:blipFill>
                  <pic:spPr bwMode="auto">
                    <a:xfrm>
                      <a:off x="0" y="0"/>
                      <a:ext cx="4754880" cy="4754880"/>
                    </a:xfrm>
                    <a:prstGeom prst="rect">
                      <a:avLst/>
                    </a:prstGeom>
                    <a:noFill/>
                    <a:ln w="9525">
                      <a:noFill/>
                      <a:headEnd/>
                      <a:tailEnd/>
                    </a:ln>
                  </pic:spPr>
                </pic:pic>
              </a:graphicData>
            </a:graphic>
          </wp:inline>
        </w:drawing>
      </w:r>
    </w:p>
    <w:bookmarkEnd w:id="116"/>
    <w:bookmarkEnd w:id="117"/>
    <w:p>
      <w:pPr>
        <w:pStyle w:val="AfterWithoutNote"/>
      </w:pPr>
      <w:r>
        <w:t xml:space="preserve">Metrics used to quantify heatwave intensity, such as cumulative indices based on total temperature exceedances over time, reveal a more comprehensive understanding of the severity and duration of these events compared to average temperature measures</w:t>
      </w:r>
      <w:r>
        <w:t xml:space="preserve"> </w:t>
      </w:r>
      <w:r>
        <w:t xml:space="preserve">(</w:t>
      </w:r>
      <w:hyperlink w:anchor="ref-russo2023intensity">
        <w:r>
          <w:rPr>
            <w:rStyle w:val="Hyperlink"/>
          </w:rPr>
          <w:t xml:space="preserve">Russo and Domeisen, 2023</w:t>
        </w:r>
      </w:hyperlink>
      <w:r>
        <w:t xml:space="preserve">)</w:t>
      </w:r>
      <w:r>
        <w:t xml:space="preserve">. This is particularly relevant, as the cumulative impact of sustained high temperatures exerts more extensive stress on ecosystems, infrastructure, and human health than individual peak temperatures alone.</w:t>
      </w:r>
    </w:p>
    <w:p>
      <w:pPr>
        <w:pStyle w:val="BodyText"/>
      </w:pPr>
      <w:r>
        <w:t xml:space="preserve">From a hazard analysis perspective, the concurrent evaluation of intensity, frequency, and duration of heatwaves allows for a nuanced understanding of their likely impacts. Models like the Heatwave Intensity Duration Frequency (HIDF) curves provide insights into the probability of various heatwave scenarios, indicating that both short but intense events and prolonged moderate events present unique risks depending on the region. In places such as the Mediterranean, for instance, the frequency of high-intensity heatwaves has dramatically increased, leading to severe impacts on urban infrastructure, public health, and energy consumption</w:t>
      </w:r>
      <w:r>
        <w:t xml:space="preserve"> </w:t>
      </w:r>
      <w:r>
        <w:t xml:space="preserve">(</w:t>
      </w:r>
      <w:hyperlink w:anchor="ref-mazdiyasni2019hidf">
        <w:r>
          <w:rPr>
            <w:rStyle w:val="Hyperlink"/>
          </w:rPr>
          <w:t xml:space="preserve">Mazdiyasni et al., 2019</w:t>
        </w:r>
      </w:hyperlink>
      <w:r>
        <w:t xml:space="preserve">;</w:t>
      </w:r>
      <w:r>
        <w:t xml:space="preserve"> </w:t>
      </w:r>
      <w:hyperlink w:anchor="ref-smale2019marine">
        <w:r>
          <w:rPr>
            <w:rStyle w:val="Hyperlink"/>
          </w:rPr>
          <w:t xml:space="preserve">Smale et al., 2019</w:t>
        </w:r>
      </w:hyperlink>
      <w:r>
        <w:t xml:space="preserve">)</w:t>
      </w:r>
      <w:r>
        <w:t xml:space="preserve">. Regions experiencing significant daily temperature variability are projected to see a sharper increase in extreme heat events, which underscores the role of atmospheric variability in shaping local heatwave dynamics. Specifically, in the mid-latitudes, where variability is expected to decrease, heat extremes may stabilize at elevated levels, thereby reducing cold extremes while allowing for increasingly frequent hot days</w:t>
      </w:r>
      <w:r>
        <w:t xml:space="preserve"> </w:t>
      </w:r>
      <w:r>
        <w:t xml:space="preserve">(</w:t>
      </w:r>
      <w:hyperlink w:anchor="ref-simolo2022quantifying">
        <w:r>
          <w:rPr>
            <w:rStyle w:val="Hyperlink"/>
          </w:rPr>
          <w:t xml:space="preserve">Simolo and Corti, 2022</w:t>
        </w:r>
      </w:hyperlink>
      <w:r>
        <w:t xml:space="preserve">)</w:t>
      </w:r>
      <w:r>
        <w:t xml:space="preserve">.</w:t>
      </w:r>
    </w:p>
    <w:p>
      <w:pPr>
        <w:pStyle w:val="BodyText"/>
      </w:pPr>
      <w:r>
        <w:t xml:space="preserve">In the ocean, similar trends are observed with marine heatwaves. These events are equally, if not more, consequential as atmospheric heatwaves, with widespread impacts on marine biodiversity, fisheries, and carbon cycling. MHWs have increased by over 50% in annual days since the early 20th century, and projections suggest that a near-permanent state of marine heatwaves could develop by the end of the century if greenhouse gas emissions remain high</w:t>
      </w:r>
      <w:r>
        <w:t xml:space="preserve"> </w:t>
      </w:r>
      <w:r>
        <w:t xml:space="preserve">(</w:t>
      </w:r>
      <w:hyperlink w:anchor="ref-oliver2019projected">
        <w:r>
          <w:rPr>
            <w:rStyle w:val="Hyperlink"/>
          </w:rPr>
          <w:t xml:space="preserve">Oliver et al., 2019</w:t>
        </w:r>
      </w:hyperlink>
      <w:r>
        <w:t xml:space="preserve">)</w:t>
      </w:r>
      <w:r>
        <w:t xml:space="preserve">. Events like the</w:t>
      </w:r>
      <w:r>
        <w:t xml:space="preserve"> </w:t>
      </w:r>
      <w:r>
        <w:t xml:space="preserve">“</w:t>
      </w:r>
      <w:r>
        <w:t xml:space="preserve">Blob</w:t>
      </w:r>
      <w:r>
        <w:t xml:space="preserve">”</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w:t>
      </w:r>
      <w:hyperlink w:anchor="ref-smale2019marine">
        <w:r>
          <w:rPr>
            <w:rStyle w:val="Hyperlink"/>
          </w:rPr>
          <w:t xml:space="preserve">Smale et al., 2019</w:t>
        </w:r>
      </w:hyperlink>
      <w:r>
        <w:t xml:space="preserve">)</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w:t>
      </w:r>
      <w:hyperlink w:anchor="ref-devi2024intensity">
        <w:r>
          <w:rPr>
            <w:rStyle w:val="Hyperlink"/>
          </w:rPr>
          <w:t xml:space="preserve">Devi et al., 2024</w:t>
        </w:r>
      </w:hyperlink>
      <w:r>
        <w:t xml:space="preserve">;</w:t>
      </w:r>
      <w:r>
        <w:t xml:space="preserve"> </w:t>
      </w:r>
      <w:hyperlink w:anchor="ref-stillman2019heat">
        <w:r>
          <w:rPr>
            <w:rStyle w:val="Hyperlink"/>
          </w:rPr>
          <w:t xml:space="preserve">Stillman, 2019</w:t>
        </w:r>
      </w:hyperlink>
      <w:r>
        <w:t xml:space="preserve">)</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w:t>
      </w:r>
      <w:hyperlink w:anchor="ref-oliver2019projected">
        <w:r>
          <w:rPr>
            <w:rStyle w:val="Hyperlink"/>
          </w:rPr>
          <w:t xml:space="preserve">Oliver et al., 2019</w:t>
        </w:r>
      </w:hyperlink>
      <w:r>
        <w:t xml:space="preserve">;</w:t>
      </w:r>
      <w:r>
        <w:t xml:space="preserve"> </w:t>
      </w:r>
      <w:hyperlink w:anchor="ref-simolo2022quantifying">
        <w:r>
          <w:rPr>
            <w:rStyle w:val="Hyperlink"/>
          </w:rPr>
          <w:t xml:space="preserve">Simolo and Corti, 2022</w:t>
        </w:r>
      </w:hyperlink>
      <w:r>
        <w:t xml:space="preserve">)</w:t>
      </w:r>
      <w:r>
        <w:t xml:space="preserve">. Terrestrial ecosystems experience shifts in species distributions, altered community dynamics, and reduced biodiversity as species are either forced to migrate or face local extinction under increasingly inhospitable conditions</w:t>
      </w:r>
      <w:r>
        <w:t xml:space="preserve"> </w:t>
      </w:r>
      <w:r>
        <w:t xml:space="preserve">(</w:t>
      </w:r>
      <w:hyperlink w:anchor="ref-pansch2018heat">
        <w:r>
          <w:rPr>
            <w:rStyle w:val="Hyperlink"/>
          </w:rPr>
          <w:t xml:space="preserve">Pansch et al., 2018</w:t>
        </w:r>
      </w:hyperlink>
      <w:r>
        <w:t xml:space="preserve">)</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w:t>
      </w:r>
      <w:hyperlink w:anchor="ref-oliver2019projected">
        <w:r>
          <w:rPr>
            <w:rStyle w:val="Hyperlink"/>
          </w:rPr>
          <w:t xml:space="preserve">Oliver et al., 2019</w:t>
        </w:r>
      </w:hyperlink>
      <w:r>
        <w:t xml:space="preserve">;</w:t>
      </w:r>
      <w:r>
        <w:t xml:space="preserve"> </w:t>
      </w:r>
      <w:hyperlink w:anchor="ref-smale2019marine">
        <w:r>
          <w:rPr>
            <w:rStyle w:val="Hyperlink"/>
          </w:rPr>
          <w:t xml:space="preserve">Smale et al., 2019</w:t>
        </w:r>
      </w:hyperlink>
      <w:r>
        <w:t xml:space="preserve">)</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w:t>
      </w:r>
      <w:hyperlink w:anchor="ref-deguette2022physiological">
        <w:r>
          <w:rPr>
            <w:rStyle w:val="Hyperlink"/>
          </w:rPr>
          <w:t xml:space="preserve">Deguette et al., 2022</w:t>
        </w:r>
      </w:hyperlink>
      <w:r>
        <w:t xml:space="preserve">;</w:t>
      </w:r>
      <w:r>
        <w:t xml:space="preserve"> </w:t>
      </w:r>
      <w:hyperlink w:anchor="ref-guerrero2020heat">
        <w:r>
          <w:rPr>
            <w:rStyle w:val="Hyperlink"/>
          </w:rPr>
          <w:t xml:space="preserve">Guerrero-Meseguer et al., 2020</w:t>
        </w:r>
      </w:hyperlink>
      <w:r>
        <w:t xml:space="preserve">;</w:t>
      </w:r>
      <w:r>
        <w:t xml:space="preserve"> </w:t>
      </w:r>
      <w:hyperlink w:anchor="ref-sawall2021chronically">
        <w:r>
          <w:rPr>
            <w:rStyle w:val="Hyperlink"/>
          </w:rPr>
          <w:t xml:space="preserve">Sawall et al., 2021</w:t>
        </w:r>
      </w:hyperlink>
      <w:r>
        <w:t xml:space="preserve">;</w:t>
      </w:r>
      <w:r>
        <w:t xml:space="preserve"> </w:t>
      </w:r>
      <w:hyperlink w:anchor="ref-winters2011effects">
        <w:r>
          <w:rPr>
            <w:rStyle w:val="Hyperlink"/>
          </w:rPr>
          <w:t xml:space="preserve">Winters et al., 2011</w:t>
        </w:r>
      </w:hyperlink>
      <w:r>
        <w:t xml:space="preserve">)</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w:t>
      </w:r>
      <w:hyperlink w:anchor="ref-mazdiyasni2019hidf">
        <w:r>
          <w:rPr>
            <w:rStyle w:val="Hyperlink"/>
          </w:rPr>
          <w:t xml:space="preserve">Mazdiyasni et al., 2019</w:t>
        </w:r>
      </w:hyperlink>
      <w:r>
        <w:t xml:space="preserve">)</w:t>
      </w:r>
      <w:r>
        <w:t xml:space="preserve">. The compounded impacts of atmospheric and marine heatwaves thus pose an existential threat to seagrass ecosystems, highlighting the urgent need for targeted climate adaptation measures to mitigate these escalating thermal stresses and preserve the resilience of these essential marine habitats</w:t>
      </w:r>
      <w:r>
        <w:t xml:space="preserve"> </w:t>
      </w:r>
      <w:r>
        <w:t xml:space="preserve">(</w:t>
      </w:r>
      <w:hyperlink w:anchor="ref-russo2023intensity">
        <w:r>
          <w:rPr>
            <w:rStyle w:val="Hyperlink"/>
          </w:rPr>
          <w:t xml:space="preserve">Russo and Domeisen, 2023</w:t>
        </w:r>
      </w:hyperlink>
      <w:r>
        <w:t xml:space="preserve">;</w:t>
      </w:r>
      <w:r>
        <w:t xml:space="preserve"> </w:t>
      </w:r>
      <w:hyperlink w:anchor="ref-stillman2019heat">
        <w:r>
          <w:rPr>
            <w:rStyle w:val="Hyperlink"/>
          </w:rPr>
          <w:t xml:space="preserve">Stillman, 2019</w:t>
        </w:r>
      </w:hyperlink>
      <w:r>
        <w:t xml:space="preserve">)</w:t>
      </w:r>
      <w:r>
        <w:t xml:space="preserve">.</w:t>
      </w:r>
    </w:p>
    <w:p>
      <w:pPr>
        <w:pStyle w:val="BodyText"/>
      </w:pPr>
      <w:r>
        <w:t xml:space="preserve">Seagrass resilience to heatwaves is a complex and multifaceted issue shaped by species-specific traits, geographical location, and concurrent environmental stressors</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w:t>
      </w:r>
      <w:hyperlink w:anchor="ref-hatum2024predicting">
        <w:r>
          <w:rPr>
            <w:rStyle w:val="Hyperlink"/>
          </w:rPr>
          <w:t xml:space="preserve">Hatum et al., 2024</w:t>
        </w:r>
      </w:hyperlink>
      <w:r>
        <w:t xml:space="preserve">)</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w:t>
      </w:r>
      <w:hyperlink w:anchor="ref-o2018seagrass">
        <w:r>
          <w:rPr>
            <w:rStyle w:val="Hyperlink"/>
          </w:rPr>
          <w:t xml:space="preserve">O’Brien et al., 2018</w:t>
        </w:r>
      </w:hyperlink>
      <w:r>
        <w:t xml:space="preserve">)</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w:t>
      </w:r>
      <w:hyperlink w:anchor="ref-davies2024sentinel">
        <w:r>
          <w:rPr>
            <w:rStyle w:val="Hyperlink"/>
          </w:rPr>
          <w:t xml:space="preserve">Davies et al., 2024a</w:t>
        </w:r>
      </w:hyperlink>
      <w:r>
        <w:t xml:space="preserve">,</w:t>
      </w:r>
      <w:r>
        <w:t xml:space="preserve"> </w:t>
      </w:r>
      <w:hyperlink w:anchor="ref-davies2024intertidal">
        <w:r>
          <w:rPr>
            <w:rStyle w:val="Hyperlink"/>
          </w:rPr>
          <w:t xml:space="preserve">2024b</w:t>
        </w:r>
      </w:hyperlink>
      <w:r>
        <w:t xml:space="preserve">)</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w:t>
      </w:r>
      <w:hyperlink w:anchor="ref-berger2024eelgrass">
        <w:r>
          <w:rPr>
            <w:rStyle w:val="Hyperlink"/>
          </w:rPr>
          <w:t xml:space="preserve">Berger et al., 2024</w:t>
        </w:r>
      </w:hyperlink>
      <w:r>
        <w:t xml:space="preserve">;</w:t>
      </w:r>
      <w:r>
        <w:t xml:space="preserve"> </w:t>
      </w:r>
      <w:hyperlink w:anchor="ref-canadell2021ecosystem">
        <w:r>
          <w:rPr>
            <w:rStyle w:val="Hyperlink"/>
          </w:rPr>
          <w:t xml:space="preserve">Canadell and Jackson, 2021</w:t>
        </w:r>
      </w:hyperlink>
      <w:r>
        <w:t xml:space="preserve">)</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w:t>
      </w:r>
      <w:hyperlink w:anchor="ref-franssen2014genome">
        <w:r>
          <w:rPr>
            <w:rStyle w:val="Hyperlink"/>
          </w:rPr>
          <w:t xml:space="preserve">Franssen et al., 2014</w:t>
        </w:r>
      </w:hyperlink>
      <w:r>
        <w:t xml:space="preserve">)</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w:t>
      </w:r>
      <w:hyperlink w:anchor="ref-hatum2024predicting">
        <w:r>
          <w:rPr>
            <w:rStyle w:val="Hyperlink"/>
          </w:rPr>
          <w:t xml:space="preserve">Hatum et al., 2024</w:t>
        </w:r>
      </w:hyperlink>
      <w:r>
        <w:t xml:space="preserve">)</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w:t>
      </w:r>
      <w:hyperlink w:anchor="ref-de2022increased">
        <w:r>
          <w:rPr>
            <w:rStyle w:val="Hyperlink"/>
          </w:rPr>
          <w:t xml:space="preserve">De Fouw et al., 2022</w:t>
        </w:r>
      </w:hyperlink>
      <w:r>
        <w:t xml:space="preserve">)</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w:t>
      </w:r>
      <w:hyperlink w:anchor="ref-franssen2014genome">
        <w:r>
          <w:rPr>
            <w:rStyle w:val="Hyperlink"/>
          </w:rPr>
          <w:t xml:space="preserve">Franssen et al., 2014</w:t>
        </w:r>
      </w:hyperlink>
      <w:r>
        <w:t xml:space="preserve">;</w:t>
      </w:r>
      <w:r>
        <w:t xml:space="preserve"> </w:t>
      </w:r>
      <w:hyperlink w:anchor="ref-massa2009temperature">
        <w:r>
          <w:rPr>
            <w:rStyle w:val="Hyperlink"/>
          </w:rPr>
          <w:t xml:space="preserve">Massa et al., 2009</w:t>
        </w:r>
      </w:hyperlink>
      <w:r>
        <w:t xml:space="preserve">)</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Resilience_of_seagrasses">
        <w:r>
          <w:rPr>
            <w:rStyle w:val="Hyperlink"/>
          </w:rPr>
          <w:t xml:space="preserve">Figure 14</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Resilience_of_seagrasses">
        <w:r>
          <w:rPr>
            <w:rStyle w:val="Hyperlink"/>
          </w:rPr>
          <w:t xml:space="preserve">Figure 14</w:t>
        </w:r>
      </w:hyperlink>
      <w:r>
        <w:t xml:space="preserve">.</w:t>
      </w:r>
    </w:p>
    <w:bookmarkStart w:id="122" w:name="cell-fig-Resilience_of_seagrasses"/>
    <w:bookmarkStart w:id="121" w:name="fig-Resilience_of_seagrasses"/>
    <w:p>
      <w:pPr>
        <w:pStyle w:val="FigureTitle"/>
      </w:pPr>
      <w:r>
        <w:t xml:space="preserve">Figure 14</w:t>
      </w:r>
    </w:p>
    <w:p>
      <w:pPr>
        <w:pStyle w:val="Caption"/>
      </w:pPr>
      <w:r>
        <w:t xml:space="preserve">Comparison of the seagrass percent cover before (left), during (center) and after (right) the heatwaves for seagrasses that have not been impacted by heatwaves (i.e. remains green) and seagrasses that have been impacted by the events (i.e. seagrasses that darkened).</w:t>
      </w:r>
    </w:p>
    <w:p>
      <w:pPr>
        <w:pStyle w:val="FigureWithoutNote"/>
      </w:pPr>
      <w:r>
        <w:drawing>
          <wp:inline>
            <wp:extent cx="5943600" cy="2971800"/>
            <wp:effectExtent b="0" l="0" r="0" t="0"/>
            <wp:docPr descr="" title="" id="119" name="Picture"/>
            <a:graphic>
              <a:graphicData uri="http://schemas.openxmlformats.org/drawingml/2006/picture">
                <pic:pic>
                  <pic:nvPicPr>
                    <pic:cNvPr descr="Figs/Low_res/plot_resilience.png" id="120" name="Picture"/>
                    <pic:cNvPicPr>
                      <a:picLocks noChangeArrowheads="1" noChangeAspect="1"/>
                    </pic:cNvPicPr>
                  </pic:nvPicPr>
                  <pic:blipFill>
                    <a:blip r:embed="rId118"/>
                    <a:stretch>
                      <a:fillRect/>
                    </a:stretch>
                  </pic:blipFill>
                  <pic:spPr bwMode="auto">
                    <a:xfrm>
                      <a:off x="0" y="0"/>
                      <a:ext cx="5943600" cy="2971800"/>
                    </a:xfrm>
                    <a:prstGeom prst="rect">
                      <a:avLst/>
                    </a:prstGeom>
                    <a:noFill/>
                    <a:ln w="9525">
                      <a:noFill/>
                      <a:headEnd/>
                      <a:tailEnd/>
                    </a:ln>
                  </pic:spPr>
                </pic:pic>
              </a:graphicData>
            </a:graphic>
          </wp:inline>
        </w:drawing>
      </w:r>
    </w:p>
    <w:bookmarkEnd w:id="121"/>
    <w:bookmarkEnd w:id="122"/>
    <w:p>
      <w:pPr>
        <w:pStyle w:val="AfterWithoutNote"/>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w:t>
      </w:r>
      <w:hyperlink w:anchor="ref-hughes2004genetic">
        <w:r>
          <w:rPr>
            <w:rStyle w:val="Hyperlink"/>
          </w:rPr>
          <w:t xml:space="preserve">Hughes and Stachowicz, 2004</w:t>
        </w:r>
      </w:hyperlink>
      <w:r>
        <w:t xml:space="preserve">;</w:t>
      </w:r>
      <w:r>
        <w:t xml:space="preserve"> </w:t>
      </w:r>
      <w:hyperlink w:anchor="ref-reusch2005ecosystem">
        <w:r>
          <w:rPr>
            <w:rStyle w:val="Hyperlink"/>
          </w:rPr>
          <w:t xml:space="preserve">Reusch et al., 2005</w:t>
        </w:r>
      </w:hyperlink>
      <w:r>
        <w:t xml:space="preserve">)</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w:t>
      </w:r>
      <w:hyperlink w:anchor="ref-franssen2014genome">
        <w:r>
          <w:rPr>
            <w:rStyle w:val="Hyperlink"/>
          </w:rPr>
          <w:t xml:space="preserve">Franssen et al., 2014</w:t>
        </w:r>
      </w:hyperlink>
      <w:r>
        <w:t xml:space="preserve">)</w:t>
      </w:r>
      <w:r>
        <w:t xml:space="preserve">.</w:t>
      </w:r>
    </w:p>
    <w:p>
      <w:pPr>
        <w:pStyle w:val="BodyText"/>
      </w:pPr>
      <w:r>
        <w:t xml:space="preserve">Given the combined pressures of temperature extremes, eutrophication, and other anthropogenic impacts, targeted management strategies are essential for enhancing seagrass resilience</w:t>
      </w:r>
      <w:r>
        <w:t xml:space="preserve"> </w:t>
      </w:r>
      <w:r>
        <w:t xml:space="preserve">(</w:t>
      </w:r>
      <w:hyperlink w:anchor="ref-loarie2009velocity">
        <w:r>
          <w:rPr>
            <w:rStyle w:val="Hyperlink"/>
          </w:rPr>
          <w:t xml:space="preserve">Loarie et al., 2009</w:t>
        </w:r>
      </w:hyperlink>
      <w:r>
        <w:t xml:space="preserve">)</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w:t>
      </w:r>
      <w:hyperlink w:anchor="ref-canadell2021ecosystem">
        <w:r>
          <w:rPr>
            <w:rStyle w:val="Hyperlink"/>
          </w:rPr>
          <w:t xml:space="preserve">Canadell and Jackson, 2021</w:t>
        </w:r>
      </w:hyperlink>
      <w:r>
        <w:t xml:space="preserve">;</w:t>
      </w:r>
      <w:r>
        <w:t xml:space="preserve"> </w:t>
      </w:r>
      <w:hyperlink w:anchor="ref-de2022increased">
        <w:r>
          <w:rPr>
            <w:rStyle w:val="Hyperlink"/>
          </w:rPr>
          <w:t xml:space="preserve">De Fouw et al., 2022</w:t>
        </w:r>
      </w:hyperlink>
      <w:r>
        <w:t xml:space="preserve">)</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w:t>
      </w:r>
      <w:hyperlink w:anchor="ref-zoffoli2022remote">
        <w:r>
          <w:rPr>
            <w:rStyle w:val="Hyperlink"/>
          </w:rPr>
          <w:t xml:space="preserve">Zoffoli et al., 2023b</w:t>
        </w:r>
      </w:hyperlink>
      <w:r>
        <w:t xml:space="preserve">)</w:t>
      </w:r>
      <w:r>
        <w:t xml:space="preserve">. Their dense canopies stabilize sediment and protect shorelines from erosion, an increasingly crucial role as sea levels rise due to climate change</w:t>
      </w:r>
      <w:r>
        <w:t xml:space="preserve"> </w:t>
      </w:r>
      <w:r>
        <w:t xml:space="preserve">(</w:t>
      </w:r>
      <w:hyperlink w:anchor="ref-folmer2012seagrass">
        <w:r>
          <w:rPr>
            <w:rStyle w:val="Hyperlink"/>
          </w:rPr>
          <w:t xml:space="preserve">Folmer et al., 2012</w:t>
        </w:r>
      </w:hyperlink>
      <w:r>
        <w:t xml:space="preserve">;</w:t>
      </w:r>
      <w:r>
        <w:t xml:space="preserve"> </w:t>
      </w:r>
      <w:hyperlink w:anchor="ref-gacia1999approach">
        <w:r>
          <w:rPr>
            <w:rStyle w:val="Hyperlink"/>
          </w:rPr>
          <w:t xml:space="preserve">Gacia et al., 1999</w:t>
        </w:r>
      </w:hyperlink>
      <w:r>
        <w:t xml:space="preserve">)</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w:t>
      </w:r>
      <w:hyperlink w:anchor="ref-calleja2007relationship">
        <w:r>
          <w:rPr>
            <w:rStyle w:val="Hyperlink"/>
          </w:rPr>
          <w:t xml:space="preserve">Calleja et al., 2007</w:t>
        </w:r>
      </w:hyperlink>
      <w:r>
        <w:t xml:space="preserve">)</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w:t>
      </w:r>
      <w:hyperlink w:anchor="ref-unsworth2014biodiversity">
        <w:r>
          <w:rPr>
            <w:rStyle w:val="Hyperlink"/>
          </w:rPr>
          <w:t xml:space="preserve">Unsworth and Cullen-Unsworth, 2014</w:t>
        </w:r>
      </w:hyperlink>
      <w:r>
        <w:t xml:space="preserve">)</w:t>
      </w:r>
      <w:r>
        <w:t xml:space="preserve">. Furthermore, as seagrasses decline, their capacity to act as a blue carbon sink—critical for climate mitigation—also diminishes, inadvertently contributing to increased atmospheric carbon levels</w:t>
      </w:r>
      <w:r>
        <w:t xml:space="preserve"> </w:t>
      </w:r>
      <w:r>
        <w:t xml:space="preserve">(</w:t>
      </w:r>
      <w:hyperlink w:anchor="ref-armitage2016carbon">
        <w:r>
          <w:rPr>
            <w:rStyle w:val="Hyperlink"/>
          </w:rPr>
          <w:t xml:space="preserve">Armitage and Fourqurean, 2016</w:t>
        </w:r>
      </w:hyperlink>
      <w:r>
        <w:t xml:space="preserve">;</w:t>
      </w:r>
      <w:r>
        <w:t xml:space="preserve"> </w:t>
      </w:r>
      <w:hyperlink w:anchor="ref-samper2020characterization">
        <w:r>
          <w:rPr>
            <w:rStyle w:val="Hyperlink"/>
          </w:rPr>
          <w:t xml:space="preserve">Samper-Villarreal et al., 2020</w:t>
        </w:r>
      </w:hyperlink>
      <w:r>
        <w:t xml:space="preserve">)</w:t>
      </w:r>
    </w:p>
    <w:bookmarkEnd w:id="123"/>
    <w:bookmarkEnd w:id="124"/>
    <w:bookmarkStart w:id="213" w:name="bibliography"/>
    <w:p>
      <w:pPr>
        <w:pStyle w:val="Heading1"/>
      </w:pPr>
      <w:r>
        <w:t xml:space="preserve">5. Bibliography</w:t>
      </w:r>
    </w:p>
    <w:bookmarkStart w:id="212" w:name="refs"/>
    <w:bookmarkStart w:id="125"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5"/>
    <w:bookmarkStart w:id="126"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6"/>
    <w:bookmarkStart w:id="128"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7">
        <w:r>
          <w:rPr>
            <w:rStyle w:val="Hyperlink"/>
          </w:rPr>
          <w:t xml:space="preserve">https://doi.org/10.3354/meps14588</w:t>
        </w:r>
      </w:hyperlink>
    </w:p>
    <w:bookmarkEnd w:id="128"/>
    <w:bookmarkStart w:id="129"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9"/>
    <w:bookmarkStart w:id="130" w:name="ref-canadell2021ecosystem"/>
    <w:p>
      <w:pPr>
        <w:pStyle w:val="Bibliography"/>
      </w:pPr>
      <w:r>
        <w:t xml:space="preserve">Canadell, J.G., Jackson, R.B., 2021. Ecosystem collapse and climate change. Springer.</w:t>
      </w:r>
    </w:p>
    <w:bookmarkEnd w:id="130"/>
    <w:bookmarkStart w:id="131"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31"/>
    <w:bookmarkStart w:id="133"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2">
        <w:r>
          <w:rPr>
            <w:rStyle w:val="Hyperlink"/>
          </w:rPr>
          <w:t xml:space="preserve">https://doi.org/10.48670/moi-00311</w:t>
        </w:r>
      </w:hyperlink>
    </w:p>
    <w:bookmarkEnd w:id="133"/>
    <w:bookmarkStart w:id="135"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4">
        <w:r>
          <w:rPr>
            <w:rStyle w:val="Hyperlink"/>
          </w:rPr>
          <w:t xml:space="preserve">https://doi.org/10.1007/s11099-007-0084-3</w:t>
        </w:r>
      </w:hyperlink>
    </w:p>
    <w:bookmarkEnd w:id="135"/>
    <w:bookmarkStart w:id="137"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6">
        <w:r>
          <w:rPr>
            <w:rStyle w:val="Hyperlink"/>
          </w:rPr>
          <w:t xml:space="preserve">https://doi.org/10.1038/s43247-024-01543-z</w:t>
        </w:r>
      </w:hyperlink>
    </w:p>
    <w:bookmarkEnd w:id="137"/>
    <w:bookmarkStart w:id="139"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8">
        <w:r>
          <w:rPr>
            <w:rStyle w:val="Hyperlink"/>
          </w:rPr>
          <w:t xml:space="preserve">https://doi.org/10.1016/j.rse.2024.114340</w:t>
        </w:r>
      </w:hyperlink>
    </w:p>
    <w:bookmarkEnd w:id="139"/>
    <w:bookmarkStart w:id="140"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0"/>
    <w:bookmarkStart w:id="141" w:name="ref-deguette2022physiological"/>
    <w:p>
      <w:pPr>
        <w:pStyle w:val="Bibliography"/>
      </w:pPr>
      <w:r>
        <w:t xml:space="preserve">Deguette, A., Barrote, I., Silva, J., 2022. Physiological and morphological effects of a marine heatwave on the seagrass cymodocea nodosa. Scientific Reports 12, 7950.</w:t>
      </w:r>
    </w:p>
    <w:bookmarkEnd w:id="141"/>
    <w:bookmarkStart w:id="142" w:name="ref-devi2024intensity"/>
    <w:p>
      <w:pPr>
        <w:pStyle w:val="Bibliography"/>
      </w:pPr>
      <w:r>
        <w:t xml:space="preserve">Devi, R., Gouda, K., Lenka, S., 2024. Intensity duration and frequency of heat wave in different phases of MJO over india. Atmospheric Research 300, 107250.</w:t>
      </w:r>
    </w:p>
    <w:bookmarkEnd w:id="142"/>
    <w:bookmarkStart w:id="143" w:name="ref-sen2cor"/>
    <w:p>
      <w:pPr>
        <w:pStyle w:val="Bibliography"/>
      </w:pPr>
      <w:r>
        <w:t xml:space="preserve">European Space Agency, 2024b. Sen2Cor: Sentinel-2 atmospheric correction processor.</w:t>
      </w:r>
    </w:p>
    <w:bookmarkEnd w:id="143"/>
    <w:bookmarkStart w:id="144" w:name="ref-copernicus_sentinel2"/>
    <w:p>
      <w:pPr>
        <w:pStyle w:val="Bibliography"/>
      </w:pPr>
      <w:r>
        <w:t xml:space="preserve">European Space Agency, 2024a. Copernicus open access hub.</w:t>
      </w:r>
    </w:p>
    <w:bookmarkEnd w:id="144"/>
    <w:bookmarkStart w:id="145"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45"/>
    <w:bookmarkStart w:id="146"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46"/>
    <w:bookmarkStart w:id="147"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7"/>
    <w:bookmarkStart w:id="148" w:name="ref-gardner2018global"/>
    <w:p>
      <w:pPr>
        <w:pStyle w:val="Bibliography"/>
      </w:pPr>
      <w:r>
        <w:t xml:space="preserve">Gardner, R.C., Finlayson, C., 2018. Global wetland outlook: State of the world’s wetlands and their services to people, in: Ramsar Convention Secretariat. pp. 2020–5.</w:t>
      </w:r>
    </w:p>
    <w:bookmarkEnd w:id="148"/>
    <w:bookmarkStart w:id="149"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9"/>
    <w:bookmarkStart w:id="151"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0">
        <w:r>
          <w:rPr>
            <w:rStyle w:val="Hyperlink"/>
          </w:rPr>
          <w:t xml:space="preserve">https://doi.org/10.1002/aqc.4210</w:t>
        </w:r>
      </w:hyperlink>
    </w:p>
    <w:bookmarkEnd w:id="151"/>
    <w:bookmarkStart w:id="152"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52"/>
    <w:bookmarkStart w:id="153"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53"/>
    <w:bookmarkStart w:id="154" w:name="ref-huete2012vegetation"/>
    <w:p>
      <w:pPr>
        <w:pStyle w:val="Bibliography"/>
      </w:pPr>
      <w:r>
        <w:t xml:space="preserve">Huete, A.R., 2012. Vegetation indices, remote sensing and forest monitoring. Geography Compass 6, 513–532.</w:t>
      </w:r>
    </w:p>
    <w:bookmarkEnd w:id="154"/>
    <w:bookmarkStart w:id="156"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55">
        <w:r>
          <w:rPr>
            <w:rStyle w:val="Hyperlink"/>
          </w:rPr>
          <w:t xml:space="preserve">https://doi.org/10.1073/pnas.0402642101</w:t>
        </w:r>
      </w:hyperlink>
    </w:p>
    <w:bookmarkEnd w:id="156"/>
    <w:bookmarkStart w:id="158" w:name="ref-ioc_sea_level_lecy"/>
    <w:p>
      <w:pPr>
        <w:pStyle w:val="Bibliography"/>
      </w:pPr>
      <w:r>
        <w:t xml:space="preserve">IOC, 2024.</w:t>
      </w:r>
      <w:r>
        <w:t xml:space="preserve"> </w:t>
      </w:r>
      <w:hyperlink r:id="rId157">
        <w:r>
          <w:rPr>
            <w:rStyle w:val="Hyperlink"/>
          </w:rPr>
          <w:t xml:space="preserve">Intergovernmental oceanographic commission ; sea level monitoring station - le conquet, france (LECY)</w:t>
        </w:r>
      </w:hyperlink>
      <w:r>
        <w:t xml:space="preserve">.</w:t>
      </w:r>
    </w:p>
    <w:bookmarkEnd w:id="158"/>
    <w:bookmarkStart w:id="159"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9"/>
    <w:bookmarkStart w:id="161"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0">
        <w:r>
          <w:rPr>
            <w:rStyle w:val="Hyperlink"/>
          </w:rPr>
          <w:t xml:space="preserve">https://doi.org/10.1016/S0304-4238(05)80016-0</w:t>
        </w:r>
      </w:hyperlink>
    </w:p>
    <w:bookmarkEnd w:id="161"/>
    <w:bookmarkStart w:id="162" w:name="ref-kloos2021agricultural"/>
    <w:p>
      <w:pPr>
        <w:pStyle w:val="Bibliography"/>
      </w:pPr>
      <w:r>
        <w:t xml:space="preserve">Kloos, S., Yuan, Y., Castelli, M., Menzel, A., 2021. Agricultural drought detection with MODIS based vegetation health indices in southeast germany. Remote Sensing 13, 3907.</w:t>
      </w:r>
    </w:p>
    <w:bookmarkEnd w:id="162"/>
    <w:bookmarkStart w:id="164"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3">
        <w:r>
          <w:rPr>
            <w:rStyle w:val="Hyperlink"/>
          </w:rPr>
          <w:t xml:space="preserve">https://doi.org/10.1016/S0034-4257(70)80021-9</w:t>
        </w:r>
      </w:hyperlink>
    </w:p>
    <w:bookmarkEnd w:id="164"/>
    <w:bookmarkStart w:id="165" w:name="ref-loarie2009velocity"/>
    <w:p>
      <w:pPr>
        <w:pStyle w:val="Bibliography"/>
      </w:pPr>
      <w:r>
        <w:t xml:space="preserve">Loarie, S.R., Duffy, P.B., Hamilton, H., Asner, G.P., Field, C.B., Ackerly, D.D., 2009. The velocity of climate change. Nature 462, 1052–1055.</w:t>
      </w:r>
    </w:p>
    <w:bookmarkEnd w:id="165"/>
    <w:bookmarkStart w:id="166"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66"/>
    <w:bookmarkStart w:id="16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7"/>
    <w:bookmarkStart w:id="169"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8">
        <w:r>
          <w:rPr>
            <w:rStyle w:val="Hyperlink"/>
          </w:rPr>
          <w:t xml:space="preserve">https://doi.org/10.1038/s41598-019-50643-w</w:t>
        </w:r>
      </w:hyperlink>
    </w:p>
    <w:bookmarkEnd w:id="169"/>
    <w:bookmarkStart w:id="170"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0"/>
    <w:bookmarkStart w:id="172"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71">
        <w:r>
          <w:rPr>
            <w:rStyle w:val="Hyperlink"/>
          </w:rPr>
          <w:t xml:space="preserve">https://doi.org/10.3389/fmars.2019.00734</w:t>
        </w:r>
      </w:hyperlink>
    </w:p>
    <w:bookmarkEnd w:id="172"/>
    <w:bookmarkStart w:id="174"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73">
        <w:r>
          <w:rPr>
            <w:rStyle w:val="Hyperlink"/>
          </w:rPr>
          <w:t xml:space="preserve">https://doi.org/10.1111/gcb.14282</w:t>
        </w:r>
      </w:hyperlink>
    </w:p>
    <w:bookmarkEnd w:id="174"/>
    <w:bookmarkStart w:id="175"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75"/>
    <w:bookmarkStart w:id="176" w:name="ref-perkins2013measurement"/>
    <w:p>
      <w:pPr>
        <w:pStyle w:val="Bibliography"/>
      </w:pPr>
      <w:r>
        <w:t xml:space="preserve">Perkins, S.E., Alexander, L.V., 2013. On the measurement of heat waves. Journal of climate 26, 4500–4517.</w:t>
      </w:r>
    </w:p>
    <w:bookmarkEnd w:id="176"/>
    <w:bookmarkStart w:id="177" w:name="ref-ramesh2020seagrass"/>
    <w:p>
      <w:pPr>
        <w:pStyle w:val="Bibliography"/>
      </w:pPr>
      <w:r>
        <w:t xml:space="preserve">Ramesh, C., Mohanraju, R., 2020. Seagrass ecosystems of andaman and nicobar islands: Status and future perspective. Environmental &amp; Earth Sciences Research Journal 7.</w:t>
      </w:r>
    </w:p>
    <w:bookmarkEnd w:id="177"/>
    <w:bookmarkStart w:id="179"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78">
        <w:r>
          <w:rPr>
            <w:rStyle w:val="Hyperlink"/>
          </w:rPr>
          <w:t xml:space="preserve">https://doi.org/10.1073/pnas.0500008102</w:t>
        </w:r>
      </w:hyperlink>
    </w:p>
    <w:bookmarkEnd w:id="179"/>
    <w:bookmarkStart w:id="180" w:name="ref-rouse1974monitoring"/>
    <w:p>
      <w:pPr>
        <w:pStyle w:val="Bibliography"/>
      </w:pPr>
      <w:r>
        <w:t xml:space="preserve">Rouse, J.W., Haas, R.H., Schell, J.A., Deering, D.W., others, 1974. Monitoring vegetation systems in the great plains with ERTS. NASA Spec. Publ 351, 309.</w:t>
      </w:r>
    </w:p>
    <w:bookmarkEnd w:id="180"/>
    <w:bookmarkStart w:id="182"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81">
        <w:r>
          <w:rPr>
            <w:rStyle w:val="Hyperlink"/>
          </w:rPr>
          <w:t xml:space="preserve">https://doi.org/10.1029/2023GL103540</w:t>
        </w:r>
      </w:hyperlink>
    </w:p>
    <w:bookmarkEnd w:id="182"/>
    <w:bookmarkStart w:id="183"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83"/>
    <w:bookmarkStart w:id="184"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84"/>
    <w:bookmarkStart w:id="185" w:name="ref-schlegel2017nearshore"/>
    <w:p>
      <w:pPr>
        <w:pStyle w:val="Bibliography"/>
      </w:pPr>
      <w:r>
        <w:t xml:space="preserve">Schlegel, R.W., Oliver, E.C., Wernberg, T., Smit, A.J., 2017. Nearshore and offshore co-occurrence of marine heatwaves and cold-spells. Progress in Oceanography 151, 189–205.</w:t>
      </w:r>
    </w:p>
    <w:bookmarkEnd w:id="185"/>
    <w:bookmarkStart w:id="187"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86">
        <w:r>
          <w:rPr>
            <w:rStyle w:val="Hyperlink"/>
          </w:rPr>
          <w:t xml:space="preserve">https://doi.org/10.21105/joss.00821</w:t>
        </w:r>
      </w:hyperlink>
    </w:p>
    <w:bookmarkEnd w:id="187"/>
    <w:bookmarkStart w:id="188"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88"/>
    <w:bookmarkStart w:id="189"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89"/>
    <w:bookmarkStart w:id="191" w:name="ref-shom_ram_2022"/>
    <w:p>
      <w:pPr>
        <w:pStyle w:val="Bibliography"/>
      </w:pPr>
      <w:r>
        <w:t xml:space="preserve">Shom, 2022.</w:t>
      </w:r>
      <w:r>
        <w:t xml:space="preserve"> </w:t>
      </w:r>
      <w:hyperlink r:id="rId190">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1"/>
    <w:bookmarkStart w:id="193" w:name="Xbef41143b4d4042e58f11cfc27e216202646012"/>
    <w:p>
      <w:pPr>
        <w:pStyle w:val="Bibliography"/>
      </w:pPr>
      <w:r>
        <w:t xml:space="preserve">SHOM, 2021.</w:t>
      </w:r>
      <w:r>
        <w:t xml:space="preserve"> </w:t>
      </w:r>
      <w:hyperlink r:id="rId192">
        <w:r>
          <w:rPr>
            <w:rStyle w:val="Hyperlink"/>
          </w:rPr>
          <w:t xml:space="preserve">Service hydrographique et océanographique de la marine ; bathymétrie Litto3D® bretagne 2018-2021</w:t>
        </w:r>
      </w:hyperlink>
      <w:r>
        <w:t xml:space="preserve">.</w:t>
      </w:r>
    </w:p>
    <w:bookmarkEnd w:id="193"/>
    <w:bookmarkStart w:id="195" w:name="ref-simolo2022quantifying"/>
    <w:p>
      <w:pPr>
        <w:pStyle w:val="Bibliography"/>
      </w:pPr>
      <w:r>
        <w:t xml:space="preserve">Simolo, C., Corti, S., 2022. Quantifying the role of variability in future intensification of heat extremes. Nature Communications 13.</w:t>
      </w:r>
      <w:r>
        <w:t xml:space="preserve"> </w:t>
      </w:r>
      <w:hyperlink r:id="rId194">
        <w:r>
          <w:rPr>
            <w:rStyle w:val="Hyperlink"/>
          </w:rPr>
          <w:t xml:space="preserve">https://doi.org/10.1038/s41467-022-35571-0</w:t>
        </w:r>
      </w:hyperlink>
    </w:p>
    <w:bookmarkEnd w:id="195"/>
    <w:bookmarkStart w:id="196"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96"/>
    <w:bookmarkStart w:id="198"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97">
        <w:r>
          <w:rPr>
            <w:rStyle w:val="Hyperlink"/>
          </w:rPr>
          <w:t xml:space="preserve">https://doi.org/10.1038/s41558-019-0412-1</w:t>
        </w:r>
      </w:hyperlink>
    </w:p>
    <w:bookmarkEnd w:id="198"/>
    <w:bookmarkStart w:id="199"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99"/>
    <w:bookmarkStart w:id="201"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00">
        <w:r>
          <w:rPr>
            <w:rStyle w:val="Hyperlink"/>
          </w:rPr>
          <w:t xml:space="preserve">https://doi.org/10.1152/physiol.00040.2018</w:t>
        </w:r>
      </w:hyperlink>
    </w:p>
    <w:bookmarkEnd w:id="201"/>
    <w:bookmarkStart w:id="202"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2"/>
    <w:bookmarkStart w:id="203" w:name="ref-unsworth2014biodiversity"/>
    <w:p>
      <w:pPr>
        <w:pStyle w:val="Bibliography"/>
      </w:pPr>
      <w:r>
        <w:t xml:space="preserve">Unsworth, R., Cullen-Unsworth, L.C., 2014. Biodiversity, ecosystem services, and the conservation of seagrass meadows. Coast. Conserv 19, 95.</w:t>
      </w:r>
    </w:p>
    <w:bookmarkEnd w:id="203"/>
    <w:bookmarkStart w:id="204" w:name="ref-unsworth2022planetary"/>
    <w:p>
      <w:pPr>
        <w:pStyle w:val="Bibliography"/>
      </w:pPr>
      <w:r>
        <w:t xml:space="preserve">Unsworth, R.K., Cullen-Unsworth, L.C., Jones, B.L., Lilley, R.J., 2022. The planetary role of seagrass conservation. Science 377, 609–613.</w:t>
      </w:r>
    </w:p>
    <w:bookmarkEnd w:id="204"/>
    <w:bookmarkStart w:id="205"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5"/>
    <w:bookmarkStart w:id="206"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06"/>
    <w:bookmarkStart w:id="207"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07"/>
    <w:bookmarkStart w:id="209" w:name="ref-zoffoli2022remote"/>
    <w:p>
      <w:pPr>
        <w:pStyle w:val="Bibliography"/>
      </w:pPr>
      <w:r>
        <w:t xml:space="preserve">Zoffoli, M.L., Gernez, P., Oiry, S., Godet, L., Dalloyau, S., Davies, B.F.R., Barillé, L., 2023b. Remote sensing in seagrass ecology: Coupled dynamics between migratory herbivorous birds and intertidal meadows observed by satellite during four decades. Remote Sensing in Ecology and Conservation 9, 420–433.</w:t>
      </w:r>
      <w:r>
        <w:t xml:space="preserve"> </w:t>
      </w:r>
      <w:hyperlink r:id="rId208">
        <w:r>
          <w:rPr>
            <w:rStyle w:val="Hyperlink"/>
          </w:rPr>
          <w:t xml:space="preserve">https://doi.org/10.1002/rse2.319</w:t>
        </w:r>
      </w:hyperlink>
    </w:p>
    <w:bookmarkEnd w:id="209"/>
    <w:bookmarkStart w:id="210" w:name="ref-zoffoli2023remote"/>
    <w:p>
      <w:pPr>
        <w:pStyle w:val="Bibliography"/>
      </w:pPr>
      <w:r>
        <w:t xml:space="preserve">Zoffoli, M.L., Gernez, P., Oiry, S., Godet, L., Dalloyau, S., Davies, B.F.R., Barillé, L., 2023a. Remote sensing in seagrass ecology: Coupled dynamics between migratory herbivorous birds and intertidal meadows observed by satellite during four decades. Remote Sensing in Ecology and Conservation 9, 420–433.</w:t>
      </w:r>
    </w:p>
    <w:bookmarkEnd w:id="210"/>
    <w:bookmarkStart w:id="211"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11"/>
    <w:bookmarkEnd w:id="212"/>
    <w:sectPr>
      <w:lnNumType w:countBy="1" w:restart="continuous"/>
    </w:sectPr>
    <w:bookmarkEnd w:id="213"/>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113" Target="media/rId113.png" /><Relationship Type="http://schemas.openxmlformats.org/officeDocument/2006/relationships/image" Id="rId67" Target="media/rId67.png" /><Relationship Type="http://schemas.openxmlformats.org/officeDocument/2006/relationships/image" Id="rId118" Target="media/rId118.png" /><Relationship Type="http://schemas.openxmlformats.org/officeDocument/2006/relationships/hyperlink" Id="rId190" Target="https://diffusion.shom.fr/references-altimetriques-maritimes-ram.html" TargetMode="External" /><Relationship Type="http://schemas.openxmlformats.org/officeDocument/2006/relationships/hyperlink" Id="rId150" Target="https://doi.org/10.1002/aqc.4210" TargetMode="External" /><Relationship Type="http://schemas.openxmlformats.org/officeDocument/2006/relationships/hyperlink" Id="rId208" Target="https://doi.org/10.1002/rse2.319" TargetMode="External" /><Relationship Type="http://schemas.openxmlformats.org/officeDocument/2006/relationships/hyperlink" Id="rId134" Target="https://doi.org/10.1007/s11099-007-0084-3" TargetMode="External" /><Relationship Type="http://schemas.openxmlformats.org/officeDocument/2006/relationships/hyperlink" Id="rId163" Target="https://doi.org/10.1016/S0034-4257(70)80021-9" TargetMode="External" /><Relationship Type="http://schemas.openxmlformats.org/officeDocument/2006/relationships/hyperlink" Id="rId160" Target="https://doi.org/10.1016/S0304-4238(05)80016-0" TargetMode="External" /><Relationship Type="http://schemas.openxmlformats.org/officeDocument/2006/relationships/hyperlink" Id="rId138" Target="https://doi.org/10.1016/j.rse.2024.114340" TargetMode="External" /><Relationship Type="http://schemas.openxmlformats.org/officeDocument/2006/relationships/hyperlink" Id="rId181" Target="https://doi.org/10.1029/2023GL103540" TargetMode="External" /><Relationship Type="http://schemas.openxmlformats.org/officeDocument/2006/relationships/hyperlink" Id="rId194" Target="https://doi.org/10.1038/s41467-022-35571-0" TargetMode="External" /><Relationship Type="http://schemas.openxmlformats.org/officeDocument/2006/relationships/hyperlink" Id="rId197" Target="https://doi.org/10.1038/s41558-019-0412-1" TargetMode="External" /><Relationship Type="http://schemas.openxmlformats.org/officeDocument/2006/relationships/hyperlink" Id="rId168" Target="https://doi.org/10.1038/s41598-019-50643-w" TargetMode="External" /><Relationship Type="http://schemas.openxmlformats.org/officeDocument/2006/relationships/hyperlink" Id="rId136" Target="https://doi.org/10.1038/s43247-024-01543-z" TargetMode="External" /><Relationship Type="http://schemas.openxmlformats.org/officeDocument/2006/relationships/hyperlink" Id="rId155" Target="https://doi.org/10.1073/pnas.0402642101" TargetMode="External" /><Relationship Type="http://schemas.openxmlformats.org/officeDocument/2006/relationships/hyperlink" Id="rId178" Target="https://doi.org/10.1073/pnas.0500008102" TargetMode="External" /><Relationship Type="http://schemas.openxmlformats.org/officeDocument/2006/relationships/hyperlink" Id="rId173" Target="https://doi.org/10.1111/gcb.14282" TargetMode="External" /><Relationship Type="http://schemas.openxmlformats.org/officeDocument/2006/relationships/hyperlink" Id="rId200" Target="https://doi.org/10.1152/physiol.00040.2018" TargetMode="External" /><Relationship Type="http://schemas.openxmlformats.org/officeDocument/2006/relationships/hyperlink" Id="rId186"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71" Target="https://doi.org/10.3389/fmars.2019.00734" TargetMode="External" /><Relationship Type="http://schemas.openxmlformats.org/officeDocument/2006/relationships/hyperlink" Id="rId132"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92"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7"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90" Target="https://diffusion.shom.fr/references-altimetriques-maritimes-ram.html" TargetMode="External" /><Relationship Type="http://schemas.openxmlformats.org/officeDocument/2006/relationships/hyperlink" Id="rId150" Target="https://doi.org/10.1002/aqc.4210" TargetMode="External" /><Relationship Type="http://schemas.openxmlformats.org/officeDocument/2006/relationships/hyperlink" Id="rId208" Target="https://doi.org/10.1002/rse2.319" TargetMode="External" /><Relationship Type="http://schemas.openxmlformats.org/officeDocument/2006/relationships/hyperlink" Id="rId134" Target="https://doi.org/10.1007/s11099-007-0084-3" TargetMode="External" /><Relationship Type="http://schemas.openxmlformats.org/officeDocument/2006/relationships/hyperlink" Id="rId163" Target="https://doi.org/10.1016/S0034-4257(70)80021-9" TargetMode="External" /><Relationship Type="http://schemas.openxmlformats.org/officeDocument/2006/relationships/hyperlink" Id="rId160" Target="https://doi.org/10.1016/S0304-4238(05)80016-0" TargetMode="External" /><Relationship Type="http://schemas.openxmlformats.org/officeDocument/2006/relationships/hyperlink" Id="rId138" Target="https://doi.org/10.1016/j.rse.2024.114340" TargetMode="External" /><Relationship Type="http://schemas.openxmlformats.org/officeDocument/2006/relationships/hyperlink" Id="rId181" Target="https://doi.org/10.1029/2023GL103540" TargetMode="External" /><Relationship Type="http://schemas.openxmlformats.org/officeDocument/2006/relationships/hyperlink" Id="rId194" Target="https://doi.org/10.1038/s41467-022-35571-0" TargetMode="External" /><Relationship Type="http://schemas.openxmlformats.org/officeDocument/2006/relationships/hyperlink" Id="rId197" Target="https://doi.org/10.1038/s41558-019-0412-1" TargetMode="External" /><Relationship Type="http://schemas.openxmlformats.org/officeDocument/2006/relationships/hyperlink" Id="rId168" Target="https://doi.org/10.1038/s41598-019-50643-w" TargetMode="External" /><Relationship Type="http://schemas.openxmlformats.org/officeDocument/2006/relationships/hyperlink" Id="rId136" Target="https://doi.org/10.1038/s43247-024-01543-z" TargetMode="External" /><Relationship Type="http://schemas.openxmlformats.org/officeDocument/2006/relationships/hyperlink" Id="rId155" Target="https://doi.org/10.1073/pnas.0402642101" TargetMode="External" /><Relationship Type="http://schemas.openxmlformats.org/officeDocument/2006/relationships/hyperlink" Id="rId178" Target="https://doi.org/10.1073/pnas.0500008102" TargetMode="External" /><Relationship Type="http://schemas.openxmlformats.org/officeDocument/2006/relationships/hyperlink" Id="rId173" Target="https://doi.org/10.1111/gcb.14282" TargetMode="External" /><Relationship Type="http://schemas.openxmlformats.org/officeDocument/2006/relationships/hyperlink" Id="rId200" Target="https://doi.org/10.1152/physiol.00040.2018" TargetMode="External" /><Relationship Type="http://schemas.openxmlformats.org/officeDocument/2006/relationships/hyperlink" Id="rId186" Target="https://doi.org/10.21105/joss.00821" TargetMode="External" /><Relationship Type="http://schemas.openxmlformats.org/officeDocument/2006/relationships/hyperlink" Id="rId127" Target="https://doi.org/10.3354/meps14588" TargetMode="External" /><Relationship Type="http://schemas.openxmlformats.org/officeDocument/2006/relationships/hyperlink" Id="rId171" Target="https://doi.org/10.3389/fmars.2019.00734" TargetMode="External" /><Relationship Type="http://schemas.openxmlformats.org/officeDocument/2006/relationships/hyperlink" Id="rId132"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92"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57"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2024-11-04T18:17:15Z</dcterms:created>
  <dcterms:modified xsi:type="dcterms:W3CDTF">2024-11-04T18:17:15Z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2024-11-04</vt:lpwstr>
  </property>
  <property fmtid="{D5CDD505-2E9C-101B-9397-08002B2CF9AE}" pid="7" name="apatitle">
    <vt:lpwstr>Effect of Marine and Atmospheric Heatwaves on Reflectance and Pigment Composition of Intertidal Zostera noltei</vt:lpwstr>
  </property>
  <property fmtid="{D5CDD505-2E9C-101B-9397-08002B2CF9AE}" pid="8" name="apatitledisplay">
    <vt:lpwstr>Effect of Marine and Atmospheric Heatwaves on Reflectance and Pigment Composition of Intertidal 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