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31.png" ContentType="image/png"/>
  <Override PartName="/word/media/rId90.png" ContentType="image/png"/>
  <Override PartName="/word/media/rId25.png" ContentType="image/png"/>
  <Override PartName="/word/media/rId101.png" ContentType="image/png"/>
  <Override PartName="/word/media/rId84.png" ContentType="image/png"/>
  <Override PartName="/word/media/rId96.png" ContentType="image/png"/>
  <Override PartName="/word/media/rId44.png" ContentType="image/png"/>
  <Override PartName="/word/media/rId77.png" ContentType="image/png"/>
  <Override PartName="/word/media/rId49.png" ContentType="image/png"/>
  <Override PartName="/word/media/rId72.png" ContentType="image/png"/>
  <Override PartName="/word/media/rId66.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Intertidal</w:t>
      </w:r>
      <w:r>
        <w:t xml:space="preserve"> </w:t>
      </w:r>
      <w:r>
        <w:t xml:space="preserve">Seagrass:</w:t>
      </w:r>
      <w:r>
        <w:t xml:space="preserve"> </w:t>
      </w:r>
      <w:r>
        <w:t xml:space="preserve">Experimental</w:t>
      </w:r>
      <w:r>
        <w:t xml:space="preserve"> </w:t>
      </w:r>
      <w:r>
        <w:t xml:space="preserve">Spectroradiometry</w:t>
      </w:r>
      <w:r>
        <w:t xml:space="preserve"> </w:t>
      </w:r>
      <w:r>
        <w:t xml:space="preserve">and</w:t>
      </w:r>
      <w:r>
        <w:t xml:space="preserve"> </w:t>
      </w:r>
      <w:r>
        <w:t xml:space="preserve">Satellite-Based</w:t>
      </w:r>
      <w:r>
        <w:t xml:space="preserve"> </w:t>
      </w:r>
      <w:r>
        <w:t xml:space="preserve">Insights</w:t>
      </w:r>
    </w:p>
    <w:p>
      <w:pPr>
        <w:pStyle w:val="Author"/>
      </w:pPr>
      <w:r>
        <w:t xml:space="preserve">Simon</w:t>
      </w:r>
      <w:r>
        <w:t xml:space="preserve"> </w:t>
      </w:r>
      <w:r>
        <w:t xml:space="preserve">Oiry</w:t>
      </w:r>
      <w:r>
        <w:rPr>
          <w:rStyle w:val="FootnoteReference"/>
        </w:rPr>
        <w:footnoteReference w:id="20"/>
      </w:r>
    </w:p>
    <w:p>
      <w:pPr>
        <w:pStyle w:val="Author"/>
      </w:pPr>
      <w:r>
        <w:t xml:space="preserve">Bede</w:t>
      </w:r>
      <w:r>
        <w:t xml:space="preserve"> </w:t>
      </w:r>
      <w:r>
        <w:t xml:space="preserve">Ffinian</w:t>
      </w:r>
      <w:r>
        <w:t xml:space="preserve"> </w:t>
      </w:r>
      <w:r>
        <w:t xml:space="preserve">Rowe</w:t>
      </w:r>
      <w:r>
        <w:t xml:space="preserve"> </w:t>
      </w:r>
      <w:r>
        <w:t xml:space="preserve">Davies¹</w:t>
      </w:r>
    </w:p>
    <w:p>
      <w:pPr>
        <w:pStyle w:val="Author"/>
      </w:pPr>
      <w:r>
        <w:t xml:space="preserve">Philippe</w:t>
      </w:r>
      <w:r>
        <w:t xml:space="preserve"> </w:t>
      </w:r>
      <w:r>
        <w:t xml:space="preserve">Rosa¹</w:t>
      </w:r>
    </w:p>
    <w:p>
      <w:pPr>
        <w:pStyle w:val="Author"/>
      </w:pPr>
      <w:r>
        <w:t xml:space="preserve">Augustin</w:t>
      </w:r>
      <w:r>
        <w:t xml:space="preserve"> </w:t>
      </w:r>
      <w:r>
        <w:t xml:space="preserve">Debly¹</w:t>
      </w:r>
    </w:p>
    <w:p>
      <w:pPr>
        <w:pStyle w:val="Author"/>
      </w:pPr>
      <w:r>
        <w:t xml:space="preserve">Maria</w:t>
      </w:r>
      <w:r>
        <w:t xml:space="preserve"> </w:t>
      </w:r>
      <w:r>
        <w:t xml:space="preserve">Laura</w:t>
      </w:r>
      <w:r>
        <w:t xml:space="preserve"> </w:t>
      </w:r>
      <w:r>
        <w:t xml:space="preserve">Zoffoli</w:t>
      </w:r>
      <w:r>
        <w:rPr>
          <w:rStyle w:val="FootnoteReference"/>
        </w:rPr>
        <w:footnoteReference w:id="21"/>
      </w:r>
    </w:p>
    <w:p>
      <w:pPr>
        <w:pStyle w:val="Author"/>
      </w:pPr>
      <w:r>
        <w:t xml:space="preserve">Anne-Laure</w:t>
      </w:r>
      <w:r>
        <w:t xml:space="preserve"> </w:t>
      </w:r>
      <w:r>
        <w:t xml:space="preserve">Barillé</w:t>
      </w:r>
      <w:r>
        <w:rPr>
          <w:rStyle w:val="FootnoteReference"/>
        </w:rPr>
        <w:footnoteReference w:id="22"/>
      </w:r>
    </w:p>
    <w:p>
      <w:pPr>
        <w:pStyle w:val="Author"/>
      </w:pPr>
      <w:r>
        <w:t xml:space="preserve">Nicolas</w:t>
      </w:r>
      <w:r>
        <w:t xml:space="preserve"> </w:t>
      </w:r>
      <w:r>
        <w:t xml:space="preserve">Harin³</w:t>
      </w:r>
    </w:p>
    <w:p>
      <w:pPr>
        <w:pStyle w:val="Author"/>
      </w:pPr>
      <w:r>
        <w:t xml:space="preserve">Pierre</w:t>
      </w:r>
      <w:r>
        <w:t xml:space="preserve"> </w:t>
      </w:r>
      <w:r>
        <w:t xml:space="preserve">Gernez¹</w:t>
      </w:r>
    </w:p>
    <w:p>
      <w:pPr>
        <w:pStyle w:val="Author"/>
      </w:pPr>
      <w:r>
        <w:t xml:space="preserve">Laurent</w:t>
      </w:r>
      <w:r>
        <w:t xml:space="preserve"> </w:t>
      </w:r>
      <w:r>
        <w:t xml:space="preserve">Barillé¹</w:t>
      </w:r>
    </w:p>
    <w:p>
      <w:pPr>
        <w:pStyle w:val="Date"/>
      </w:pPr>
      <w:r>
        <w:t xml:space="preserve">2024-11-30</w:t>
      </w:r>
    </w:p>
    <w:p>
      <w:pPr>
        <w:pStyle w:val="AbstractTitle"/>
      </w:pPr>
      <w:r>
        <w:t xml:space="preserve">Abstract</w:t>
      </w:r>
    </w:p>
    <w:p>
      <w:pPr>
        <w:pStyle w:val="Abstract"/>
      </w:pPr>
      <w:r>
        <w:t xml:space="preserve">Seagrasses</w:t>
      </w:r>
      <w:r>
        <w:t xml:space="preserve"> </w:t>
      </w:r>
      <w:r>
        <w:t xml:space="preserve">play</w:t>
      </w:r>
      <w:r>
        <w:t xml:space="preserve"> </w:t>
      </w:r>
      <w:r>
        <w:t xml:space="preserve">a</w:t>
      </w:r>
      <w:r>
        <w:t xml:space="preserve"> </w:t>
      </w:r>
      <w:r>
        <w:t xml:space="preserve">vital</w:t>
      </w:r>
      <w:r>
        <w:t xml:space="preserve"> </w:t>
      </w:r>
      <w:r>
        <w:t xml:space="preserve">role</w:t>
      </w:r>
      <w:r>
        <w:t xml:space="preserve"> </w:t>
      </w:r>
      <w:r>
        <w:t xml:space="preserve">in</w:t>
      </w:r>
      <w:r>
        <w:t xml:space="preserve"> </w:t>
      </w:r>
      <w:r>
        <w:t xml:space="preserve">coastal</w:t>
      </w:r>
      <w:r>
        <w:t xml:space="preserve"> </w:t>
      </w:r>
      <w:r>
        <w:t xml:space="preserve">ecosystems,</w:t>
      </w:r>
      <w:r>
        <w:t xml:space="preserve"> </w:t>
      </w:r>
      <w:r>
        <w:t xml:space="preserve">providing</w:t>
      </w:r>
      <w:r>
        <w:t xml:space="preserve"> </w:t>
      </w:r>
      <w:r>
        <w:t xml:space="preserve">habitat,</w:t>
      </w:r>
      <w:r>
        <w:t xml:space="preserve"> </w:t>
      </w:r>
      <w:r>
        <w:t xml:space="preserve">stabilizing</w:t>
      </w:r>
      <w:r>
        <w:t xml:space="preserve"> </w:t>
      </w:r>
      <w:r>
        <w:t xml:space="preserve">sediments,</w:t>
      </w:r>
      <w:r>
        <w:t xml:space="preserve"> </w:t>
      </w:r>
      <w:r>
        <w:t xml:space="preserve">and</w:t>
      </w:r>
      <w:r>
        <w:t xml:space="preserve"> </w:t>
      </w:r>
      <w:r>
        <w:t xml:space="preserve">contributing</w:t>
      </w:r>
      <w:r>
        <w:t xml:space="preserve"> </w:t>
      </w:r>
      <w:r>
        <w:t xml:space="preserve">to</w:t>
      </w:r>
      <w:r>
        <w:t xml:space="preserve"> </w:t>
      </w:r>
      <w:r>
        <w:t xml:space="preserve">carbon</w:t>
      </w:r>
      <w:r>
        <w:t xml:space="preserve"> </w:t>
      </w:r>
      <w:r>
        <w:t xml:space="preserve">sequestration.</w:t>
      </w:r>
      <w:r>
        <w:t xml:space="preserve"> </w:t>
      </w:r>
      <w:r>
        <w:t xml:space="preserve">However,</w:t>
      </w:r>
      <w:r>
        <w:t xml:space="preserve"> </w:t>
      </w:r>
      <w:r>
        <w:t xml:space="preserve">climate</w:t>
      </w:r>
      <w:r>
        <w:t xml:space="preserve"> </w:t>
      </w:r>
      <w:r>
        <w:t xml:space="preserve">change</w:t>
      </w:r>
      <w:r>
        <w:t xml:space="preserve"> </w:t>
      </w:r>
      <w:r>
        <w:t xml:space="preserve">has</w:t>
      </w:r>
      <w:r>
        <w:t xml:space="preserve"> </w:t>
      </w:r>
      <w:r>
        <w:t xml:space="preserve">increased</w:t>
      </w:r>
      <w:r>
        <w:t xml:space="preserve"> </w:t>
      </w:r>
      <w:r>
        <w:t xml:space="preserve">the</w:t>
      </w:r>
      <w:r>
        <w:t xml:space="preserve"> </w:t>
      </w:r>
      <w:r>
        <w:t xml:space="preserve">frequency</w:t>
      </w:r>
      <w:r>
        <w:t xml:space="preserve"> </w:t>
      </w:r>
      <w:r>
        <w:t xml:space="preserve">and</w:t>
      </w:r>
      <w:r>
        <w:t xml:space="preserve"> </w:t>
      </w:r>
      <w:r>
        <w:t xml:space="preserve">intensity</w:t>
      </w:r>
      <w:r>
        <w:t xml:space="preserve"> </w:t>
      </w:r>
      <w:r>
        <w:t xml:space="preserve">of</w:t>
      </w:r>
      <w:r>
        <w:t xml:space="preserve"> </w:t>
      </w:r>
      <w:r>
        <w:t xml:space="preserve">heatwaves,</w:t>
      </w:r>
      <w:r>
        <w:t xml:space="preserve"> </w:t>
      </w:r>
      <w:r>
        <w:t xml:space="preserve">posing</w:t>
      </w:r>
      <w:r>
        <w:t xml:space="preserve"> </w:t>
      </w:r>
      <w:r>
        <w:t xml:space="preserve">a</w:t>
      </w:r>
      <w:r>
        <w:t xml:space="preserve"> </w:t>
      </w:r>
      <w:r>
        <w:t xml:space="preserve">significant</w:t>
      </w:r>
      <w:r>
        <w:t xml:space="preserve"> </w:t>
      </w:r>
      <w:r>
        <w:t xml:space="preserve">threat</w:t>
      </w:r>
      <w:r>
        <w:t xml:space="preserve"> </w:t>
      </w:r>
      <w:r>
        <w:t xml:space="preserve">to</w:t>
      </w:r>
      <w:r>
        <w:t xml:space="preserve"> </w:t>
      </w:r>
      <w:r>
        <w:t xml:space="preserve">seagrass</w:t>
      </w:r>
      <w:r>
        <w:t xml:space="preserve"> </w:t>
      </w:r>
      <w:r>
        <w:t xml:space="preserve">health.</w:t>
      </w:r>
      <w:r>
        <w:t xml:space="preserve"> </w:t>
      </w:r>
      <w:r>
        <w:t xml:space="preserve">This</w:t>
      </w:r>
      <w:r>
        <w:t xml:space="preserve"> </w:t>
      </w:r>
      <w:r>
        <w:t xml:space="preserve">study</w:t>
      </w:r>
      <w:r>
        <w:t xml:space="preserve"> </w:t>
      </w:r>
      <w:r>
        <w:t xml:space="preserve">investigates</w:t>
      </w:r>
      <w:r>
        <w:t xml:space="preserve"> </w:t>
      </w:r>
      <w:r>
        <w:t xml:space="preserve">the</w:t>
      </w:r>
      <w:r>
        <w:t xml:space="preserve"> </w:t>
      </w:r>
      <w:r>
        <w:t xml:space="preserve">effects</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the</w:t>
      </w:r>
      <w:r>
        <w:t xml:space="preserve"> </w:t>
      </w:r>
      <w:r>
        <w:t xml:space="preserve">spectral</w:t>
      </w:r>
      <w:r>
        <w:t xml:space="preserve"> </w:t>
      </w:r>
      <w:r>
        <w:t xml:space="preserve">reflectance</w:t>
      </w:r>
      <w:r>
        <w:t xml:space="preserve"> </w:t>
      </w:r>
      <w:r>
        <w:t xml:space="preserve">of</w:t>
      </w:r>
      <w:r>
        <w:t xml:space="preserve"> </w:t>
      </w:r>
      <w:r>
        <w:t xml:space="preserve">the</w:t>
      </w:r>
      <w:r>
        <w:t xml:space="preserve"> </w:t>
      </w:r>
      <w:r>
        <w:t xml:space="preserve">intertidal</w:t>
      </w:r>
      <w:r>
        <w:t xml:space="preserve"> </w:t>
      </w:r>
      <w:r>
        <w:t xml:space="preserve">seagrass</w:t>
      </w:r>
      <w:r>
        <w:t xml:space="preserve"> </w:t>
      </w:r>
      <w:r>
        <w:t xml:space="preserve">Zostera</w:t>
      </w:r>
      <w:r>
        <w:t xml:space="preserve"> </w:t>
      </w:r>
      <w:r>
        <w:t xml:space="preserve">noltei.</w:t>
      </w:r>
      <w:r>
        <w:t xml:space="preserve"> </w:t>
      </w:r>
      <w:r>
        <w:t xml:space="preserve">Laboratory</w:t>
      </w:r>
      <w:r>
        <w:t xml:space="preserve"> </w:t>
      </w:r>
      <w:r>
        <w:t xml:space="preserve">experiments</w:t>
      </w:r>
      <w:r>
        <w:t xml:space="preserve"> </w:t>
      </w:r>
      <w:r>
        <w:t xml:space="preserve">were</w:t>
      </w:r>
      <w:r>
        <w:t xml:space="preserve"> </w:t>
      </w:r>
      <w:r>
        <w:t xml:space="preserve">conducted</w:t>
      </w:r>
      <w:r>
        <w:t xml:space="preserve"> </w:t>
      </w:r>
      <w:r>
        <w:t xml:space="preserve">under</w:t>
      </w:r>
      <w:r>
        <w:t xml:space="preserve"> </w:t>
      </w:r>
      <w:r>
        <w:t xml:space="preserve">controlled</w:t>
      </w:r>
      <w:r>
        <w:t xml:space="preserve"> </w:t>
      </w:r>
      <w:r>
        <w:t xml:space="preserve">heatwave</w:t>
      </w:r>
      <w:r>
        <w:t xml:space="preserve"> </w:t>
      </w:r>
      <w:r>
        <w:t xml:space="preserve">conditions,</w:t>
      </w:r>
      <w:r>
        <w:t xml:space="preserve"> </w:t>
      </w:r>
      <w:r>
        <w:t xml:space="preserve">where</w:t>
      </w:r>
      <w:r>
        <w:t xml:space="preserve"> </w:t>
      </w:r>
      <w:r>
        <w:t xml:space="preserve">hyperspectral</w:t>
      </w:r>
      <w:r>
        <w:t xml:space="preserve"> </w:t>
      </w:r>
      <w:r>
        <w:t xml:space="preserve">reflectance</w:t>
      </w:r>
      <w:r>
        <w:t xml:space="preserve"> </w:t>
      </w:r>
      <w:r>
        <w:t xml:space="preserve">measurements</w:t>
      </w:r>
      <w:r>
        <w:t xml:space="preserve"> </w:t>
      </w:r>
      <w:r>
        <w:t xml:space="preserve">were</w:t>
      </w:r>
      <w:r>
        <w:t xml:space="preserve"> </w:t>
      </w:r>
      <w:r>
        <w:t xml:space="preserve">taken</w:t>
      </w:r>
      <w:r>
        <w:t xml:space="preserve"> </w:t>
      </w:r>
      <w:r>
        <w:t xml:space="preserve">to</w:t>
      </w:r>
      <w:r>
        <w:t xml:space="preserve"> </w:t>
      </w:r>
      <w:r>
        <w:t xml:space="preserve">assess</w:t>
      </w:r>
      <w:r>
        <w:t xml:space="preserve"> </w:t>
      </w:r>
      <w:r>
        <w:t xml:space="preserve">the</w:t>
      </w:r>
      <w:r>
        <w:t xml:space="preserve"> </w:t>
      </w:r>
      <w:r>
        <w:t xml:space="preserve">impacts</w:t>
      </w:r>
      <w:r>
        <w:t xml:space="preserve"> </w:t>
      </w:r>
      <w:r>
        <w:t xml:space="preserve">over</w:t>
      </w:r>
      <w:r>
        <w:t xml:space="preserve"> </w:t>
      </w:r>
      <w:r>
        <w:t xml:space="preserve">time.</w:t>
      </w:r>
      <w:r>
        <w:t xml:space="preserve"> </w:t>
      </w:r>
      <w:r>
        <w:t xml:space="preserve">Heatwaves</w:t>
      </w:r>
      <w:r>
        <w:t xml:space="preserve"> </w:t>
      </w:r>
      <w:r>
        <w:t xml:space="preserve">caused</w:t>
      </w:r>
      <w:r>
        <w:t xml:space="preserve"> </w:t>
      </w:r>
      <w:r>
        <w:t xml:space="preserve">a</w:t>
      </w:r>
      <w:r>
        <w:t xml:space="preserve"> </w:t>
      </w:r>
      <w:r>
        <w:t xml:space="preserve">substantial</w:t>
      </w:r>
      <w:r>
        <w:t xml:space="preserve"> </w:t>
      </w:r>
      <w:r>
        <w:t xml:space="preserve">decline</w:t>
      </w:r>
      <w:r>
        <w:t xml:space="preserve"> </w:t>
      </w:r>
      <w:r>
        <w:t xml:space="preserve">in</w:t>
      </w:r>
      <w:r>
        <w:t xml:space="preserve"> </w:t>
      </w:r>
      <w:r>
        <w:t xml:space="preserve">seagrass</w:t>
      </w:r>
      <w:r>
        <w:t xml:space="preserve"> </w:t>
      </w:r>
      <w:r>
        <w:t xml:space="preserve">reflectance,</w:t>
      </w:r>
      <w:r>
        <w:t xml:space="preserve"> </w:t>
      </w:r>
      <w:r>
        <w:t xml:space="preserve">particularly</w:t>
      </w:r>
      <w:r>
        <w:t xml:space="preserve"> </w:t>
      </w:r>
      <w:r>
        <w:t xml:space="preserve">in</w:t>
      </w:r>
      <w:r>
        <w:t xml:space="preserve"> </w:t>
      </w:r>
      <w:r>
        <w:t xml:space="preserve">the</w:t>
      </w:r>
      <w:r>
        <w:t xml:space="preserve"> </w:t>
      </w:r>
      <w:r>
        <w:t xml:space="preserve">green</w:t>
      </w:r>
      <w:r>
        <w:t xml:space="preserve"> </w:t>
      </w:r>
      <w:r>
        <w:t xml:space="preserve">and</w:t>
      </w:r>
      <w:r>
        <w:t xml:space="preserve"> </w:t>
      </w:r>
      <w:r>
        <w:t xml:space="preserve">near-infrared</w:t>
      </w:r>
      <w:r>
        <w:t xml:space="preserve"> </w:t>
      </w:r>
      <w:r>
        <w:t xml:space="preserve">regions,</w:t>
      </w:r>
      <w:r>
        <w:t xml:space="preserve"> </w:t>
      </w:r>
      <w:r>
        <w:t xml:space="preserve">corresponding</w:t>
      </w:r>
      <w:r>
        <w:t xml:space="preserve"> </w:t>
      </w:r>
      <w:r>
        <w:t xml:space="preserve">to</w:t>
      </w:r>
      <w:r>
        <w:t xml:space="preserve"> </w:t>
      </w:r>
      <w:r>
        <w:t xml:space="preserve">the</w:t>
      </w:r>
      <w:r>
        <w:t xml:space="preserve"> </w:t>
      </w:r>
      <w:r>
        <w:t xml:space="preserve">browning</w:t>
      </w:r>
      <w:r>
        <w:t xml:space="preserve"> </w:t>
      </w:r>
      <w:r>
        <w:t xml:space="preserve">of</w:t>
      </w:r>
      <w:r>
        <w:t xml:space="preserve"> </w:t>
      </w:r>
      <w:r>
        <w:t xml:space="preserve">green</w:t>
      </w:r>
      <w:r>
        <w:t xml:space="preserve"> </w:t>
      </w:r>
      <w:r>
        <w:t xml:space="preserve">leaves.</w:t>
      </w:r>
      <w:r>
        <w:t xml:space="preserve"> </w:t>
      </w:r>
      <w:r>
        <w:t xml:space="preserve">Key</w:t>
      </w:r>
      <w:r>
        <w:t xml:space="preserve"> </w:t>
      </w:r>
      <w:r>
        <w:t xml:space="preserve">vegetation</w:t>
      </w:r>
      <w:r>
        <w:t xml:space="preserve"> </w:t>
      </w:r>
      <w:r>
        <w:t xml:space="preserve">indices,</w:t>
      </w:r>
      <w:r>
        <w:t xml:space="preserve"> </w:t>
      </w:r>
      <w:r>
        <w:t xml:space="preserve">including</w:t>
      </w:r>
      <w:r>
        <w:t xml:space="preserve"> </w:t>
      </w:r>
      <w:r>
        <w:t xml:space="preserve">the</w:t>
      </w:r>
      <w:r>
        <w:t xml:space="preserve"> </w:t>
      </w:r>
      <w:r>
        <w:t xml:space="preserve">Normalized</w:t>
      </w:r>
      <w:r>
        <w:t xml:space="preserve"> </w:t>
      </w:r>
      <w:r>
        <w:t xml:space="preserve">Difference</w:t>
      </w:r>
      <w:r>
        <w:t xml:space="preserve"> </w:t>
      </w:r>
      <w:r>
        <w:t xml:space="preserve">Vegetation</w:t>
      </w:r>
      <w:r>
        <w:t xml:space="preserve"> </w:t>
      </w:r>
      <w:r>
        <w:t xml:space="preserve">Index</w:t>
      </w:r>
      <w:r>
        <w:t xml:space="preserve"> </w:t>
      </w:r>
      <w:r>
        <w:t xml:space="preserve">(NDVI)</w:t>
      </w:r>
      <w:r>
        <w:t xml:space="preserve"> </w:t>
      </w:r>
      <w:r>
        <w:t xml:space="preserve">and</w:t>
      </w:r>
      <w:r>
        <w:t xml:space="preserve"> </w:t>
      </w:r>
      <w:r>
        <w:t xml:space="preserve">Green</w:t>
      </w:r>
      <w:r>
        <w:t xml:space="preserve"> </w:t>
      </w:r>
      <w:r>
        <w:t xml:space="preserve">Leaf</w:t>
      </w:r>
      <w:r>
        <w:t xml:space="preserve"> </w:t>
      </w:r>
      <w:r>
        <w:t xml:space="preserve">Index</w:t>
      </w:r>
      <w:r>
        <w:t xml:space="preserve"> </w:t>
      </w:r>
      <w:r>
        <w:t xml:space="preserve">(GLI),</w:t>
      </w:r>
      <w:r>
        <w:t xml:space="preserve"> </w:t>
      </w:r>
      <w:r>
        <w:t xml:space="preserve">showed</w:t>
      </w:r>
      <w:r>
        <w:t xml:space="preserve"> </w:t>
      </w:r>
      <w:r>
        <w:t xml:space="preserve">pronounced</w:t>
      </w:r>
      <w:r>
        <w:t xml:space="preserve"> </w:t>
      </w:r>
      <w:r>
        <w:t xml:space="preserve">reductions</w:t>
      </w:r>
      <w:r>
        <w:t xml:space="preserve"> </w:t>
      </w:r>
      <w:r>
        <w:t xml:space="preserve">under</w:t>
      </w:r>
      <w:r>
        <w:t xml:space="preserve"> </w:t>
      </w:r>
      <w:r>
        <w:t xml:space="preserve">heatwave</w:t>
      </w:r>
      <w:r>
        <w:t xml:space="preserve"> </w:t>
      </w:r>
      <w:r>
        <w:t xml:space="preserve">stress,</w:t>
      </w:r>
      <w:r>
        <w:t xml:space="preserve"> </w:t>
      </w:r>
      <w:r>
        <w:t xml:space="preserve">with</w:t>
      </w:r>
      <w:r>
        <w:t xml:space="preserve"> </w:t>
      </w:r>
      <w:r>
        <w:t xml:space="preserve">NDVI</w:t>
      </w:r>
      <w:r>
        <w:t xml:space="preserve"> </w:t>
      </w:r>
      <w:r>
        <w:t xml:space="preserve">values</w:t>
      </w:r>
      <w:r>
        <w:t xml:space="preserve"> </w:t>
      </w:r>
      <w:r>
        <w:t xml:space="preserve">decreasing</w:t>
      </w:r>
      <w:r>
        <w:t xml:space="preserve"> </w:t>
      </w:r>
      <w:r>
        <w:t xml:space="preserve">by</w:t>
      </w:r>
      <w:r>
        <w:t xml:space="preserve"> </w:t>
      </w:r>
      <w:r>
        <w:t xml:space="preserve">up</w:t>
      </w:r>
      <w:r>
        <w:t xml:space="preserve"> </w:t>
      </w:r>
      <w:r>
        <w:t xml:space="preserve">to</w:t>
      </w:r>
      <w:r>
        <w:t xml:space="preserve"> </w:t>
      </w:r>
      <w:r>
        <w:t xml:space="preserve">34%</w:t>
      </w:r>
      <w:r>
        <w:t xml:space="preserve"> </w:t>
      </w:r>
      <w:r>
        <w:t xml:space="preserve">and</w:t>
      </w:r>
      <w:r>
        <w:t xml:space="preserve"> </w:t>
      </w:r>
      <w:r>
        <w:t xml:space="preserve">GLI</w:t>
      </w:r>
      <w:r>
        <w:t xml:space="preserve"> </w:t>
      </w:r>
      <w:r>
        <w:t xml:space="preserve">by</w:t>
      </w:r>
      <w:r>
        <w:t xml:space="preserve"> </w:t>
      </w:r>
      <w:r>
        <w:t xml:space="preserve">57%.</w:t>
      </w:r>
      <w:r>
        <w:t xml:space="preserve"> </w:t>
      </w:r>
      <w:r>
        <w:t xml:space="preserve">A</w:t>
      </w:r>
      <w:r>
        <w:t xml:space="preserve"> </w:t>
      </w:r>
      <w:r>
        <w:t xml:space="preserve">novel</w:t>
      </w:r>
      <w:r>
        <w:t xml:space="preserve"> </w:t>
      </w:r>
      <w:r>
        <w:t xml:space="preserve">metric,</w:t>
      </w:r>
      <w:r>
        <w:t xml:space="preserve"> </w:t>
      </w:r>
      <w:r>
        <w:t xml:space="preserve">the</w:t>
      </w:r>
      <w:r>
        <w:t xml:space="preserve"> </w:t>
      </w:r>
      <w:r>
        <w:t xml:space="preserve">Seagrass</w:t>
      </w:r>
      <w:r>
        <w:t xml:space="preserve"> </w:t>
      </w:r>
      <w:r>
        <w:t xml:space="preserve">Heat</w:t>
      </w:r>
      <w:r>
        <w:t xml:space="preserve"> </w:t>
      </w:r>
      <w:r>
        <w:t xml:space="preserve">Shock</w:t>
      </w:r>
      <w:r>
        <w:t xml:space="preserve"> </w:t>
      </w:r>
      <w:r>
        <w:t xml:space="preserve">Index</w:t>
      </w:r>
      <w:r>
        <w:t xml:space="preserve"> </w:t>
      </w:r>
      <w:r>
        <w:t xml:space="preserve">(SHSI),</w:t>
      </w:r>
      <w:r>
        <w:t xml:space="preserve"> </w:t>
      </w:r>
      <w:r>
        <w:t xml:space="preserve">was</w:t>
      </w:r>
      <w:r>
        <w:t xml:space="preserve"> </w:t>
      </w:r>
      <w:r>
        <w:t xml:space="preserve">developed</w:t>
      </w:r>
      <w:r>
        <w:t xml:space="preserve"> </w:t>
      </w:r>
      <w:r>
        <w:t xml:space="preserve">to</w:t>
      </w:r>
      <w:r>
        <w:t xml:space="preserve"> </w:t>
      </w:r>
      <w:r>
        <w:t xml:space="preserve">quantify</w:t>
      </w:r>
      <w:r>
        <w:t xml:space="preserve"> </w:t>
      </w:r>
      <w:r>
        <w:t xml:space="preserve">the</w:t>
      </w:r>
      <w:r>
        <w:t xml:space="preserve"> </w:t>
      </w:r>
      <w:r>
        <w:t xml:space="preserve">transition</w:t>
      </w:r>
      <w:r>
        <w:t xml:space="preserve"> </w:t>
      </w:r>
      <w:r>
        <w:t xml:space="preserve">of</w:t>
      </w:r>
      <w:r>
        <w:t xml:space="preserve"> </w:t>
      </w:r>
      <w:r>
        <w:t xml:space="preserve">seagrass</w:t>
      </w:r>
      <w:r>
        <w:t xml:space="preserve"> </w:t>
      </w:r>
      <w:r>
        <w:t xml:space="preserve">leaves</w:t>
      </w:r>
      <w:r>
        <w:t xml:space="preserve"> </w:t>
      </w:r>
      <w:r>
        <w:t xml:space="preserve">from</w:t>
      </w:r>
      <w:r>
        <w:t xml:space="preserve"> </w:t>
      </w:r>
      <w:r>
        <w:t xml:space="preserve">green</w:t>
      </w:r>
      <w:r>
        <w:t xml:space="preserve"> </w:t>
      </w:r>
      <w:r>
        <w:t xml:space="preserve">to</w:t>
      </w:r>
      <w:r>
        <w:t xml:space="preserve"> </w:t>
      </w:r>
      <w:r>
        <w:t xml:space="preserve">brown,</w:t>
      </w:r>
      <w:r>
        <w:t xml:space="preserve"> </w:t>
      </w:r>
      <w:r>
        <w:t xml:space="preserve">demonstrating</w:t>
      </w:r>
      <w:r>
        <w:t xml:space="preserve"> </w:t>
      </w:r>
      <w:r>
        <w:t xml:space="preserve">a</w:t>
      </w:r>
      <w:r>
        <w:t xml:space="preserve"> </w:t>
      </w:r>
      <w:r>
        <w:t xml:space="preserve">strong</w:t>
      </w:r>
      <w:r>
        <w:t xml:space="preserve"> </w:t>
      </w:r>
      <w:r>
        <w:t xml:space="preserve">ability</w:t>
      </w:r>
      <w:r>
        <w:t xml:space="preserve"> </w:t>
      </w:r>
      <w:r>
        <w:t xml:space="preserve">to</w:t>
      </w:r>
      <w:r>
        <w:t xml:space="preserve"> </w:t>
      </w:r>
      <w:r>
        <w:t xml:space="preserve">capture</w:t>
      </w:r>
      <w:r>
        <w:t xml:space="preserve"> </w:t>
      </w:r>
      <w:r>
        <w:t xml:space="preserve">the</w:t>
      </w:r>
      <w:r>
        <w:t xml:space="preserve"> </w:t>
      </w:r>
      <w:r>
        <w:t xml:space="preserve">effects</w:t>
      </w:r>
      <w:r>
        <w:t xml:space="preserve"> </w:t>
      </w:r>
      <w:r>
        <w:t xml:space="preserve">of</w:t>
      </w:r>
      <w:r>
        <w:t xml:space="preserve"> </w:t>
      </w:r>
      <w:r>
        <w:t xml:space="preserve">heatwave</w:t>
      </w:r>
      <w:r>
        <w:t xml:space="preserve"> </w:t>
      </w:r>
      <w:r>
        <w:t xml:space="preserve">exposure</w:t>
      </w:r>
      <w:r>
        <w:t xml:space="preserve"> </w:t>
      </w:r>
      <w:r>
        <w:t xml:space="preserve">on</w:t>
      </w:r>
      <w:r>
        <w:t xml:space="preserve"> </w:t>
      </w:r>
      <w:r>
        <w:t xml:space="preserve">seagrass</w:t>
      </w:r>
      <w:r>
        <w:t xml:space="preserve"> </w:t>
      </w:r>
      <w:r>
        <w:t xml:space="preserve">coloration.</w:t>
      </w:r>
      <w:r>
        <w:t xml:space="preserve"> </w:t>
      </w:r>
      <w:r>
        <w:t xml:space="preserve">These</w:t>
      </w:r>
      <w:r>
        <w:t xml:space="preserve"> </w:t>
      </w:r>
      <w:r>
        <w:t xml:space="preserve">findings</w:t>
      </w:r>
      <w:r>
        <w:t xml:space="preserve"> </w:t>
      </w:r>
      <w:r>
        <w:t xml:space="preserve">highlight</w:t>
      </w:r>
      <w:r>
        <w:t xml:space="preserve"> </w:t>
      </w:r>
      <w:r>
        <w:t xml:space="preserve">the</w:t>
      </w:r>
      <w:r>
        <w:t xml:space="preserve"> </w:t>
      </w:r>
      <w:r>
        <w:t xml:space="preserve">potential</w:t>
      </w:r>
      <w:r>
        <w:t xml:space="preserve"> </w:t>
      </w:r>
      <w:r>
        <w:t xml:space="preserve">of</w:t>
      </w:r>
      <w:r>
        <w:t xml:space="preserve"> </w:t>
      </w:r>
      <w:r>
        <w:t xml:space="preserve">spectral</w:t>
      </w:r>
      <w:r>
        <w:t xml:space="preserve"> </w:t>
      </w:r>
      <w:r>
        <w:t xml:space="preserve">reflectance</w:t>
      </w:r>
      <w:r>
        <w:t xml:space="preserve"> </w:t>
      </w:r>
      <w:r>
        <w:t xml:space="preserve">as</w:t>
      </w:r>
      <w:r>
        <w:t xml:space="preserve"> </w:t>
      </w:r>
      <w:r>
        <w:t xml:space="preserve">a</w:t>
      </w:r>
      <w:r>
        <w:t xml:space="preserve"> </w:t>
      </w:r>
      <w:r>
        <w:t xml:space="preserve">tool</w:t>
      </w:r>
      <w:r>
        <w:t xml:space="preserve"> </w:t>
      </w:r>
      <w:r>
        <w:t xml:space="preserve">for</w:t>
      </w:r>
      <w:r>
        <w:t xml:space="preserve"> </w:t>
      </w:r>
      <w:r>
        <w:t xml:space="preserve">detecting</w:t>
      </w:r>
      <w:r>
        <w:t xml:space="preserve"> </w:t>
      </w:r>
      <w:r>
        <w:t xml:space="preserve">early</w:t>
      </w:r>
      <w:r>
        <w:t xml:space="preserve"> </w:t>
      </w:r>
      <w:r>
        <w:t xml:space="preserve">signs</w:t>
      </w:r>
      <w:r>
        <w:t xml:space="preserve"> </w:t>
      </w:r>
      <w:r>
        <w:t xml:space="preserve">of</w:t>
      </w:r>
      <w:r>
        <w:t xml:space="preserve"> </w:t>
      </w:r>
      <w:r>
        <w:t xml:space="preserve">heatwave-induced</w:t>
      </w:r>
      <w:r>
        <w:t xml:space="preserve"> </w:t>
      </w:r>
      <w:r>
        <w:t xml:space="preserve">stress</w:t>
      </w:r>
      <w:r>
        <w:t xml:space="preserve"> </w:t>
      </w:r>
      <w:r>
        <w:t xml:space="preserve">in</w:t>
      </w:r>
      <w:r>
        <w:t xml:space="preserve"> </w:t>
      </w:r>
      <w:r>
        <w:t xml:space="preserve">seagrasses,</w:t>
      </w:r>
      <w:r>
        <w:t xml:space="preserve"> </w:t>
      </w:r>
      <w:r>
        <w:t xml:space="preserve">offering</w:t>
      </w:r>
      <w:r>
        <w:t xml:space="preserve"> </w:t>
      </w:r>
      <w:r>
        <w:t xml:space="preserve">a</w:t>
      </w:r>
      <w:r>
        <w:t xml:space="preserve"> </w:t>
      </w:r>
      <w:r>
        <w:t xml:space="preserve">valuable</w:t>
      </w:r>
      <w:r>
        <w:t xml:space="preserve"> </w:t>
      </w:r>
      <w:r>
        <w:t xml:space="preserve">method</w:t>
      </w:r>
      <w:r>
        <w:t xml:space="preserve"> </w:t>
      </w:r>
      <w:r>
        <w:t xml:space="preserve">for</w:t>
      </w:r>
      <w:r>
        <w:t xml:space="preserve"> </w:t>
      </w:r>
      <w:r>
        <w:t xml:space="preserve">remote</w:t>
      </w:r>
      <w:r>
        <w:t xml:space="preserve"> </w:t>
      </w:r>
      <w:r>
        <w:t xml:space="preserve">sensing-based</w:t>
      </w:r>
      <w:r>
        <w:t xml:space="preserve"> </w:t>
      </w:r>
      <w:r>
        <w:t xml:space="preserve">habitat</w:t>
      </w:r>
      <w:r>
        <w:t xml:space="preserve"> </w:t>
      </w:r>
      <w:r>
        <w:t xml:space="preserve">assessment.</w:t>
      </w:r>
      <w:r>
        <w:t xml:space="preserve"> </w:t>
      </w:r>
      <w:r>
        <w:t xml:space="preserve">Multispectral</w:t>
      </w:r>
      <w:r>
        <w:t xml:space="preserve"> </w:t>
      </w:r>
      <w:r>
        <w:t xml:space="preserve">satellite</w:t>
      </w:r>
      <w:r>
        <w:t xml:space="preserve"> </w:t>
      </w:r>
      <w:r>
        <w:t xml:space="preserve">observations</w:t>
      </w:r>
      <w:r>
        <w:t xml:space="preserve"> </w:t>
      </w:r>
      <w:r>
        <w:t xml:space="preserve">corroborated</w:t>
      </w:r>
      <w:r>
        <w:t xml:space="preserve"> </w:t>
      </w:r>
      <w:r>
        <w:t xml:space="preserve">the</w:t>
      </w:r>
      <w:r>
        <w:t xml:space="preserve"> </w:t>
      </w:r>
      <w:r>
        <w:t xml:space="preserve">laboratory</w:t>
      </w:r>
      <w:r>
        <w:t xml:space="preserve"> </w:t>
      </w:r>
      <w:r>
        <w:t xml:space="preserve">results,</w:t>
      </w:r>
      <w:r>
        <w:t xml:space="preserve"> </w:t>
      </w:r>
      <w:r>
        <w:t xml:space="preserve">revealing</w:t>
      </w:r>
      <w:r>
        <w:t xml:space="preserve"> </w:t>
      </w:r>
      <w:r>
        <w:t xml:space="preserve">widespread</w:t>
      </w:r>
      <w:r>
        <w:t xml:space="preserve"> </w:t>
      </w:r>
      <w:r>
        <w:t xml:space="preserve">browning</w:t>
      </w:r>
      <w:r>
        <w:t xml:space="preserve"> </w:t>
      </w:r>
      <w:r>
        <w:t xml:space="preserve">of</w:t>
      </w:r>
      <w:r>
        <w:t xml:space="preserve"> </w:t>
      </w:r>
      <w:r>
        <w:t xml:space="preserve">seagrass</w:t>
      </w:r>
      <w:r>
        <w:t xml:space="preserve"> </w:t>
      </w:r>
      <w:r>
        <w:t xml:space="preserve">leaves</w:t>
      </w:r>
      <w:r>
        <w:t xml:space="preserve"> </w:t>
      </w:r>
      <w:r>
        <w:t xml:space="preserve">during</w:t>
      </w:r>
      <w:r>
        <w:t xml:space="preserve"> </w:t>
      </w:r>
      <w:r>
        <w:t xml:space="preserve">marine</w:t>
      </w:r>
      <w:r>
        <w:t xml:space="preserve"> </w:t>
      </w:r>
      <w:r>
        <w:t xml:space="preserve">and</w:t>
      </w:r>
      <w:r>
        <w:t xml:space="preserve"> </w:t>
      </w:r>
      <w:r>
        <w:t xml:space="preserve">atmospheric</w:t>
      </w:r>
      <w:r>
        <w:t xml:space="preserve"> </w:t>
      </w:r>
      <w:r>
        <w:t xml:space="preserve">heatwave</w:t>
      </w:r>
      <w:r>
        <w:t xml:space="preserve"> </w:t>
      </w:r>
      <w:r>
        <w:t xml:space="preserve">events</w:t>
      </w:r>
      <w:r>
        <w:t xml:space="preserve"> </w:t>
      </w:r>
      <w:r>
        <w:t xml:space="preserve">in</w:t>
      </w:r>
      <w:r>
        <w:t xml:space="preserve"> </w:t>
      </w:r>
      <w:r>
        <w:t xml:space="preserve">South</w:t>
      </w:r>
      <w:r>
        <w:t xml:space="preserve"> </w:t>
      </w:r>
      <w:r>
        <w:t xml:space="preserve">Brittany,</w:t>
      </w:r>
      <w:r>
        <w:t xml:space="preserve"> </w:t>
      </w:r>
      <w:r>
        <w:t xml:space="preserve">France.</w:t>
      </w:r>
      <w:r>
        <w:t xml:space="preserve"> </w:t>
      </w:r>
      <w:r>
        <w:t xml:space="preserve">Notably,</w:t>
      </w:r>
      <w:r>
        <w:t xml:space="preserve"> </w:t>
      </w:r>
      <w:r>
        <w:t xml:space="preserve">darkened</w:t>
      </w:r>
      <w:r>
        <w:t xml:space="preserve"> </w:t>
      </w:r>
      <w:r>
        <w:t xml:space="preserve">seagrass</w:t>
      </w:r>
      <w:r>
        <w:t xml:space="preserve"> </w:t>
      </w:r>
      <w:r>
        <w:t xml:space="preserve">patches</w:t>
      </w:r>
      <w:r>
        <w:t xml:space="preserve"> </w:t>
      </w:r>
      <w:r>
        <w:t xml:space="preserve">were</w:t>
      </w:r>
      <w:r>
        <w:t xml:space="preserve"> </w:t>
      </w:r>
      <w:r>
        <w:t xml:space="preserve">observed</w:t>
      </w:r>
      <w:r>
        <w:t xml:space="preserve"> </w:t>
      </w:r>
      <w:r>
        <w:t xml:space="preserve">in</w:t>
      </w:r>
      <w:r>
        <w:t xml:space="preserve"> </w:t>
      </w:r>
      <w:r>
        <w:t xml:space="preserve">intertidal</w:t>
      </w:r>
      <w:r>
        <w:t xml:space="preserve"> </w:t>
      </w:r>
      <w:r>
        <w:t xml:space="preserve">areas</w:t>
      </w:r>
      <w:r>
        <w:t xml:space="preserve"> </w:t>
      </w:r>
      <w:r>
        <w:t xml:space="preserve">exposed</w:t>
      </w:r>
      <w:r>
        <w:t xml:space="preserve"> </w:t>
      </w:r>
      <w:r>
        <w:t xml:space="preserve">to</w:t>
      </w:r>
      <w:r>
        <w:t xml:space="preserve"> </w:t>
      </w:r>
      <w:r>
        <w:t xml:space="preserve">temperatures</w:t>
      </w:r>
      <w:r>
        <w:t xml:space="preserve"> </w:t>
      </w:r>
      <w:r>
        <w:t xml:space="preserve">exceeding</w:t>
      </w:r>
      <w:r>
        <w:t xml:space="preserve"> </w:t>
      </w:r>
      <w:r>
        <w:t xml:space="preserve">32°C</w:t>
      </w:r>
      <w:r>
        <w:t xml:space="preserve"> </w:t>
      </w:r>
      <w:r>
        <w:t xml:space="preserve">for</w:t>
      </w:r>
      <w:r>
        <w:t xml:space="preserve"> </w:t>
      </w:r>
      <w:r>
        <w:t xml:space="preserve">over</w:t>
      </w:r>
      <w:r>
        <w:t xml:space="preserve"> </w:t>
      </w:r>
      <w:r>
        <w:t xml:space="preserve">13.5</w:t>
      </w:r>
      <w:r>
        <w:t xml:space="preserve"> </w:t>
      </w:r>
      <w:r>
        <w:t xml:space="preserve">hours</w:t>
      </w:r>
      <w:r>
        <w:t xml:space="preserve"> </w:t>
      </w:r>
      <w:r>
        <w:t xml:space="preserve">per</w:t>
      </w:r>
      <w:r>
        <w:t xml:space="preserve"> </w:t>
      </w:r>
      <w:r>
        <w:t xml:space="preserve">day.</w:t>
      </w:r>
      <w:r>
        <w:t xml:space="preserve"> </w:t>
      </w:r>
      <w:r>
        <w:t xml:space="preserve">This</w:t>
      </w:r>
      <w:r>
        <w:t xml:space="preserve"> </w:t>
      </w:r>
      <w:r>
        <w:t xml:space="preserve">work</w:t>
      </w:r>
      <w:r>
        <w:t xml:space="preserve"> </w:t>
      </w:r>
      <w:r>
        <w:t xml:space="preserve">highlights</w:t>
      </w:r>
      <w:r>
        <w:t xml:space="preserve"> </w:t>
      </w:r>
      <w:r>
        <w:t xml:space="preserve">the</w:t>
      </w:r>
      <w:r>
        <w:t xml:space="preserve"> </w:t>
      </w:r>
      <w:r>
        <w:t xml:space="preserve">need</w:t>
      </w:r>
      <w:r>
        <w:t xml:space="preserve"> </w:t>
      </w:r>
      <w:r>
        <w:t xml:space="preserve">for</w:t>
      </w:r>
      <w:r>
        <w:t xml:space="preserve"> </w:t>
      </w:r>
      <w:r>
        <w:t xml:space="preserve">continuous</w:t>
      </w:r>
      <w:r>
        <w:t xml:space="preserve"> </w:t>
      </w:r>
      <w:r>
        <w:t xml:space="preserve">monitoring</w:t>
      </w:r>
      <w:r>
        <w:t xml:space="preserve"> </w:t>
      </w:r>
      <w:r>
        <w:t xml:space="preserve">of</w:t>
      </w:r>
      <w:r>
        <w:t xml:space="preserve"> </w:t>
      </w:r>
      <w:r>
        <w:t xml:space="preserve">seagrass</w:t>
      </w:r>
      <w:r>
        <w:t xml:space="preserve"> </w:t>
      </w:r>
      <w:r>
        <w:t xml:space="preserve">meadows</w:t>
      </w:r>
      <w:r>
        <w:t xml:space="preserve"> </w:t>
      </w:r>
      <w:r>
        <w:t xml:space="preserve">under</w:t>
      </w:r>
      <w:r>
        <w:t xml:space="preserve"> </w:t>
      </w:r>
      <w:r>
        <w:t xml:space="preserve">the</w:t>
      </w:r>
      <w:r>
        <w:t xml:space="preserve"> </w:t>
      </w:r>
      <w:r>
        <w:t xml:space="preserve">current</w:t>
      </w:r>
      <w:r>
        <w:t xml:space="preserve"> </w:t>
      </w:r>
      <w:r>
        <w:t xml:space="preserve">and</w:t>
      </w:r>
      <w:r>
        <w:t xml:space="preserve"> </w:t>
      </w:r>
      <w:r>
        <w:t xml:space="preserve">future</w:t>
      </w:r>
      <w:r>
        <w:t xml:space="preserve"> </w:t>
      </w:r>
      <w:r>
        <w:t xml:space="preserve">climate</w:t>
      </w:r>
      <w:r>
        <w:t xml:space="preserve"> </w:t>
      </w:r>
      <w:r>
        <w:t xml:space="preserve">regimes,</w:t>
      </w:r>
      <w:r>
        <w:t xml:space="preserve"> </w:t>
      </w:r>
      <w:r>
        <w:t xml:space="preserve">underscoring</w:t>
      </w:r>
      <w:r>
        <w:t xml:space="preserve"> </w:t>
      </w:r>
      <w:r>
        <w:t xml:space="preserve">the</w:t>
      </w:r>
      <w:r>
        <w:t xml:space="preserve"> </w:t>
      </w:r>
      <w:r>
        <w:t xml:space="preserve">potential</w:t>
      </w:r>
      <w:r>
        <w:t xml:space="preserve"> </w:t>
      </w:r>
      <w:r>
        <w:t xml:space="preserve">of</w:t>
      </w:r>
      <w:r>
        <w:t xml:space="preserve"> </w:t>
      </w:r>
      <w:r>
        <w:t xml:space="preserve">remote</w:t>
      </w:r>
      <w:r>
        <w:t xml:space="preserve"> </w:t>
      </w:r>
      <w:r>
        <w:t xml:space="preserve">sensing</w:t>
      </w:r>
      <w:r>
        <w:t xml:space="preserve"> </w:t>
      </w:r>
      <w:r>
        <w:t xml:space="preserve">to</w:t>
      </w:r>
      <w:r>
        <w:t xml:space="preserve"> </w:t>
      </w:r>
      <w:r>
        <w:t xml:space="preserve">capture</w:t>
      </w:r>
      <w:r>
        <w:t xml:space="preserve"> </w:t>
      </w:r>
      <w:r>
        <w:t xml:space="preserve">rapid</w:t>
      </w:r>
      <w:r>
        <w:t xml:space="preserve"> </w:t>
      </w:r>
      <w:r>
        <w:t xml:space="preserve">environmental</w:t>
      </w:r>
      <w:r>
        <w:t xml:space="preserve"> </w:t>
      </w:r>
      <w:r>
        <w:t xml:space="preserve">changes</w:t>
      </w:r>
      <w:r>
        <w:t xml:space="preserve"> </w:t>
      </w:r>
      <w:r>
        <w:t xml:space="preserve">in</w:t>
      </w:r>
      <w:r>
        <w:t xml:space="preserve"> </w:t>
      </w:r>
      <w:r>
        <w:t xml:space="preserve">intertidal</w:t>
      </w:r>
      <w:r>
        <w:t xml:space="preserve"> </w:t>
      </w:r>
      <w:r>
        <w:t xml:space="preserve">zones.</w:t>
      </w:r>
    </w:p>
    <w:bookmarkStart w:id="23" w:name="abstract-long-version-for-lps-submission"/>
    <w:p>
      <w:pPr>
        <w:pStyle w:val="Heading1"/>
      </w:pPr>
      <w:r>
        <w:t xml:space="preserve">1. Abstract Long version (For LPS Submission)</w:t>
      </w:r>
    </w:p>
    <w:p>
      <w:pPr>
        <w:pStyle w:val="FirstParagraph"/>
      </w:pPr>
      <w:r>
        <w:t xml:space="preserve">Seagrasses are indispensable to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w:t>
      </w:r>
      <w:r>
        <w:t xml:space="preserve"> </w:t>
      </w:r>
      <w:r>
        <w:rPr>
          <w:i/>
          <w:iCs/>
        </w:rPr>
        <w:t xml:space="preserve">Zostera noltei</w:t>
      </w:r>
      <w:r>
        <w:t xml:space="preserve">, employing a combination of laboratory-controlled experiments and satellite-based remote sensing to capture changes in spectral reflectance and assess the broader ecological implications.</w:t>
      </w:r>
    </w:p>
    <w:p>
      <w:pPr>
        <w:pStyle w:val="BodyText"/>
      </w:pPr>
      <w:r>
        <w:t xml:space="preserve">In laboratory experiments,</w:t>
      </w:r>
      <w:r>
        <w:t xml:space="preserve"> </w:t>
      </w:r>
      <w:r>
        <w:rPr>
          <w:i/>
          <w:iCs/>
        </w:rPr>
        <w:t xml:space="preserve">Zostera noltei</w:t>
      </w:r>
      <w:r>
        <w:t xml:space="preserve"> </w:t>
      </w:r>
      <w:r>
        <w:t xml:space="preserve">samples 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w:t>
      </w:r>
      <w:r>
        <w:t xml:space="preserve"> </w:t>
      </w:r>
      <w:r>
        <w:t xml:space="preserve">To quantify these changes more effectively, a novel Seagrass Heat Shock Index (SHSI) was developed. The SHSI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satellite observations from multispectral imagery provided clear evidence of the effects of a documented heatwave event in South Brittany, France, on natural seagrass meadows. These intertidal zones were exposed to extreme air temperatures exceeding 32°C for more than 13.5 hours per day, leading to significant leaf darkening, which affected up to 24% of the meadow’s area. The satellite-derived data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one month after the heatwave, partial recovery was observed in some areas, suggesting a level of resilience in Zostera noltei.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emphasizes the vital importance of safeguarding these ecosystems, which not only support marine biodiversity but also contribute to coastal protection and carbon sequestration. Demonstrating the efficacy of remote sensing in capturing rapid environmental changes, the study provides a framework for mitigating the impacts of climate-driven stressors and calls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heatwaves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integrated with</w:t>
      </w:r>
      <w:r>
        <w:t xml:space="preserve"> </w:t>
      </w:r>
      <w:r>
        <w:rPr>
          <w:i/>
          <w:iCs/>
        </w:rPr>
        <w:t xml:space="preserve">in situ</w:t>
      </w:r>
      <w:r>
        <w:t xml:space="preserve"> </w:t>
      </w:r>
      <w:r>
        <w:t xml:space="preserve">satellite remote sensing data, providing critical insights into the spatial extent and temporal dynamics of heatwave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5" w:name="material-methods"/>
    <w:p>
      <w:pPr>
        <w:pStyle w:val="Heading1"/>
      </w:pPr>
      <w:r>
        <w:t xml:space="preserve">3. Material &amp; Methods</w:t>
      </w:r>
    </w:p>
    <w:bookmarkStart w:id="43"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June 2024. A metal sampling box was used to sample seagrass from an area of 30 cm by 15 cm and 5 cm deep, maintaining the sediment structure and avoiding damage to the rhizomes and the leaves of the seagrass (</w:t>
      </w:r>
      <w:hyperlink w:anchor="fig-design">
        <w:r>
          <w:rPr>
            <w:rStyle w:val="Hyperlink"/>
          </w:rPr>
          <w:t xml:space="preserve">Figure 1</w:t>
        </w:r>
      </w:hyperlink>
      <w:r>
        <w:t xml:space="preserve"> </w:t>
      </w:r>
      <w:r>
        <w:t xml:space="preserve">A). This sampling box limited variability between replicates. The sampled sediment, including seagrass, sediment, meiofauna, and macrofauna, was placed in plastic trays. Keeping the entire biota allowed for the natural interactions between components to be maintained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heatwave.</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t xml:space="preserve">To closely reproduce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atmospheric heatwave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heatwave conditions, starting at the seasonal baseline (18°C) and rising incrementally by 0.5°C daily to simulate the increasing temperatures during the heatwave. This aimed to reproduce the thermal stress experienced by the seagrass meadow during this heatwave event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w:t>
      </w:r>
      <w:r>
        <w:t xml:space="preserve">Run</w:t>
      </w:r>
      <w:r>
        <w:t xml:space="preserve">”</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2"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7"/>
    <w:bookmarkStart w:id="41" w:name="spectrum-post-processing"/>
    <w:p>
      <w:pPr>
        <w:pStyle w:val="Heading4"/>
      </w:pPr>
      <w:r>
        <w:t xml:space="preserve">3.1.3.2 Spectrum post-processing</w:t>
      </w:r>
    </w:p>
    <w:p>
      <w:pPr>
        <w:pStyle w:val="FirstParagraph"/>
      </w:pPr>
      <w:r>
        <w:t xml:space="preserve">A Savitzky-Golay smoothing function with a 5 nm moving window was applied to each spectrum prior to computing the second derivative of</w:t>
      </w:r>
      <w:r>
        <w:t xml:space="preserve"> </w:t>
      </w:r>
      <m:oMath>
        <m:r>
          <m:t>R</m:t>
        </m:r>
        <m:d>
          <m:dPr>
            <m:begChr m:val="("/>
            <m:endChr m:val=")"/>
            <m:sepChr m:val=""/>
            <m:grow/>
          </m:dPr>
          <m:e>
            <m:r>
              <m:t>λ</m:t>
            </m:r>
          </m:e>
        </m:d>
      </m:oMath>
      <w:r>
        <w:t xml:space="preserve"> </w:t>
      </w:r>
      <w:r>
        <w:t xml:space="preserve">used to estimate absorption features and compare their variability over time. This analysis was performed using the</w:t>
      </w:r>
      <w:r>
        <w:t xml:space="preserve"> </w:t>
      </w:r>
      <w:r>
        <w:t xml:space="preserve">“</w:t>
      </w:r>
      <w:r>
        <w:t xml:space="preserve">hsdar</w:t>
      </w:r>
      <w:r>
        <w:t xml:space="preserve">”</w:t>
      </w:r>
      <w:r>
        <w:t xml:space="preserve"> </w:t>
      </w:r>
      <w:r>
        <w:t xml:space="preserve">package in R</w:t>
      </w:r>
      <w:r>
        <w:t xml:space="preserve"> </w:t>
      </w:r>
      <w:r>
        <w:t xml:space="preserve">(Lehnert et al., 2017)</w:t>
      </w:r>
      <w:r>
        <w:t xml:space="preserve">.</w:t>
      </w:r>
    </w:p>
    <w:p>
      <w:pPr>
        <w:pStyle w:val="BodyText"/>
      </w:pPr>
      <w:r>
        <w:t xml:space="preserve">Two well established radiometric indices were also calculated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40"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41"/>
    <w:bookmarkEnd w:id="42"/>
    <w:bookmarkEnd w:id="43"/>
    <w:bookmarkStart w:id="63" w:name="in-situ-seagrass-darkening."/>
    <w:p>
      <w:pPr>
        <w:pStyle w:val="Heading2"/>
      </w:pPr>
      <w:r>
        <w:t xml:space="preserve">3.2</w:t>
      </w:r>
      <w:r>
        <w:t xml:space="preserve"> </w:t>
      </w:r>
      <w:r>
        <w:rPr>
          <w:i/>
          <w:iCs/>
        </w:rPr>
        <w:t xml:space="preserve">In situ</w:t>
      </w:r>
      <w:r>
        <w:t xml:space="preserve"> </w:t>
      </w:r>
      <w:r>
        <w:t xml:space="preserve">seagrass darkening.</w:t>
      </w:r>
    </w:p>
    <w:bookmarkStart w:id="54" w:name="field-observation"/>
    <w:p>
      <w:pPr>
        <w:pStyle w:val="Heading3"/>
      </w:pPr>
      <w:r>
        <w:t xml:space="preserve">3.2.1 Field Observation</w:t>
      </w:r>
    </w:p>
    <w:bookmarkStart w:id="48" w:name="cell-fig-quiberonMap"/>
    <w:tbl>
      <w:tblPr>
        <w:tblStyle w:val="Table"/>
        <w:tblW w:type="pct" w:w="5000"/>
        <w:tblLayout w:type="fixed"/>
        <w:tblLook w:firstRow="0" w:lastRow="0" w:firstColumn="0" w:lastColumn="0" w:noHBand="0" w:noVBand="0" w:val="0000"/>
      </w:tblPr>
      <w:tblGrid>
        <w:gridCol w:w="7920"/>
      </w:tblGrid>
      <w:tr>
        <w:tc>
          <w:tcPr/>
          <w:bookmarkStart w:id="47" w:name="fig-quiberonMap"/>
          <w:p>
            <w:pPr>
              <w:pStyle w:val="Compact"/>
              <w:jc w:val="center"/>
            </w:pPr>
            <w:r>
              <w:drawing>
                <wp:inline>
                  <wp:extent cx="5646420" cy="5646420"/>
                  <wp:effectExtent b="0" l="0" r="0" t="0"/>
                  <wp:docPr descr="" title="" id="45" name="Picture"/>
                  <a:graphic>
                    <a:graphicData uri="http://schemas.openxmlformats.org/drawingml/2006/picture">
                      <pic:pic>
                        <pic:nvPicPr>
                          <pic:cNvPr descr="Figs/Low_res/Quiberon_map.png" id="46" name="Picture"/>
                          <pic:cNvPicPr>
                            <a:picLocks noChangeArrowheads="1" noChangeAspect="1"/>
                          </pic:cNvPicPr>
                        </pic:nvPicPr>
                        <pic:blipFill>
                          <a:blip r:embed="rId4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Location of the field campaign that occurred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7"/>
        </w:tc>
      </w:tr>
    </w:tbl>
    <w:bookmarkEnd w:id="48"/>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3</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4</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3</w:t>
        </w:r>
      </w:hyperlink>
      <w:r>
        <w:t xml:space="preserve">).</w:t>
      </w:r>
    </w:p>
    <w:bookmarkStart w:id="53" w:name="cell-fig-QuiberonImg"/>
    <w:tbl>
      <w:tblPr>
        <w:tblStyle w:val="Table"/>
        <w:tblW w:type="pct" w:w="5000"/>
        <w:tblLayout w:type="fixed"/>
        <w:tblLook w:firstRow="0" w:lastRow="0" w:firstColumn="0" w:lastColumn="0" w:noHBand="0" w:noVBand="0" w:val="0000"/>
      </w:tblPr>
      <w:tblGrid>
        <w:gridCol w:w="7920"/>
      </w:tblGrid>
      <w:tr>
        <w:tc>
          <w:tcPr/>
          <w:bookmarkStart w:id="52" w:name="fig-QuiberonImg"/>
          <w:p>
            <w:pPr>
              <w:pStyle w:val="Compact"/>
              <w:jc w:val="center"/>
            </w:pPr>
            <w:r>
              <w:drawing>
                <wp:inline>
                  <wp:extent cx="5646420" cy="3733115"/>
                  <wp:effectExtent b="0" l="0" r="0" t="0"/>
                  <wp:docPr descr="" title="" id="50" name="Picture"/>
                  <a:graphic>
                    <a:graphicData uri="http://schemas.openxmlformats.org/drawingml/2006/picture">
                      <pic:pic>
                        <pic:nvPicPr>
                          <pic:cNvPr descr="Figs/Low_res/img_Quiberon.png" id="51" name="Picture"/>
                          <pic:cNvPicPr>
                            <a:picLocks noChangeArrowheads="1" noChangeAspect="1"/>
                          </pic:cNvPicPr>
                        </pic:nvPicPr>
                        <pic:blipFill>
                          <a:blip r:embed="rId49"/>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Illustrations of the two coloration of seagrasses observed in the field. A: View of a green meadow; B: Quadrat images of green seagrasses; C: Quadrat images of darkened seagrasses; D: View of darkened area of the meadow. All images were taken on September 10th, 2021, in Quiberon.</w:t>
            </w:r>
          </w:p>
          <w:bookmarkEnd w:id="52"/>
        </w:tc>
      </w:tr>
    </w:tbl>
    <w:bookmarkEnd w:id="53"/>
    <w:bookmarkEnd w:id="54"/>
    <w:bookmarkStart w:id="59" w:name="Xf8a39f1f3d5cbc00f14159fcb612e83e416b551"/>
    <w:p>
      <w:pPr>
        <w:pStyle w:val="Heading3"/>
      </w:pPr>
      <w:r>
        <w:t xml:space="preserve">3.2.2 Temperature Data and identification of heatwaves</w:t>
      </w:r>
    </w:p>
    <w:bookmarkStart w:id="56" w:name="air-temperature"/>
    <w:p>
      <w:pPr>
        <w:pStyle w:val="Heading4"/>
      </w:pPr>
      <w:r>
        <w:t xml:space="preserve">3.2.2.1 Air temperature</w:t>
      </w:r>
    </w:p>
    <w:p>
      <w:pPr>
        <w:pStyle w:val="FirstParagraph"/>
      </w:pPr>
      <w:r>
        <w:t xml:space="preserve">Since January 1, 2024, Meteo France weather data has been freely and openly accessible. Hourly air temperature data (°C) was retrieved using a</w:t>
      </w:r>
      <w:r>
        <w:t xml:space="preserve"> </w:t>
      </w:r>
      <w:hyperlink r:id="rId55">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bookmarkEnd w:id="56"/>
    <w:bookmarkStart w:id="57" w:name="water-temperature"/>
    <w:p>
      <w:pPr>
        <w:pStyle w:val="Heading4"/>
      </w:pPr>
      <w:r>
        <w:t xml:space="preserve">3.2.2.2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57"/>
    <w:bookmarkStart w:id="58" w:name="heatwave-detection-and-characterization"/>
    <w:p>
      <w:pPr>
        <w:pStyle w:val="Heading4"/>
      </w:pPr>
      <w:r>
        <w:t xml:space="preserve">3.2.2.3 Heatwave Detection and Characterization</w:t>
      </w:r>
    </w:p>
    <w:p>
      <w:pPr>
        <w:pStyle w:val="FirstParagraph"/>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8"/>
    <w:bookmarkEnd w:id="59"/>
    <w:bookmarkStart w:id="61" w:name="satellite-observation"/>
    <w:p>
      <w:pPr>
        <w:pStyle w:val="Heading3"/>
      </w:pPr>
      <w:r>
        <w:t xml:space="preserve">3.2.3 Satellite Observation</w:t>
      </w:r>
    </w:p>
    <w:p>
      <w:pPr>
        <w:pStyle w:val="FirstParagraph"/>
      </w:pPr>
      <w:r>
        <w:t xml:space="preserve">Three Sentinel-2 images covering the field campaign site (</w:t>
      </w:r>
      <w:hyperlink w:anchor="fig-quiberonMap">
        <w:r>
          <w:rPr>
            <w:rStyle w:val="Hyperlink"/>
          </w:rPr>
          <w:t xml:space="preserve">Figure 3</w:t>
        </w:r>
      </w:hyperlink>
      <w:r>
        <w:t xml:space="preserve">) were downloaded from the Copernicus platform</w:t>
      </w:r>
      <w:r>
        <w:t xml:space="preserve"> </w:t>
      </w:r>
      <w:r>
        <w:t xml:space="preserve">(European Space Agency, 2024a)</w:t>
      </w:r>
      <w:r>
        <w:t xml:space="preserve">.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QPs (</w:t>
      </w:r>
      <w:hyperlink w:anchor="fig-quiberonMap">
        <w:r>
          <w:rPr>
            <w:rStyle w:val="Hyperlink"/>
          </w:rPr>
          <w:t xml:space="preserve">Figure 3</w:t>
        </w:r>
      </w:hyperlink>
      <w:r>
        <w:t xml:space="preserve">) were extracted and compared before and after the heatwave event.</w:t>
      </w:r>
    </w:p>
    <w:p>
      <w:pPr>
        <w:pStyle w:val="BodyText"/>
      </w:pPr>
      <w:r>
        <w:t xml:space="preserve">A remote sensing based seagrass covers estimation equation, the SC developed by</w:t>
      </w:r>
      <w:r>
        <w:t xml:space="preserve"> </w:t>
      </w:r>
      <w:r>
        <w:t xml:space="preserve">Zoffoli et al. (2020)</w:t>
      </w:r>
      <w:r>
        <w:t xml:space="preserve">, were used to retrieve the proportion of seagrass of Sentinel-2 pixel (</w:t>
      </w:r>
      <w:hyperlink w:anchor="eq-spc">
        <w:r>
          <w:rPr>
            <w:rStyle w:val="Hyperlink"/>
          </w:rPr>
          <w:t xml:space="preserve">Equation 4</w:t>
        </w:r>
      </w:hyperlink>
      <w:r>
        <w:t xml:space="preserve">):</w:t>
      </w:r>
    </w:p>
    <w:p>
      <w:pPr>
        <w:pStyle w:val="BodyText"/>
      </w:pPr>
      <w:bookmarkStart w:id="60" w:name="eq-spc"/>
      <m:oMathPara>
        <m:oMathParaPr>
          <m:jc m:val="center"/>
        </m:oMathParaPr>
        <m:oMath>
          <m:r>
            <m:t>S</m:t>
          </m:r>
          <m:r>
            <m:t>C</m:t>
          </m:r>
          <m:r>
            <m:rPr>
              <m:sty m:val="p"/>
            </m:rPr>
            <m:t>=</m:t>
          </m:r>
          <m:r>
            <m:t>172.06</m:t>
          </m:r>
          <m:r>
            <m:rPr>
              <m:sty m:val="p"/>
            </m:rPr>
            <m:t>×</m:t>
          </m:r>
          <m:r>
            <m:t>N</m:t>
          </m:r>
          <m:r>
            <m:t>D</m:t>
          </m:r>
          <m:r>
            <m:t>V</m:t>
          </m:r>
          <m:r>
            <m:t>I</m:t>
          </m:r>
          <m:r>
            <m:rPr>
              <m:sty m:val="p"/>
            </m:rPr>
            <m:t>−</m:t>
          </m:r>
          <m:r>
            <m:t>22.18</m:t>
          </m:r>
          <m:r>
            <m:t>  </m:t>
          </m:r>
          <m:d>
            <m:dPr>
              <m:begChr m:val="("/>
              <m:endChr m:val=")"/>
              <m:sepChr m:val=""/>
              <m:grow/>
            </m:dPr>
            <m:e>
              <m:r>
                <m:t>4</m:t>
              </m:r>
            </m:e>
          </m:d>
        </m:oMath>
      </m:oMathPara>
      <w:bookmarkEnd w:id="60"/>
    </w:p>
    <w:bookmarkEnd w:id="61"/>
    <w:bookmarkStart w:id="62" w:name="emersion-time-of-seagrasses"/>
    <w:p>
      <w:pPr>
        <w:pStyle w:val="Heading3"/>
      </w:pPr>
      <w:r>
        <w:t xml:space="preserve">3.2.4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2"/>
    <w:bookmarkEnd w:id="63"/>
    <w:bookmarkStart w:id="64"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Run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w:t>
      </w:r>
      <w:r>
        <w:t xml:space="preserve">brms</w:t>
      </w:r>
      <w:r>
        <w:t xml:space="preserve">”</w:t>
      </w:r>
      <w:r>
        <w:t xml:space="preserve"> </w:t>
      </w:r>
      <w:r>
        <w:t xml:space="preserve">and</w:t>
      </w:r>
      <w:r>
        <w:t xml:space="preserve"> </w:t>
      </w:r>
      <w:r>
        <w:t xml:space="preserve">“</w:t>
      </w:r>
      <w:r>
        <w:t xml:space="preserve">RStan</w:t>
      </w:r>
      <w:r>
        <w:t xml:space="preserve">”</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4"/>
    <w:bookmarkEnd w:id="65"/>
    <w:bookmarkStart w:id="108" w:name="results"/>
    <w:p>
      <w:pPr>
        <w:pStyle w:val="Heading1"/>
      </w:pPr>
      <w:r>
        <w:t xml:space="preserve">4. Results</w:t>
      </w:r>
    </w:p>
    <w:bookmarkStart w:id="83" w:name="laboratory-experiment-1"/>
    <w:p>
      <w:pPr>
        <w:pStyle w:val="Heading2"/>
      </w:pPr>
      <w:r>
        <w:t xml:space="preserve">4.1 Laboratory Experiment</w:t>
      </w:r>
    </w:p>
    <w:bookmarkStart w:id="71" w:name="spectral-inspection"/>
    <w:p>
      <w:pPr>
        <w:pStyle w:val="Heading3"/>
      </w:pPr>
      <w:r>
        <w:t xml:space="preserve">4.1.1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5</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5</w:t>
        </w:r>
      </w:hyperlink>
      <w:r>
        <w:t xml:space="preserve">, left).</w:t>
      </w:r>
    </w:p>
    <w:p>
      <w:pPr>
        <w:pStyle w:val="BodyText"/>
      </w:pPr>
      <w:r>
        <w:t xml:space="preserve">In contrast, the Treatment group showed more pronounced changes in reflectance throughout the experiment (</w:t>
      </w:r>
      <w:hyperlink w:anchor="fig-Exp_Spectra">
        <w:r>
          <w:rPr>
            <w:rStyle w:val="Hyperlink"/>
          </w:rPr>
          <w:t xml:space="preserve">Figure 5</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0" w:name="cell-fig-Exp_Spectra"/>
    <w:tbl>
      <w:tblPr>
        <w:tblStyle w:val="Table"/>
        <w:tblW w:type="pct" w:w="5000"/>
        <w:tblLayout w:type="fixed"/>
        <w:tblLook w:firstRow="0" w:lastRow="0" w:firstColumn="0" w:lastColumn="0" w:noHBand="0" w:noVBand="0" w:val="0000"/>
      </w:tblPr>
      <w:tblGrid>
        <w:gridCol w:w="7920"/>
      </w:tblGrid>
      <w:tr>
        <w:tc>
          <w:tcPr/>
          <w:bookmarkStart w:id="69" w:name="fig-Exp_Spectra"/>
          <w:p>
            <w:pPr>
              <w:pStyle w:val="Compact"/>
              <w:jc w:val="center"/>
            </w:pPr>
            <w:r>
              <w:drawing>
                <wp:inline>
                  <wp:extent cx="5646420" cy="2823210"/>
                  <wp:effectExtent b="0" l="0" r="0" t="0"/>
                  <wp:docPr descr="" title="" id="67" name="Picture"/>
                  <a:graphic>
                    <a:graphicData uri="http://schemas.openxmlformats.org/drawingml/2006/picture">
                      <pic:pic>
                        <pic:nvPicPr>
                          <pic:cNvPr descr="Figs/Low_res/plot_Spectra_exp.png" id="68" name="Picture"/>
                          <pic:cNvPicPr>
                            <a:picLocks noChangeArrowheads="1" noChangeAspect="1"/>
                          </pic:cNvPicPr>
                        </pic:nvPicPr>
                        <pic:blipFill>
                          <a:blip r:embed="rId66"/>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9"/>
        </w:tc>
      </w:tr>
    </w:tbl>
    <w:bookmarkEnd w:id="70"/>
    <w:bookmarkEnd w:id="71"/>
    <w:bookmarkStart w:id="82" w:name="evolution-of-spectral-metrics"/>
    <w:p>
      <w:pPr>
        <w:pStyle w:val="Heading3"/>
      </w:pPr>
      <w:r>
        <w:t xml:space="preserve">4.1.2 Evolution of spectral metrics</w:t>
      </w:r>
    </w:p>
    <w:p>
      <w:pPr>
        <w:pStyle w:val="FirstParagraph"/>
      </w:pPr>
      <w:r>
        <w:t xml:space="preserve">The maximum difference of</w:t>
      </w:r>
      <w:r>
        <w:t xml:space="preserve"> </w:t>
      </w:r>
      <m:oMath>
        <m:r>
          <m:t>R</m:t>
        </m:r>
        <m:r>
          <m:rPr>
            <m:sty m:val="p"/>
          </m:rPr>
          <m:t>″</m:t>
        </m:r>
        <m:d>
          <m:dPr>
            <m:begChr m:val="("/>
            <m:endChr m:val=")"/>
            <m:sepChr m:val=""/>
            <m:grow/>
          </m:dPr>
          <m:e>
            <m:r>
              <m:t>λ</m:t>
            </m:r>
          </m:e>
        </m:d>
      </m:oMath>
      <w:r>
        <w:t xml:space="preserve"> </w:t>
      </w:r>
      <w:r>
        <w:t xml:space="preserve">was observed at 665 nm where the control was</w:t>
      </w:r>
      <w:r>
        <w:t xml:space="preserve"> </w:t>
      </w:r>
      <m:oMath>
        <m:r>
          <m:t>0.95</m:t>
        </m:r>
        <m:r>
          <m:rPr>
            <m:sty m:val="p"/>
          </m:rPr>
          <m:t>×</m:t>
        </m:r>
        <m:sSup>
          <m:e>
            <m:r>
              <m:t>10</m:t>
            </m:r>
          </m:e>
          <m:sup>
            <m:r>
              <m:rPr>
                <m:sty m:val="p"/>
              </m:rPr>
              <m:t>−</m:t>
            </m:r>
            <m:r>
              <m:t>4</m:t>
            </m:r>
          </m:sup>
        </m:sSup>
      </m:oMath>
      <w:r>
        <w:t xml:space="preserve"> </w:t>
      </w:r>
      <w:r>
        <w:t xml:space="preserve">higher than the treatment groups (</w:t>
      </w:r>
      <w:hyperlink w:anchor="fig-Exp_Spectral_indices">
        <w:r>
          <w:rPr>
            <w:rStyle w:val="Hyperlink"/>
          </w:rPr>
          <w:t xml:space="preserve">Figure 6</w:t>
        </w:r>
      </w:hyperlink>
      <w:r>
        <w:t xml:space="preserve"> </w:t>
      </w:r>
      <w:r>
        <w:t xml:space="preserve">A).</w:t>
      </w:r>
    </w:p>
    <w:p>
      <w:pPr>
        <w:pStyle w:val="BodyText"/>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6</w:t>
        </w:r>
      </w:hyperlink>
      <w:r>
        <w:t xml:space="preserve"> </w:t>
      </w:r>
      <w:r>
        <w:t xml:space="preserve">B)</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SDI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6</w:t>
        </w:r>
      </w:hyperlink>
      <w:r>
        <w:t xml:space="preserve"> </w:t>
      </w:r>
      <w:r>
        <w:t xml:space="preserve">E).</w:t>
      </w:r>
    </w:p>
    <w:bookmarkStart w:id="76" w:name="cell-fig-Exp_Spectral_indices"/>
    <w:tbl>
      <w:tblPr>
        <w:tblStyle w:val="Table"/>
        <w:tblW w:type="pct" w:w="5000"/>
        <w:tblLayout w:type="fixed"/>
        <w:tblLook w:firstRow="0" w:lastRow="0" w:firstColumn="0" w:lastColumn="0" w:noHBand="0" w:noVBand="0" w:val="0000"/>
      </w:tblPr>
      <w:tblGrid>
        <w:gridCol w:w="7920"/>
      </w:tblGrid>
      <w:tr>
        <w:tc>
          <w:tcPr/>
          <w:bookmarkStart w:id="75" w:name="fig-Exp_Spectral_indices"/>
          <w:p>
            <w:pPr>
              <w:pStyle w:val="Compact"/>
              <w:jc w:val="center"/>
            </w:pPr>
            <w:r>
              <w:drawing>
                <wp:inline>
                  <wp:extent cx="5646420" cy="6970888"/>
                  <wp:effectExtent b="0" l="0" r="0" t="0"/>
                  <wp:docPr descr="" title="" id="73" name="Picture"/>
                  <a:graphic>
                    <a:graphicData uri="http://schemas.openxmlformats.org/drawingml/2006/picture">
                      <pic:pic>
                        <pic:nvPicPr>
                          <pic:cNvPr descr="Figs/Low_res/merged_indices.png" id="74" name="Picture"/>
                          <pic:cNvPicPr>
                            <a:picLocks noChangeArrowheads="1" noChangeAspect="1"/>
                          </pic:cNvPicPr>
                        </pic:nvPicPr>
                        <pic:blipFill>
                          <a:blip r:embed="rId72"/>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Absolute difference in the second derivative of hyperspectral signature at the end of the experiment (A), and relative difference of the second derivative at 665 nm (B), the NDVI (C), the GLI (D) and the SDI (E) between the Control and the Treatment over time. Points indicate raw data, the line represents a generalized linear model, and the shaded area the model’s standard error.</w:t>
            </w:r>
          </w:p>
          <w:bookmarkEnd w:id="75"/>
        </w:tc>
      </w:tr>
    </w:tbl>
    <w:bookmarkEnd w:id="76"/>
    <w:p>
      <w:pPr>
        <w:pStyle w:val="BodyText"/>
      </w:pPr>
      <w:r>
        <w:t xml:space="preserve">The SDI revealed clear distinctions between the Control and Treatment groups (</w:t>
      </w:r>
      <w:hyperlink w:anchor="fig-SDI_over_Time">
        <w:r>
          <w:rPr>
            <w:rStyle w:val="Hyperlink"/>
          </w:rPr>
          <w:t xml:space="preserve">Figure 7</w:t>
        </w:r>
      </w:hyperlink>
      <w:r>
        <w:t xml:space="preserve">). At day 1, the SDI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81" w:name="cell-fig-SDI_over_Time"/>
    <w:tbl>
      <w:tblPr>
        <w:tblStyle w:val="Table"/>
        <w:tblW w:type="pct" w:w="5000"/>
        <w:tblLayout w:type="fixed"/>
        <w:tblLook w:firstRow="0" w:lastRow="0" w:firstColumn="0" w:lastColumn="0" w:noHBand="0" w:noVBand="0" w:val="0000"/>
      </w:tblPr>
      <w:tblGrid>
        <w:gridCol w:w="7920"/>
      </w:tblGrid>
      <w:tr>
        <w:tc>
          <w:tcPr/>
          <w:bookmarkStart w:id="80" w:name="fig-SDI_over_Time"/>
          <w:p>
            <w:pPr>
              <w:pStyle w:val="Compact"/>
              <w:jc w:val="center"/>
            </w:pPr>
            <w:r>
              <w:drawing>
                <wp:inline>
                  <wp:extent cx="5646420" cy="3387852"/>
                  <wp:effectExtent b="0" l="0" r="0" t="0"/>
                  <wp:docPr descr="" title="" id="78" name="Picture"/>
                  <a:graphic>
                    <a:graphicData uri="http://schemas.openxmlformats.org/drawingml/2006/picture">
                      <pic:pic>
                        <pic:nvPicPr>
                          <pic:cNvPr descr="Figs/Low_res/SDI_exp_overtime.png" id="79" name="Picture"/>
                          <pic:cNvPicPr>
                            <a:picLocks noChangeArrowheads="1" noChangeAspect="1"/>
                          </pic:cNvPicPr>
                        </pic:nvPicPr>
                        <pic:blipFill>
                          <a:blip r:embed="rId77"/>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and standard deviation of the Seagrass Darkening Index (SDI) across expimental runs, at each day of the experiment. Tge green line shows values of the Control group while the golden line indicates values of the Treatment group.</w:t>
            </w:r>
          </w:p>
          <w:bookmarkEnd w:id="80"/>
        </w:tc>
      </w:tr>
    </w:tbl>
    <w:bookmarkEnd w:id="81"/>
    <w:bookmarkEnd w:id="82"/>
    <w:bookmarkEnd w:id="83"/>
    <w:bookmarkStart w:id="107" w:name="heatwaves-of-quiberon"/>
    <w:p>
      <w:pPr>
        <w:pStyle w:val="Heading2"/>
      </w:pPr>
      <w:r>
        <w:t xml:space="preserve">4.2 Heatwaves of Quiberon</w:t>
      </w:r>
    </w:p>
    <w:bookmarkStart w:id="89" w:name="spectral-inspection-1"/>
    <w:p>
      <w:pPr>
        <w:pStyle w:val="Heading3"/>
      </w:pPr>
      <w:r>
        <w:t xml:space="preserve">4.2.1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8</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8</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8</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8</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8</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88" w:name="cell-fig-S2_comparison"/>
    <w:tbl>
      <w:tblPr>
        <w:tblStyle w:val="Table"/>
        <w:tblW w:type="pct" w:w="5000"/>
        <w:tblLayout w:type="fixed"/>
        <w:tblLook w:firstRow="0" w:lastRow="0" w:firstColumn="0" w:lastColumn="0" w:noHBand="0" w:noVBand="0" w:val="0000"/>
      </w:tblPr>
      <w:tblGrid>
        <w:gridCol w:w="7920"/>
      </w:tblGrid>
      <w:tr>
        <w:tc>
          <w:tcPr/>
          <w:bookmarkStart w:id="87" w:name="fig-S2_comparison"/>
          <w:p>
            <w:pPr>
              <w:pStyle w:val="Compact"/>
              <w:jc w:val="center"/>
            </w:pPr>
            <w:r>
              <w:drawing>
                <wp:inline>
                  <wp:extent cx="5646420" cy="5392331"/>
                  <wp:effectExtent b="0" l="0" r="0" t="0"/>
                  <wp:docPr descr="" title="" id="85" name="Picture"/>
                  <a:graphic>
                    <a:graphicData uri="http://schemas.openxmlformats.org/drawingml/2006/picture">
                      <pic:pic>
                        <pic:nvPicPr>
                          <pic:cNvPr descr="Figs/Low_res/Heatwaves_S2_plot.png" id="86" name="Picture"/>
                          <pic:cNvPicPr>
                            <a:picLocks noChangeArrowheads="1" noChangeAspect="1"/>
                          </pic:cNvPicPr>
                        </pic:nvPicPr>
                        <pic:blipFill>
                          <a:blip r:embed="rId84"/>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87"/>
        </w:tc>
      </w:tr>
    </w:tbl>
    <w:bookmarkEnd w:id="88"/>
    <w:bookmarkEnd w:id="89"/>
    <w:bookmarkStart w:id="95" w:name="sentinel-2-derived-metrics-comparison"/>
    <w:p>
      <w:pPr>
        <w:pStyle w:val="Heading3"/>
      </w:pPr>
      <w:r>
        <w:t xml:space="preserve">4.2.2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9</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4</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9</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94" w:name="cell-fig-NDVI_GLI_SPC"/>
    <w:tbl>
      <w:tblPr>
        <w:tblStyle w:val="Table"/>
        <w:tblW w:type="pct" w:w="5000"/>
        <w:tblLayout w:type="fixed"/>
        <w:tblLook w:firstRow="0" w:lastRow="0" w:firstColumn="0" w:lastColumn="0" w:noHBand="0" w:noVBand="0" w:val="0000"/>
      </w:tblPr>
      <w:tblGrid>
        <w:gridCol w:w="7920"/>
      </w:tblGrid>
      <w:tr>
        <w:tc>
          <w:tcPr/>
          <w:bookmarkStart w:id="93" w:name="fig-NDVI_GLI_SPC"/>
          <w:p>
            <w:pPr>
              <w:pStyle w:val="Compact"/>
              <w:jc w:val="center"/>
            </w:pPr>
            <w:r>
              <w:drawing>
                <wp:inline>
                  <wp:extent cx="5646420" cy="5646420"/>
                  <wp:effectExtent b="0" l="0" r="0" t="0"/>
                  <wp:docPr descr="" title="" id="91" name="Picture"/>
                  <a:graphic>
                    <a:graphicData uri="http://schemas.openxmlformats.org/drawingml/2006/picture">
                      <pic:pic>
                        <pic:nvPicPr>
                          <pic:cNvPr descr="Figs/Low_res/Compares_Indices_S2.png" id="92" name="Picture"/>
                          <pic:cNvPicPr>
                            <a:picLocks noChangeArrowheads="1" noChangeAspect="1"/>
                          </pic:cNvPicPr>
                        </pic:nvPicPr>
                        <pic:blipFill>
                          <a:blip r:embed="rId90"/>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93"/>
        </w:tc>
      </w:tr>
    </w:tbl>
    <w:bookmarkEnd w:id="94"/>
    <w:bookmarkEnd w:id="95"/>
    <w:bookmarkStart w:id="106" w:name="mapping-of-the-seagrass-darkening"/>
    <w:p>
      <w:pPr>
        <w:pStyle w:val="Heading3"/>
      </w:pPr>
      <w:r>
        <w:t xml:space="preserve">4.2.3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10</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10</w:t>
        </w:r>
      </w:hyperlink>
      <w:r>
        <w:t xml:space="preserve">, A and B). One month later, on October 8th, areas that were previously darkened had regained their green color (</w:t>
      </w:r>
      <w:hyperlink w:anchor="fig-Map_darkening_Bathy">
        <w:r>
          <w:rPr>
            <w:rStyle w:val="Hyperlink"/>
          </w:rPr>
          <w:t xml:space="preserve">Figure 10</w:t>
        </w:r>
      </w:hyperlink>
      <w:r>
        <w:t xml:space="preserve">, C).</w:t>
      </w:r>
    </w:p>
    <w:bookmarkStart w:id="100" w:name="cell-fig-Map_darkening_Bathy"/>
    <w:tbl>
      <w:tblPr>
        <w:tblStyle w:val="Table"/>
        <w:tblW w:type="pct" w:w="5000"/>
        <w:tblLayout w:type="fixed"/>
        <w:tblLook w:firstRow="0" w:lastRow="0" w:firstColumn="0" w:lastColumn="0" w:noHBand="0" w:noVBand="0" w:val="0000"/>
      </w:tblPr>
      <w:tblGrid>
        <w:gridCol w:w="7920"/>
      </w:tblGrid>
      <w:tr>
        <w:tc>
          <w:tcPr/>
          <w:bookmarkStart w:id="99" w:name="fig-Map_darkening_Bathy"/>
          <w:p>
            <w:pPr>
              <w:pStyle w:val="Compact"/>
              <w:jc w:val="center"/>
            </w:pPr>
            <w:r>
              <w:drawing>
                <wp:inline>
                  <wp:extent cx="5646420" cy="3500780"/>
                  <wp:effectExtent b="0" l="0" r="0" t="0"/>
                  <wp:docPr descr="" title="" id="97" name="Picture"/>
                  <a:graphic>
                    <a:graphicData uri="http://schemas.openxmlformats.org/drawingml/2006/picture">
                      <pic:pic>
                        <pic:nvPicPr>
                          <pic:cNvPr descr="Figs/Low_res/Map_darkening_Bathy.png" id="98" name="Picture"/>
                          <pic:cNvPicPr>
                            <a:picLocks noChangeArrowheads="1" noChangeAspect="1"/>
                          </pic:cNvPicPr>
                        </pic:nvPicPr>
                        <pic:blipFill>
                          <a:blip r:embed="rId96"/>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99"/>
        </w:tc>
      </w:tr>
    </w:tbl>
    <w:bookmarkEnd w:id="100"/>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11</w:t>
        </w:r>
      </w:hyperlink>
      <w:r>
        <w:t xml:space="preserve">). During the heatwave, no significant darkening occurred with daily exposure less than 13 hours. However, above 13 hours, seagrasses began to darken, reaching peak darkening at around 14.5 hours of daily exposure.</w:t>
      </w:r>
    </w:p>
    <w:bookmarkStart w:id="105" w:name="cell-fig-GAM_Emersion"/>
    <w:tbl>
      <w:tblPr>
        <w:tblStyle w:val="Table"/>
        <w:tblW w:type="pct" w:w="5000"/>
        <w:tblLayout w:type="fixed"/>
        <w:tblLook w:firstRow="0" w:lastRow="0" w:firstColumn="0" w:lastColumn="0" w:noHBand="0" w:noVBand="0" w:val="0000"/>
      </w:tblPr>
      <w:tblGrid>
        <w:gridCol w:w="7920"/>
      </w:tblGrid>
      <w:tr>
        <w:tc>
          <w:tcPr/>
          <w:bookmarkStart w:id="104" w:name="fig-GAM_Emersion"/>
          <w:p>
            <w:pPr>
              <w:pStyle w:val="Compact"/>
              <w:jc w:val="center"/>
            </w:pPr>
            <w:r>
              <w:drawing>
                <wp:inline>
                  <wp:extent cx="5646420" cy="2823210"/>
                  <wp:effectExtent b="0" l="0" r="0" t="0"/>
                  <wp:docPr descr="" title="" id="102" name="Picture"/>
                  <a:graphic>
                    <a:graphicData uri="http://schemas.openxmlformats.org/drawingml/2006/picture">
                      <pic:pic>
                        <pic:nvPicPr>
                          <pic:cNvPr descr="Figs/Low_res/GAM_emersion.png" id="103" name="Picture"/>
                          <pic:cNvPicPr>
                            <a:picLocks noChangeArrowheads="1" noChangeAspect="1"/>
                          </pic:cNvPicPr>
                        </pic:nvPicPr>
                        <pic:blipFill>
                          <a:blip r:embed="rId10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04"/>
        </w:tc>
      </w:tr>
    </w:tbl>
    <w:bookmarkEnd w:id="105"/>
    <w:bookmarkEnd w:id="106"/>
    <w:bookmarkEnd w:id="107"/>
    <w:bookmarkEnd w:id="108"/>
    <w:bookmarkStart w:id="113" w:name="discussion"/>
    <w:p>
      <w:pPr>
        <w:pStyle w:val="Heading1"/>
      </w:pPr>
      <w:r>
        <w:t xml:space="preserve">5. Discussion</w:t>
      </w:r>
    </w:p>
    <w:bookmarkStart w:id="109"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6</w:t>
        </w:r>
      </w:hyperlink>
      <w:r>
        <w:t xml:space="preserve">). The second derivative at 665 nm (R’’665), NDVI, and GLI (</w:t>
      </w:r>
      <w:hyperlink w:anchor="fig-Exp_Spectral_indices">
        <w:r>
          <w:rPr>
            <w:rStyle w:val="Hyperlink"/>
          </w:rPr>
          <w:t xml:space="preserve">Figure 6</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6</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11</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09"/>
    <w:bookmarkStart w:id="110" w:name="climate-change-and-heatwaves"/>
    <w:p>
      <w:pPr>
        <w:pStyle w:val="Heading2"/>
      </w:pPr>
      <w:r>
        <w:t xml:space="preserve">5.2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0"/>
    <w:bookmarkStart w:id="111"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9</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4</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9</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1"/>
    <w:bookmarkStart w:id="112"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2"/>
    <w:bookmarkEnd w:id="113"/>
    <w:bookmarkStart w:id="114"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28" w:name="references"/>
    <w:p>
      <w:pPr>
        <w:pStyle w:val="Heading1"/>
      </w:pPr>
      <w:r>
        <w:t xml:space="preserve">8. References</w:t>
      </w:r>
    </w:p>
    <w:bookmarkStart w:id="227" w:name="refs"/>
    <w:bookmarkStart w:id="120"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0"/>
    <w:bookmarkStart w:id="121"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1"/>
    <w:bookmarkStart w:id="122"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2"/>
    <w:bookmarkStart w:id="124"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3">
        <w:r>
          <w:rPr>
            <w:rStyle w:val="Hyperlink"/>
          </w:rPr>
          <w:t xml:space="preserve">https://doi.org/10.3354/meps14588</w:t>
        </w:r>
      </w:hyperlink>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7" w:name="ref-JSSv100i05"/>
    <w:p>
      <w:pPr>
        <w:pStyle w:val="Bibliography"/>
      </w:pPr>
      <w:r>
        <w:t xml:space="preserve">Bürkner, P.-C., 2021. Bayesian item response modeling in r with brms and stan. Journal of Statistical Software 100, 1–54.</w:t>
      </w:r>
      <w:r>
        <w:t xml:space="preserve"> </w:t>
      </w:r>
      <w:hyperlink r:id="rId126">
        <w:r>
          <w:rPr>
            <w:rStyle w:val="Hyperlink"/>
          </w:rPr>
          <w:t xml:space="preserve">https://doi.org/10.18637/jss.v100.i05</w:t>
        </w:r>
      </w:hyperlink>
    </w:p>
    <w:bookmarkEnd w:id="127"/>
    <w:bookmarkStart w:id="128"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8"/>
    <w:bookmarkStart w:id="129"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9"/>
    <w:bookmarkStart w:id="130" w:name="ref-canadell2021ecosystem"/>
    <w:p>
      <w:pPr>
        <w:pStyle w:val="Bibliography"/>
      </w:pPr>
      <w:r>
        <w:t xml:space="preserve">Canadell, J.G., Jackson, R.B., 2021. Ecosystem collapse and climate change. Springer.</w:t>
      </w:r>
    </w:p>
    <w:bookmarkEnd w:id="130"/>
    <w:bookmarkStart w:id="132"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1">
        <w:r>
          <w:rPr>
            <w:rStyle w:val="Hyperlink"/>
          </w:rPr>
          <w:t xml:space="preserve">https://doi.org/10.18637/jss.v076.i01</w:t>
        </w:r>
      </w:hyperlink>
    </w:p>
    <w:bookmarkEnd w:id="132"/>
    <w:bookmarkStart w:id="134"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3">
        <w:r>
          <w:rPr>
            <w:rStyle w:val="Hyperlink"/>
          </w:rPr>
          <w:t xml:space="preserve">https://doi.org/10.48670/moi-00311</w:t>
        </w:r>
      </w:hyperlink>
    </w:p>
    <w:bookmarkEnd w:id="134"/>
    <w:bookmarkStart w:id="136"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5">
        <w:r>
          <w:rPr>
            <w:rStyle w:val="Hyperlink"/>
          </w:rPr>
          <w:t xml:space="preserve">https://doi.org/10.1007/s11099-007-0084-3</w:t>
        </w:r>
      </w:hyperlink>
    </w:p>
    <w:bookmarkEnd w:id="136"/>
    <w:bookmarkStart w:id="137"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7"/>
    <w:bookmarkStart w:id="139"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8">
        <w:r>
          <w:rPr>
            <w:rStyle w:val="Hyperlink"/>
          </w:rPr>
          <w:t xml:space="preserve">https://doi.org/10.1038/s43247-024-01543-z</w:t>
        </w:r>
      </w:hyperlink>
    </w:p>
    <w:bookmarkEnd w:id="139"/>
    <w:bookmarkStart w:id="141"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0">
        <w:r>
          <w:rPr>
            <w:rStyle w:val="Hyperlink"/>
          </w:rPr>
          <w:t xml:space="preserve">https://doi.org/10.1016/j.rse.2024.114340</w:t>
        </w:r>
      </w:hyperlink>
    </w:p>
    <w:bookmarkEnd w:id="141"/>
    <w:bookmarkStart w:id="142"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2"/>
    <w:bookmarkStart w:id="143" w:name="ref-deguette2022physiological"/>
    <w:p>
      <w:pPr>
        <w:pStyle w:val="Bibliography"/>
      </w:pPr>
      <w:r>
        <w:t xml:space="preserve">Deguette, A., Barrote, I., Silva, J., 2022. Physiological and morphological effects of a marine heatwave on the seagrass cymodocea nodosa. Scientific Reports 12, 7950.</w:t>
      </w:r>
    </w:p>
    <w:bookmarkEnd w:id="143"/>
    <w:bookmarkStart w:id="144" w:name="ref-devi2024intensity"/>
    <w:p>
      <w:pPr>
        <w:pStyle w:val="Bibliography"/>
      </w:pPr>
      <w:r>
        <w:t xml:space="preserve">Devi, R., Gouda, K., Lenka, S., 2024. Intensity duration and frequency of heat wave in different phases of MJO over india. Atmospheric Research 300, 107250.</w:t>
      </w:r>
    </w:p>
    <w:bookmarkEnd w:id="144"/>
    <w:bookmarkStart w:id="145" w:name="ref-douay2022new"/>
    <w:p>
      <w:pPr>
        <w:pStyle w:val="Bibliography"/>
      </w:pPr>
      <w:r>
        <w:t xml:space="preserve">Douay, F., Verpoorter, C., Duong, G., Spilmont, N., Gevaert, F., 2022. New hyperspectral procedure to discriminate intertidal macroalgae. Remote Sensing 14, 346.</w:t>
      </w:r>
    </w:p>
    <w:bookmarkEnd w:id="145"/>
    <w:bookmarkStart w:id="147" w:name="ref-electricblue_intertidal_chamber"/>
    <w:p>
      <w:pPr>
        <w:pStyle w:val="Bibliography"/>
      </w:pPr>
      <w:r>
        <w:t xml:space="preserve">Electric Blue, 2023.</w:t>
      </w:r>
      <w:r>
        <w:t xml:space="preserve"> </w:t>
      </w:r>
      <w:hyperlink r:id="rId146">
        <w:r>
          <w:rPr>
            <w:rStyle w:val="Hyperlink"/>
          </w:rPr>
          <w:t xml:space="preserve">Intertidal chamber</w:t>
        </w:r>
      </w:hyperlink>
      <w:r>
        <w:t xml:space="preserve">.</w:t>
      </w:r>
    </w:p>
    <w:bookmarkEnd w:id="147"/>
    <w:bookmarkStart w:id="148" w:name="ref-sen2cor"/>
    <w:p>
      <w:pPr>
        <w:pStyle w:val="Bibliography"/>
      </w:pPr>
      <w:r>
        <w:t xml:space="preserve">European Space Agency, 2024b. Sen2Cor: Sentinel-2 atmospheric correction processor.</w:t>
      </w:r>
    </w:p>
    <w:bookmarkEnd w:id="148"/>
    <w:bookmarkStart w:id="149" w:name="ref-copernicus_sentinel2"/>
    <w:p>
      <w:pPr>
        <w:pStyle w:val="Bibliography"/>
      </w:pPr>
      <w:r>
        <w:t xml:space="preserve">European Space Agency, 2024a. Copernicus open access hub.</w:t>
      </w:r>
    </w:p>
    <w:bookmarkEnd w:id="149"/>
    <w:bookmarkStart w:id="150"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0"/>
    <w:bookmarkStart w:id="15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1"/>
    <w:bookmarkStart w:id="152"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2"/>
    <w:bookmarkStart w:id="153"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3"/>
    <w:bookmarkStart w:id="154" w:name="ref-gardner2018global"/>
    <w:p>
      <w:pPr>
        <w:pStyle w:val="Bibliography"/>
      </w:pPr>
      <w:r>
        <w:t xml:space="preserve">Gardner, R.C., Finlayson, C., 2018. Global wetland outlook: State of the world’s wetlands and their services to people, in: Ramsar Convention Secretariat. pp. 2020–5.</w:t>
      </w:r>
    </w:p>
    <w:bookmarkEnd w:id="154"/>
    <w:bookmarkStart w:id="155"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5"/>
    <w:bookmarkStart w:id="157"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6">
        <w:r>
          <w:rPr>
            <w:rStyle w:val="Hyperlink"/>
          </w:rPr>
          <w:t xml:space="preserve">https://doi.org/10.1002/aqc.4210</w:t>
        </w:r>
      </w:hyperlink>
    </w:p>
    <w:bookmarkEnd w:id="157"/>
    <w:bookmarkStart w:id="158"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8"/>
    <w:bookmarkStart w:id="159"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9"/>
    <w:bookmarkStart w:id="161"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0">
        <w:r>
          <w:rPr>
            <w:rStyle w:val="Hyperlink"/>
          </w:rPr>
          <w:t xml:space="preserve">https://doi.org/10.1073/pnas.0402642101</w:t>
        </w:r>
      </w:hyperlink>
    </w:p>
    <w:bookmarkEnd w:id="161"/>
    <w:bookmarkStart w:id="163" w:name="ref-ioc_sea_level_lecy"/>
    <w:p>
      <w:pPr>
        <w:pStyle w:val="Bibliography"/>
      </w:pPr>
      <w:r>
        <w:t xml:space="preserve">IOC, 2024.</w:t>
      </w:r>
      <w:r>
        <w:t xml:space="preserve"> </w:t>
      </w:r>
      <w:hyperlink r:id="rId162">
        <w:r>
          <w:rPr>
            <w:rStyle w:val="Hyperlink"/>
          </w:rPr>
          <w:t xml:space="preserve">Intergovernmental oceanographic commission ; sea level monitoring station - le conquet, france (LECY)</w:t>
        </w:r>
      </w:hyperlink>
      <w:r>
        <w:t xml:space="preserve">.</w:t>
      </w:r>
    </w:p>
    <w:bookmarkEnd w:id="163"/>
    <w:bookmarkStart w:id="164"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4"/>
    <w:bookmarkStart w:id="166"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5">
        <w:r>
          <w:rPr>
            <w:rStyle w:val="Hyperlink"/>
          </w:rPr>
          <w:t xml:space="preserve">https://doi.org/10.1016/S0304-4238(05)80016-0</w:t>
        </w:r>
      </w:hyperlink>
    </w:p>
    <w:bookmarkEnd w:id="166"/>
    <w:bookmarkStart w:id="168"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7">
        <w:r>
          <w:rPr>
            <w:rStyle w:val="Hyperlink"/>
          </w:rPr>
          <w:t xml:space="preserve">https://doi.org/10.1016/S0034-4257(70)80021-9</w:t>
        </w:r>
      </w:hyperlink>
    </w:p>
    <w:bookmarkEnd w:id="168"/>
    <w:bookmarkStart w:id="169" w:name="ref-hsdar"/>
    <w:p>
      <w:pPr>
        <w:pStyle w:val="Bibliography"/>
      </w:pPr>
      <w:r>
        <w:t xml:space="preserve">Lehnert, L.W., Meyer, H., Bendix, J., 2017. Hsdar: Manage, analyse and simulate hyperspectral data in r.</w:t>
      </w:r>
    </w:p>
    <w:bookmarkEnd w:id="169"/>
    <w:bookmarkStart w:id="170" w:name="ref-loarie2009velocity"/>
    <w:p>
      <w:pPr>
        <w:pStyle w:val="Bibliography"/>
      </w:pPr>
      <w:r>
        <w:t xml:space="preserve">Loarie, S.R., Duffy, P.B., Hamilton, H., Asner, G.P., Field, C.B., Ackerly, D.D., 2009. The velocity of climate change. Nature 462, 1052–1055.</w:t>
      </w:r>
    </w:p>
    <w:bookmarkEnd w:id="170"/>
    <w:bookmarkStart w:id="171"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1"/>
    <w:bookmarkStart w:id="173" w:name="ref-malvern_panalytical_rs3"/>
    <w:p>
      <w:pPr>
        <w:pStyle w:val="Bibliography"/>
      </w:pPr>
      <w:r>
        <w:t xml:space="preserve">Malvern Panalytical, 2023.</w:t>
      </w:r>
      <w:r>
        <w:t xml:space="preserve"> </w:t>
      </w:r>
      <w:hyperlink r:id="rId172">
        <w:r>
          <w:rPr>
            <w:rStyle w:val="Hyperlink"/>
          </w:rPr>
          <w:t xml:space="preserve">RS3 software</w:t>
        </w:r>
      </w:hyperlink>
      <w:r>
        <w:t xml:space="preserve">.</w:t>
      </w:r>
    </w:p>
    <w:bookmarkEnd w:id="173"/>
    <w:bookmarkStart w:id="174"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4"/>
    <w:bookmarkStart w:id="175"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5"/>
    <w:bookmarkStart w:id="177"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6">
        <w:r>
          <w:rPr>
            <w:rStyle w:val="Hyperlink"/>
          </w:rPr>
          <w:t xml:space="preserve">https://doi.org/10.1038/s41598-019-50643-w</w:t>
        </w:r>
      </w:hyperlink>
    </w:p>
    <w:bookmarkEnd w:id="177"/>
    <w:bookmarkStart w:id="178"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8"/>
    <w:bookmarkStart w:id="180"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79">
        <w:r>
          <w:rPr>
            <w:rStyle w:val="Hyperlink"/>
          </w:rPr>
          <w:t xml:space="preserve">https://doi.org/10.3390/rs16234383</w:t>
        </w:r>
      </w:hyperlink>
    </w:p>
    <w:bookmarkEnd w:id="180"/>
    <w:bookmarkStart w:id="18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1">
        <w:r>
          <w:rPr>
            <w:rStyle w:val="Hyperlink"/>
          </w:rPr>
          <w:t xml:space="preserve">https://doi.org/10.3389/fmars.2019.00734</w:t>
        </w:r>
      </w:hyperlink>
    </w:p>
    <w:bookmarkEnd w:id="182"/>
    <w:bookmarkStart w:id="183"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3"/>
    <w:bookmarkStart w:id="18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4">
        <w:r>
          <w:rPr>
            <w:rStyle w:val="Hyperlink"/>
          </w:rPr>
          <w:t xml:space="preserve">https://doi.org/10.1111/gcb.14282</w:t>
        </w:r>
      </w:hyperlink>
    </w:p>
    <w:bookmarkEnd w:id="185"/>
    <w:bookmarkStart w:id="186"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6"/>
    <w:bookmarkStart w:id="187" w:name="ref-perkins2013measurement"/>
    <w:p>
      <w:pPr>
        <w:pStyle w:val="Bibliography"/>
      </w:pPr>
      <w:r>
        <w:t xml:space="preserve">Perkins, S.E., Alexander, L.V., 2013. On the measurement of heat waves. Journal of climate 26, 4500–4517.</w:t>
      </w:r>
    </w:p>
    <w:bookmarkEnd w:id="187"/>
    <w:bookmarkStart w:id="189" w:name="ref-Rbase"/>
    <w:p>
      <w:pPr>
        <w:pStyle w:val="Bibliography"/>
      </w:pPr>
      <w:r>
        <w:t xml:space="preserve">R Core Team, 2023.</w:t>
      </w:r>
      <w:r>
        <w:t xml:space="preserve"> </w:t>
      </w:r>
      <w:hyperlink r:id="rId188">
        <w:r>
          <w:rPr>
            <w:rStyle w:val="Hyperlink"/>
          </w:rPr>
          <w:t xml:space="preserve">R: A language and environment for statistical computing</w:t>
        </w:r>
      </w:hyperlink>
      <w:r>
        <w:t xml:space="preserve">. R Foundation for Statistical Computing, Vienna, Austria.</w:t>
      </w:r>
    </w:p>
    <w:bookmarkEnd w:id="189"/>
    <w:bookmarkStart w:id="190" w:name="ref-ramesh2020seagrass"/>
    <w:p>
      <w:pPr>
        <w:pStyle w:val="Bibliography"/>
      </w:pPr>
      <w:r>
        <w:t xml:space="preserve">Ramesh, C., Mohanraju, R., 2020. Seagrass ecosystems of andaman and nicobar islands: Status and future perspective. Environmental &amp; Earth Sciences Research Journal 7.</w:t>
      </w:r>
    </w:p>
    <w:bookmarkEnd w:id="190"/>
    <w:bookmarkStart w:id="192"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1">
        <w:r>
          <w:rPr>
            <w:rStyle w:val="Hyperlink"/>
          </w:rPr>
          <w:t xml:space="preserve">https://doi.org/10.1073/pnas.0500008102</w:t>
        </w:r>
      </w:hyperlink>
    </w:p>
    <w:bookmarkEnd w:id="192"/>
    <w:bookmarkStart w:id="193" w:name="ref-roman2021using"/>
    <w:p>
      <w:pPr>
        <w:pStyle w:val="Bibliography"/>
      </w:pPr>
      <w:r>
        <w:t xml:space="preserve">Román, A., Tovar-Sánchez, A., Olivé, I., Navarro, G., 2021. Using a UAV-mounted multispectral camera for the monitoring of marine macrophytes. Frontiers in Marine Science 8, 722698.</w:t>
      </w:r>
    </w:p>
    <w:bookmarkEnd w:id="193"/>
    <w:bookmarkStart w:id="194" w:name="ref-rouse1974monitoring"/>
    <w:p>
      <w:pPr>
        <w:pStyle w:val="Bibliography"/>
      </w:pPr>
      <w:r>
        <w:t xml:space="preserve">Rouse, J.W., Haas, R.H., Schell, J.A., Deering, D.W., others, 1974. Monitoring vegetation systems in the great plains with ERTS. NASA Spec. Publ 351, 309.</w:t>
      </w:r>
    </w:p>
    <w:bookmarkEnd w:id="194"/>
    <w:bookmarkStart w:id="196"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5">
        <w:r>
          <w:rPr>
            <w:rStyle w:val="Hyperlink"/>
          </w:rPr>
          <w:t xml:space="preserve">https://doi.org/10.1029/2023GL103540</w:t>
        </w:r>
      </w:hyperlink>
    </w:p>
    <w:bookmarkEnd w:id="196"/>
    <w:bookmarkStart w:id="197"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7"/>
    <w:bookmarkStart w:id="198"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8"/>
    <w:bookmarkStart w:id="200"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9">
        <w:r>
          <w:rPr>
            <w:rStyle w:val="Hyperlink"/>
          </w:rPr>
          <w:t xml:space="preserve">https://doi.org/10.21105/joss.00821</w:t>
        </w:r>
      </w:hyperlink>
    </w:p>
    <w:bookmarkEnd w:id="200"/>
    <w:bookmarkStart w:id="201"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1"/>
    <w:bookmarkStart w:id="202"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2"/>
    <w:bookmarkStart w:id="204" w:name="ref-shom_ram_2022"/>
    <w:p>
      <w:pPr>
        <w:pStyle w:val="Bibliography"/>
      </w:pPr>
      <w:r>
        <w:t xml:space="preserve">Shom, 2022.</w:t>
      </w:r>
      <w:r>
        <w:t xml:space="preserve"> </w:t>
      </w:r>
      <w:hyperlink r:id="rId20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4"/>
    <w:bookmarkStart w:id="206" w:name="Xbef41143b4d4042e58f11cfc27e216202646012"/>
    <w:p>
      <w:pPr>
        <w:pStyle w:val="Bibliography"/>
      </w:pPr>
      <w:r>
        <w:t xml:space="preserve">SHOM, 2021.</w:t>
      </w:r>
      <w:r>
        <w:t xml:space="preserve"> </w:t>
      </w:r>
      <w:hyperlink r:id="rId205">
        <w:r>
          <w:rPr>
            <w:rStyle w:val="Hyperlink"/>
          </w:rPr>
          <w:t xml:space="preserve">Service hydrographique et océanographique de la marine ; bathymétrie Litto3D® bretagne 2018-2021</w:t>
        </w:r>
      </w:hyperlink>
      <w:r>
        <w:t xml:space="preserve">.</w:t>
      </w:r>
    </w:p>
    <w:bookmarkEnd w:id="206"/>
    <w:bookmarkStart w:id="208" w:name="ref-simolo2022quantifying"/>
    <w:p>
      <w:pPr>
        <w:pStyle w:val="Bibliography"/>
      </w:pPr>
      <w:r>
        <w:t xml:space="preserve">Simolo, C., Corti, S., 2022. Quantifying the role of variability in future intensification of heat extremes. Nature Communications 13.</w:t>
      </w:r>
      <w:r>
        <w:t xml:space="preserve"> </w:t>
      </w:r>
      <w:hyperlink r:id="rId207">
        <w:r>
          <w:rPr>
            <w:rStyle w:val="Hyperlink"/>
          </w:rPr>
          <w:t xml:space="preserve">https://doi.org/10.1038/s41467-022-35571-0</w:t>
        </w:r>
      </w:hyperlink>
    </w:p>
    <w:bookmarkEnd w:id="208"/>
    <w:bookmarkStart w:id="209"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9"/>
    <w:bookmarkStart w:id="211"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0">
        <w:r>
          <w:rPr>
            <w:rStyle w:val="Hyperlink"/>
          </w:rPr>
          <w:t xml:space="preserve">https://doi.org/10.1038/s41558-019-0412-1</w:t>
        </w:r>
      </w:hyperlink>
    </w:p>
    <w:bookmarkEnd w:id="211"/>
    <w:bookmarkStart w:id="212"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2"/>
    <w:bookmarkStart w:id="213" w:name="ref-stan2020rstan"/>
    <w:p>
      <w:pPr>
        <w:pStyle w:val="Bibliography"/>
      </w:pPr>
      <w:r>
        <w:t xml:space="preserve">Stan Development Team, C., others, 2020. RStan: The r interface to stan. R package version 2.21. 2.</w:t>
      </w:r>
    </w:p>
    <w:bookmarkEnd w:id="213"/>
    <w:bookmarkStart w:id="215"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4">
        <w:r>
          <w:rPr>
            <w:rStyle w:val="Hyperlink"/>
          </w:rPr>
          <w:t xml:space="preserve">https://doi.org/10.1152/physiol.00040.2018</w:t>
        </w:r>
      </w:hyperlink>
    </w:p>
    <w:bookmarkEnd w:id="215"/>
    <w:bookmarkStart w:id="216"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6"/>
    <w:bookmarkStart w:id="217" w:name="ref-unsworth2014biodiversity"/>
    <w:p>
      <w:pPr>
        <w:pStyle w:val="Bibliography"/>
      </w:pPr>
      <w:r>
        <w:t xml:space="preserve">Unsworth, R., Cullen-Unsworth, L.C., 2014. Biodiversity, ecosystem services, and the conservation of seagrass meadows. Coast. Conserv 19, 95.</w:t>
      </w:r>
    </w:p>
    <w:bookmarkEnd w:id="217"/>
    <w:bookmarkStart w:id="218" w:name="ref-unsworth2022planetary"/>
    <w:p>
      <w:pPr>
        <w:pStyle w:val="Bibliography"/>
      </w:pPr>
      <w:r>
        <w:t xml:space="preserve">Unsworth, R.K., Cullen-Unsworth, L.C., Jones, B.L., Lilley, R.J., 2022. The planetary role of seagrass conservation. Science 377, 609–613.</w:t>
      </w:r>
    </w:p>
    <w:bookmarkEnd w:id="218"/>
    <w:bookmarkStart w:id="219"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9"/>
    <w:bookmarkStart w:id="22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0"/>
    <w:bookmarkStart w:id="22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1"/>
    <w:bookmarkStart w:id="222" w:name="ref-zahoor2023water"/>
    <w:p>
      <w:pPr>
        <w:pStyle w:val="Bibliography"/>
      </w:pPr>
      <w:r>
        <w:t xml:space="preserve">Zahoor, I., Mushtaq, A., 2023. Water pollution from agricultural activities: A critical global review. Int. J. Chem. Biochem. Sci 23, 164–176.</w:t>
      </w:r>
    </w:p>
    <w:bookmarkEnd w:id="222"/>
    <w:bookmarkStart w:id="223"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3"/>
    <w:bookmarkStart w:id="22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4">
        <w:r>
          <w:rPr>
            <w:rStyle w:val="Hyperlink"/>
          </w:rPr>
          <w:t xml:space="preserve">https://doi.org/10.1002/rse2.319</w:t>
        </w:r>
      </w:hyperlink>
    </w:p>
    <w:bookmarkEnd w:id="225"/>
    <w:bookmarkStart w:id="22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6"/>
    <w:bookmarkEnd w:id="227"/>
    <w:bookmarkEnd w:id="228"/>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w:t>
      </w:r>
      <w:r>
        <w:t xml:space="preserve"> </w:t>
      </w:r>
      <w:r>
        <w:t xml:space="preserve">des</w:t>
      </w:r>
      <w:r>
        <w:t xml:space="preserve"> </w:t>
      </w:r>
      <w:r>
        <w:t xml:space="preserve">Substances</w:t>
      </w:r>
      <w:r>
        <w:t xml:space="preserve"> </w:t>
      </w:r>
      <w:r>
        <w:t xml:space="preserve">et</w:t>
      </w:r>
      <w:r>
        <w:t xml:space="preserve"> </w:t>
      </w:r>
      <w:r>
        <w:t xml:space="preserve">Organismes</w:t>
      </w:r>
      <w:r>
        <w:t xml:space="preserve"> </w:t>
      </w:r>
      <w:r>
        <w:t xml:space="preserve">de</w:t>
      </w:r>
      <w:r>
        <w:t xml:space="preserve"> </w:t>
      </w:r>
      <w:r>
        <w:t xml:space="preserve">la</w:t>
      </w:r>
      <w:r>
        <w:t xml:space="preserve"> </w:t>
      </w:r>
      <w:r>
        <w:t xml:space="preserve">Mer,</w:t>
      </w:r>
      <w:r>
        <w:t xml:space="preserve"> </w:t>
      </w:r>
      <w:r>
        <w:t xml:space="preserve">ISOMer,</w:t>
      </w:r>
      <w:r>
        <w:t xml:space="preserve"> </w:t>
      </w:r>
      <w:r>
        <w:t xml:space="preserve">Nantes</w:t>
      </w:r>
      <w:r>
        <w:t xml:space="preserve"> </w:t>
      </w:r>
      <w:r>
        <w:t xml:space="preserve">Université,</w:t>
      </w:r>
      <w:r>
        <w:t xml:space="preserve"> </w:t>
      </w:r>
      <w:r>
        <w:t xml:space="preserve">UR</w:t>
      </w:r>
      <w:r>
        <w:t xml:space="preserve"> </w:t>
      </w:r>
      <w:r>
        <w:t xml:space="preserve">2160,</w:t>
      </w:r>
      <w:r>
        <w:t xml:space="preserve"> </w:t>
      </w:r>
      <w:r>
        <w:t xml:space="preserve">F-44000</w:t>
      </w:r>
      <w:r>
        <w:t xml:space="preserve"> </w:t>
      </w:r>
      <w:r>
        <w:t xml:space="preserve">Nantes,</w:t>
      </w:r>
      <w:r>
        <w:t xml:space="preserve"> </w:t>
      </w:r>
      <w:r>
        <w:t xml:space="preserve">France</w:t>
      </w:r>
    </w:p>
  </w:footnote>
  <w:footnote w:id="21">
    <w:p>
      <w:pPr>
        <w:pStyle w:val="FootnoteText"/>
      </w:pPr>
      <w:r>
        <w:rPr>
          <w:rStyle w:val="FootnoteReference"/>
        </w:rPr>
        <w:footnoteRef/>
      </w:r>
      <w:r>
        <w:t xml:space="preserve"> </w:t>
      </w:r>
      <w:r>
        <w:t xml:space="preserve">Consiglio</w:t>
      </w:r>
      <w:r>
        <w:t xml:space="preserve"> </w:t>
      </w:r>
      <w:r>
        <w:t xml:space="preserve">Nazionale</w:t>
      </w:r>
      <w:r>
        <w:t xml:space="preserve"> </w:t>
      </w:r>
      <w:r>
        <w:t xml:space="preserve">delle</w:t>
      </w:r>
      <w:r>
        <w:t xml:space="preserve"> </w:t>
      </w:r>
      <w:r>
        <w:t xml:space="preserve">Ricerche,</w:t>
      </w:r>
      <w:r>
        <w:t xml:space="preserve"> </w:t>
      </w:r>
      <w:r>
        <w:t xml:space="preserve">Istituto</w:t>
      </w:r>
      <w:r>
        <w:t xml:space="preserve"> </w:t>
      </w:r>
      <w:r>
        <w:t xml:space="preserve">di</w:t>
      </w:r>
      <w:r>
        <w:t xml:space="preserve"> </w:t>
      </w:r>
      <w:r>
        <w:t xml:space="preserve">Scienze</w:t>
      </w:r>
      <w:r>
        <w:t xml:space="preserve"> </w:t>
      </w:r>
      <w:r>
        <w:t xml:space="preserve">Marine</w:t>
      </w:r>
      <w:r>
        <w:t xml:space="preserve"> </w:t>
      </w:r>
      <w:r>
        <w:t xml:space="preserve">(CNR-ISMAR),</w:t>
      </w:r>
      <w:r>
        <w:t xml:space="preserve"> </w:t>
      </w:r>
      <w:r>
        <w:t xml:space="preserve">00133</w:t>
      </w:r>
      <w:r>
        <w:t xml:space="preserve"> </w:t>
      </w:r>
      <w:r>
        <w:t xml:space="preserve">Rome,</w:t>
      </w:r>
      <w:r>
        <w:t xml:space="preserve"> </w:t>
      </w:r>
      <w:r>
        <w:t xml:space="preserve">Italy</w:t>
      </w:r>
    </w:p>
  </w:footnote>
  <w:footnote w:id="22">
    <w:p>
      <w:pPr>
        <w:pStyle w:val="FootnoteText"/>
      </w:pPr>
      <w:r>
        <w:rPr>
          <w:rStyle w:val="FootnoteReference"/>
        </w:rPr>
        <w:footnoteRef/>
      </w:r>
      <w:r>
        <w:t xml:space="preserve"> </w:t>
      </w:r>
      <w:r>
        <w:t xml:space="preserve">Bio-littoral,</w:t>
      </w:r>
      <w:r>
        <w:t xml:space="preserve"> </w:t>
      </w:r>
      <w:r>
        <w:t xml:space="preserve">Immeuble</w:t>
      </w:r>
      <w:r>
        <w:t xml:space="preserve"> </w:t>
      </w:r>
      <w:r>
        <w:t xml:space="preserve">Le</w:t>
      </w:r>
      <w:r>
        <w:t xml:space="preserve"> </w:t>
      </w:r>
      <w:r>
        <w:t xml:space="preserve">Nevada,</w:t>
      </w:r>
      <w:r>
        <w:t xml:space="preserve"> </w:t>
      </w:r>
      <w:r>
        <w:t xml:space="preserve">2</w:t>
      </w:r>
      <w:r>
        <w:t xml:space="preserve"> </w:t>
      </w:r>
      <w:r>
        <w:t xml:space="preserve">Rue</w:t>
      </w:r>
      <w:r>
        <w:t xml:space="preserve"> </w:t>
      </w:r>
      <w:r>
        <w:t xml:space="preserve">du</w:t>
      </w:r>
      <w:r>
        <w:t xml:space="preserve"> </w:t>
      </w:r>
      <w:r>
        <w:t xml:space="preserve">Château</w:t>
      </w:r>
      <w:r>
        <w:t xml:space="preserve"> </w:t>
      </w:r>
      <w:r>
        <w:t xml:space="preserve">de</w:t>
      </w:r>
      <w:r>
        <w:t xml:space="preserve"> </w:t>
      </w:r>
      <w:r>
        <w:t xml:space="preserve">l’Eraudière,</w:t>
      </w:r>
      <w:r>
        <w:t xml:space="preserve"> </w:t>
      </w:r>
      <w:r>
        <w:t xml:space="preserve">44300</w:t>
      </w:r>
      <w:r>
        <w:t xml:space="preserve"> </w:t>
      </w:r>
      <w:r>
        <w:t xml:space="preserve">Nantes,</w:t>
      </w:r>
      <w:r>
        <w:t xml:space="preserve"> </w:t>
      </w:r>
      <w:r>
        <w:t xml:space="preserve">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90" Target="media/rId90.png" /><Relationship Type="http://schemas.openxmlformats.org/officeDocument/2006/relationships/image" Id="rId25" Target="media/rId25.png" /><Relationship Type="http://schemas.openxmlformats.org/officeDocument/2006/relationships/image" Id="rId101" Target="media/rId101.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44" Target="media/rId44.png"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hyperlink" Id="rId203" Target="https://diffusion.shom.fr/references-altimetriques-maritimes-ram.html" TargetMode="External" /><Relationship Type="http://schemas.openxmlformats.org/officeDocument/2006/relationships/hyperlink" Id="rId156" Target="https://doi.org/10.1002/aqc.4210" TargetMode="External" /><Relationship Type="http://schemas.openxmlformats.org/officeDocument/2006/relationships/hyperlink" Id="rId224"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7" Target="https://doi.org/10.1016/S0034-4257(70)80021-9" TargetMode="External" /><Relationship Type="http://schemas.openxmlformats.org/officeDocument/2006/relationships/hyperlink" Id="rId165" Target="https://doi.org/10.1016/S0304-4238(05)80016-0" TargetMode="External" /><Relationship Type="http://schemas.openxmlformats.org/officeDocument/2006/relationships/hyperlink" Id="rId140" Target="https://doi.org/10.1016/j.rse.2024.114340" TargetMode="External" /><Relationship Type="http://schemas.openxmlformats.org/officeDocument/2006/relationships/hyperlink" Id="rId195" Target="https://doi.org/10.1029/2023GL103540" TargetMode="External" /><Relationship Type="http://schemas.openxmlformats.org/officeDocument/2006/relationships/hyperlink" Id="rId207" Target="https://doi.org/10.1038/s41467-022-35571-0" TargetMode="External" /><Relationship Type="http://schemas.openxmlformats.org/officeDocument/2006/relationships/hyperlink" Id="rId210" Target="https://doi.org/10.1038/s41558-019-0412-1" TargetMode="External" /><Relationship Type="http://schemas.openxmlformats.org/officeDocument/2006/relationships/hyperlink" Id="rId176" Target="https://doi.org/10.1038/s41598-019-50643-w" TargetMode="External" /><Relationship Type="http://schemas.openxmlformats.org/officeDocument/2006/relationships/hyperlink" Id="rId138" Target="https://doi.org/10.1038/s43247-024-01543-z" TargetMode="External" /><Relationship Type="http://schemas.openxmlformats.org/officeDocument/2006/relationships/hyperlink" Id="rId160" Target="https://doi.org/10.1073/pnas.0402642101" TargetMode="External" /><Relationship Type="http://schemas.openxmlformats.org/officeDocument/2006/relationships/hyperlink" Id="rId191" Target="https://doi.org/10.1073/pnas.0500008102" TargetMode="External" /><Relationship Type="http://schemas.openxmlformats.org/officeDocument/2006/relationships/hyperlink" Id="rId184" Target="https://doi.org/10.1111/gcb.14282" TargetMode="External" /><Relationship Type="http://schemas.openxmlformats.org/officeDocument/2006/relationships/hyperlink" Id="rId214" Target="https://doi.org/10.1152/physiol.00040.2018" TargetMode="External" /><Relationship Type="http://schemas.openxmlformats.org/officeDocument/2006/relationships/hyperlink" Id="rId131"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9"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1" Target="https://doi.org/10.3389/fmars.2019.00734" TargetMode="External" /><Relationship Type="http://schemas.openxmlformats.org/officeDocument/2006/relationships/hyperlink" Id="rId179" Target="https://doi.org/10.3390/rs16234383" TargetMode="External" /><Relationship Type="http://schemas.openxmlformats.org/officeDocument/2006/relationships/hyperlink" Id="rId133"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55" Target="https://github.com/SigOiry/HeatWave_Seagrasses/blob/main/Scripts/MeteoFrance_Extraction.qmd"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88" Target="https://www.R-project.org/" TargetMode="External" /><Relationship Type="http://schemas.openxmlformats.org/officeDocument/2006/relationships/hyperlink" Id="rId162" Target="https://www.ioc-sealevelmonitoring.org/station.php?code=lecy" TargetMode="External" /><Relationship Type="http://schemas.openxmlformats.org/officeDocument/2006/relationships/hyperlink" Id="rId172"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3" Target="https://diffusion.shom.fr/references-altimetriques-maritimes-ram.html" TargetMode="External" /><Relationship Type="http://schemas.openxmlformats.org/officeDocument/2006/relationships/hyperlink" Id="rId156" Target="https://doi.org/10.1002/aqc.4210" TargetMode="External" /><Relationship Type="http://schemas.openxmlformats.org/officeDocument/2006/relationships/hyperlink" Id="rId224"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7" Target="https://doi.org/10.1016/S0034-4257(70)80021-9" TargetMode="External" /><Relationship Type="http://schemas.openxmlformats.org/officeDocument/2006/relationships/hyperlink" Id="rId165" Target="https://doi.org/10.1016/S0304-4238(05)80016-0" TargetMode="External" /><Relationship Type="http://schemas.openxmlformats.org/officeDocument/2006/relationships/hyperlink" Id="rId140" Target="https://doi.org/10.1016/j.rse.2024.114340" TargetMode="External" /><Relationship Type="http://schemas.openxmlformats.org/officeDocument/2006/relationships/hyperlink" Id="rId195" Target="https://doi.org/10.1029/2023GL103540" TargetMode="External" /><Relationship Type="http://schemas.openxmlformats.org/officeDocument/2006/relationships/hyperlink" Id="rId207" Target="https://doi.org/10.1038/s41467-022-35571-0" TargetMode="External" /><Relationship Type="http://schemas.openxmlformats.org/officeDocument/2006/relationships/hyperlink" Id="rId210" Target="https://doi.org/10.1038/s41558-019-0412-1" TargetMode="External" /><Relationship Type="http://schemas.openxmlformats.org/officeDocument/2006/relationships/hyperlink" Id="rId176" Target="https://doi.org/10.1038/s41598-019-50643-w" TargetMode="External" /><Relationship Type="http://schemas.openxmlformats.org/officeDocument/2006/relationships/hyperlink" Id="rId138" Target="https://doi.org/10.1038/s43247-024-01543-z" TargetMode="External" /><Relationship Type="http://schemas.openxmlformats.org/officeDocument/2006/relationships/hyperlink" Id="rId160" Target="https://doi.org/10.1073/pnas.0402642101" TargetMode="External" /><Relationship Type="http://schemas.openxmlformats.org/officeDocument/2006/relationships/hyperlink" Id="rId191" Target="https://doi.org/10.1073/pnas.0500008102" TargetMode="External" /><Relationship Type="http://schemas.openxmlformats.org/officeDocument/2006/relationships/hyperlink" Id="rId184" Target="https://doi.org/10.1111/gcb.14282" TargetMode="External" /><Relationship Type="http://schemas.openxmlformats.org/officeDocument/2006/relationships/hyperlink" Id="rId214" Target="https://doi.org/10.1152/physiol.00040.2018" TargetMode="External" /><Relationship Type="http://schemas.openxmlformats.org/officeDocument/2006/relationships/hyperlink" Id="rId131"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9"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1" Target="https://doi.org/10.3389/fmars.2019.00734" TargetMode="External" /><Relationship Type="http://schemas.openxmlformats.org/officeDocument/2006/relationships/hyperlink" Id="rId179" Target="https://doi.org/10.3390/rs16234383" TargetMode="External" /><Relationship Type="http://schemas.openxmlformats.org/officeDocument/2006/relationships/hyperlink" Id="rId133"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55" Target="https://github.com/SigOiry/HeatWave_Seagrasses/blob/main/Scripts/MeteoFrance_Extraction.qmd"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88" Target="https://www.R-project.org/" TargetMode="External" /><Relationship Type="http://schemas.openxmlformats.org/officeDocument/2006/relationships/hyperlink" Id="rId162" Target="https://www.ioc-sealevelmonitoring.org/station.php?code=lecy" TargetMode="External" /><Relationship Type="http://schemas.openxmlformats.org/officeDocument/2006/relationships/hyperlink" Id="rId172"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2024-11-30T09:13:44Z</dcterms:created>
  <dcterms:modified xsi:type="dcterms:W3CDTF">2024-11-30T09:13:44Z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2024-11-30</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