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96.png" ContentType="image/png"/>
  <Override PartName="/word/media/rId24.png" ContentType="image/png"/>
  <Override PartName="/word/media/rId107.png" ContentType="image/png"/>
  <Override PartName="/word/media/rId90.png" ContentType="image/png"/>
  <Override PartName="/word/media/rId102.png" ContentType="image/png"/>
  <Override PartName="/word/media/rId82.png" ContentType="image/png"/>
  <Override PartName="/word/media/rId51.png" ContentType="image/png"/>
  <Override PartName="/word/media/rId56.png" ContentType="image/png"/>
  <Override PartName="/word/media/rId76.png" ContentType="image/png"/>
  <Override PartName="/word/media/rId115.png" ContentType="image/png"/>
  <Override PartName="/word/media/rId70.png" ContentType="image/png"/>
  <Override PartName="/word/media/rId12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Zostera</w:t>
      </w:r>
      <w:r>
        <w:rPr>
          <w:i/>
          <w:iCs/>
        </w:rPr>
        <w:t xml:space="preserve"> </w:t>
      </w:r>
      <w:r>
        <w:rPr>
          <w:i/>
          <w:iCs/>
        </w:rPr>
        <w:t xml:space="preserve">noltei</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2024-11-08</w:t>
      </w:r>
    </w:p>
    <w:p>
      <w:pPr>
        <w:pStyle w:val="AbstractTitle"/>
      </w:pPr>
      <w:r>
        <w:t xml:space="preserve">Abstract</w:t>
      </w:r>
    </w:p>
    <w:p>
      <w:pPr>
        <w:pStyle w:val="Abstract"/>
      </w:pPr>
      <w:r>
        <w:t xml:space="preserve">Seagrasses</w:t>
      </w:r>
      <w:r>
        <w:t xml:space="preserve"> </w:t>
      </w:r>
      <w:r>
        <w:t xml:space="preserve">are</w:t>
      </w:r>
      <w:r>
        <w:t xml:space="preserve"> </w:t>
      </w:r>
      <w:r>
        <w:t xml:space="preserve">critical</w:t>
      </w:r>
      <w:r>
        <w:t xml:space="preserve"> </w:t>
      </w:r>
      <w:r>
        <w:t xml:space="preserve">to</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aiding</w:t>
      </w:r>
      <w:r>
        <w:t xml:space="preserve"> </w:t>
      </w:r>
      <w:r>
        <w:t xml:space="preserve">carbon</w:t>
      </w:r>
      <w:r>
        <w:t xml:space="preserve"> </w:t>
      </w:r>
      <w:r>
        <w:t xml:space="preserve">sequestration.</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potentially</w:t>
      </w:r>
      <w:r>
        <w:t xml:space="preserve"> </w:t>
      </w:r>
      <w:r>
        <w:t xml:space="preserve">threatening</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pigment</w:t>
      </w:r>
      <w:r>
        <w:t xml:space="preserve"> </w:t>
      </w:r>
      <w:r>
        <w:t xml:space="preserve">composition</w:t>
      </w:r>
      <w:r>
        <w:t xml:space="preserve"> </w:t>
      </w:r>
      <w:r>
        <w:t xml:space="preserve">and</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We</w:t>
      </w:r>
      <w:r>
        <w:t xml:space="preserve"> </w:t>
      </w:r>
      <w:r>
        <w:t xml:space="preserve">performed</w:t>
      </w:r>
      <w:r>
        <w:t xml:space="preserve"> </w:t>
      </w:r>
      <w:r>
        <w:t xml:space="preserve">laboratory</w:t>
      </w:r>
      <w:r>
        <w:t xml:space="preserve"> </w:t>
      </w:r>
      <w:r>
        <w:t xml:space="preserve">experiments,</w:t>
      </w:r>
      <w:r>
        <w:t xml:space="preserve"> </w:t>
      </w:r>
      <w:r>
        <w:t xml:space="preserve">exposing</w:t>
      </w:r>
      <w:r>
        <w:t xml:space="preserve"> </w:t>
      </w:r>
      <w:r>
        <w:t xml:space="preserve">N.</w:t>
      </w:r>
      <w:r>
        <w:t xml:space="preserve"> </w:t>
      </w:r>
      <w:r>
        <w:t xml:space="preserve">noltei</w:t>
      </w:r>
      <w:r>
        <w:t xml:space="preserve"> </w:t>
      </w:r>
      <w:r>
        <w:t xml:space="preserve">samples</w:t>
      </w:r>
      <w:r>
        <w:t xml:space="preserve"> </w:t>
      </w:r>
      <w:r>
        <w:t xml:space="preserve">to</w:t>
      </w:r>
      <w:r>
        <w:t xml:space="preserve"> </w:t>
      </w:r>
      <w:r>
        <w:t xml:space="preserve">controlled</w:t>
      </w:r>
      <w:r>
        <w:t xml:space="preserve"> </w:t>
      </w:r>
      <w:r>
        <w:t xml:space="preserve">heatwave</w:t>
      </w:r>
      <w:r>
        <w:t xml:space="preserve"> </w:t>
      </w:r>
      <w:r>
        <w:t xml:space="preserve">conditions</w:t>
      </w:r>
      <w:r>
        <w:t xml:space="preserve"> </w:t>
      </w:r>
      <w:r>
        <w:t xml:space="preserve">and</w:t>
      </w:r>
      <w:r>
        <w:t xml:space="preserve"> </w:t>
      </w:r>
      <w:r>
        <w:t xml:space="preserve">measured</w:t>
      </w:r>
      <w:r>
        <w:t xml:space="preserve"> </w:t>
      </w:r>
      <w:r>
        <w:t xml:space="preserve">hyperspectral</w:t>
      </w:r>
      <w:r>
        <w:t xml:space="preserve"> </w:t>
      </w:r>
      <w:r>
        <w:t xml:space="preserve">reflectance</w:t>
      </w:r>
      <w:r>
        <w:t xml:space="preserve"> </w:t>
      </w:r>
      <w:r>
        <w:t xml:space="preserve">and</w:t>
      </w:r>
      <w:r>
        <w:t xml:space="preserve"> </w:t>
      </w:r>
      <w:r>
        <w:t xml:space="preserve">pigment</w:t>
      </w:r>
      <w:r>
        <w:t xml:space="preserve"> </w:t>
      </w:r>
      <w:r>
        <w:t xml:space="preserve">concentration</w:t>
      </w:r>
      <w:r>
        <w:t xml:space="preserve"> </w:t>
      </w:r>
      <w:r>
        <w:t xml:space="preserve">to</w:t>
      </w:r>
      <w:r>
        <w:t xml:space="preserve"> </w:t>
      </w:r>
      <w:r>
        <w:t xml:space="preserve">assess</w:t>
      </w:r>
      <w:r>
        <w:t xml:space="preserve"> </w:t>
      </w:r>
      <w:r>
        <w:t xml:space="preserve">its</w:t>
      </w:r>
      <w:r>
        <w:t xml:space="preserve"> </w:t>
      </w:r>
      <w:r>
        <w:t xml:space="preserve">impact</w:t>
      </w:r>
      <w:r>
        <w:t xml:space="preserve"> </w:t>
      </w:r>
      <w:r>
        <w:t xml:space="preserve">over</w:t>
      </w:r>
      <w:r>
        <w:t xml:space="preserve"> </w:t>
      </w:r>
      <w:r>
        <w:t xml:space="preserve">time.</w:t>
      </w:r>
      <w:r>
        <w:t xml:space="preserve"> </w:t>
      </w:r>
      <w:r>
        <w:t xml:space="preserve">Results</w:t>
      </w:r>
      <w:r>
        <w:t xml:space="preserve"> </w:t>
      </w:r>
      <w:r>
        <w:t xml:space="preserve">revealed</w:t>
      </w:r>
      <w:r>
        <w:t xml:space="preserve"> </w:t>
      </w:r>
      <w:r>
        <w:t xml:space="preserve">that</w:t>
      </w:r>
      <w:r>
        <w:t xml:space="preserve"> </w:t>
      </w:r>
      <w:r>
        <w:t xml:space="preserve">heatwaves</w:t>
      </w:r>
      <w:r>
        <w:t xml:space="preserve"> </w:t>
      </w:r>
      <w:r>
        <w:t xml:space="preserve">induce</w:t>
      </w:r>
      <w:r>
        <w:t xml:space="preserve"> </w:t>
      </w:r>
      <w:r>
        <w:t xml:space="preserve">significant</w:t>
      </w:r>
      <w:r>
        <w:t xml:space="preserve"> </w:t>
      </w:r>
      <w:r>
        <w:t xml:space="preserve">declines</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linked</w:t>
      </w:r>
      <w:r>
        <w:t xml:space="preserve"> </w:t>
      </w:r>
      <w:r>
        <w:t xml:space="preserve">to</w:t>
      </w:r>
      <w:r>
        <w:t xml:space="preserve"> </w:t>
      </w:r>
      <w:r>
        <w:t xml:space="preserve">(likely</w:t>
      </w:r>
      <w:r>
        <w:t xml:space="preserve"> </w:t>
      </w:r>
      <w:r>
        <w:t xml:space="preserve">due</w:t>
      </w:r>
      <w:r>
        <w:t xml:space="preserve"> </w:t>
      </w:r>
      <w:r>
        <w:t xml:space="preserve">to)</w:t>
      </w:r>
      <w:r>
        <w:t xml:space="preserve"> </w:t>
      </w:r>
      <w:r>
        <w:t xml:space="preserve">pigment</w:t>
      </w:r>
      <w:r>
        <w:t xml:space="preserve"> </w:t>
      </w:r>
      <w:r>
        <w:t xml:space="preserve">degradation.</w:t>
      </w:r>
      <w:r>
        <w:t xml:space="preserve"> </w:t>
      </w:r>
      <w:r>
        <w:t xml:space="preserve">Key</w:t>
      </w:r>
      <w:r>
        <w:t xml:space="preserve"> </w:t>
      </w:r>
      <w:r>
        <w:t xml:space="preserve">vegetation</w:t>
      </w:r>
      <w:r>
        <w:t xml:space="preserve"> </w:t>
      </w:r>
      <w:r>
        <w:t xml:space="preserve">indices,</w:t>
      </w:r>
      <w:r>
        <w:t xml:space="preserve"> </w:t>
      </w:r>
      <w:r>
        <w:t xml:space="preserve">such</w:t>
      </w:r>
      <w:r>
        <w:t xml:space="preserve"> </w:t>
      </w:r>
      <w:r>
        <w:t xml:space="preserve">as</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also</w:t>
      </w:r>
      <w:r>
        <w:t xml:space="preserve"> </w:t>
      </w:r>
      <w:r>
        <w:t xml:space="preserve">displayed</w:t>
      </w:r>
      <w:r>
        <w:t xml:space="preserve"> </w:t>
      </w:r>
      <w:r>
        <w:t xml:space="preserve">marked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Seagrass</w:t>
      </w:r>
      <w:r>
        <w:t xml:space="preserve"> </w:t>
      </w:r>
      <w:r>
        <w:t xml:space="preserve">Darkening</w:t>
      </w:r>
      <w:r>
        <w:t xml:space="preserve"> </w:t>
      </w:r>
      <w:r>
        <w:t xml:space="preserve">Index</w:t>
      </w:r>
      <w:r>
        <w:t xml:space="preserve"> </w:t>
      </w:r>
      <w:r>
        <w:t xml:space="preserve">(SDI)</w:t>
      </w:r>
      <w:r>
        <w:t xml:space="preserve"> </w:t>
      </w:r>
      <w:r>
        <w:t xml:space="preserve">was</w:t>
      </w:r>
      <w:r>
        <w:t xml:space="preserve"> </w:t>
      </w:r>
      <w:r>
        <w:t xml:space="preserve">developed</w:t>
      </w:r>
      <w:r>
        <w:t xml:space="preserve"> </w:t>
      </w:r>
      <w:r>
        <w:t xml:space="preserve">to</w:t>
      </w:r>
      <w:r>
        <w:t xml:space="preserve"> </w:t>
      </w:r>
      <w:r>
        <w:t xml:space="preserve">identify</w:t>
      </w:r>
      <w:r>
        <w:t xml:space="preserve"> </w:t>
      </w:r>
      <w:r>
        <w:t xml:space="preserve">seagrass</w:t>
      </w:r>
      <w:r>
        <w:t xml:space="preserve"> </w:t>
      </w:r>
      <w:r>
        <w:t xml:space="preserve">darkening,</w:t>
      </w:r>
      <w:r>
        <w:t xml:space="preserve"> </w:t>
      </w:r>
      <w:r>
        <w:t xml:space="preserve">showing</w:t>
      </w:r>
      <w:r>
        <w:t xml:space="preserve"> </w:t>
      </w:r>
      <w:r>
        <w:t xml:space="preserve">a</w:t>
      </w:r>
      <w:r>
        <w:t xml:space="preserve"> </w:t>
      </w:r>
      <w:r>
        <w:t xml:space="preserve">strong</w:t>
      </w:r>
      <w:r>
        <w:t xml:space="preserve"> </w:t>
      </w:r>
      <w:r>
        <w:t xml:space="preserve">correlation</w:t>
      </w:r>
      <w:r>
        <w:t xml:space="preserve"> </w:t>
      </w:r>
      <w:r>
        <w:t xml:space="preserve">with</w:t>
      </w:r>
      <w:r>
        <w:t xml:space="preserve"> </w:t>
      </w:r>
      <w:r>
        <w:t xml:space="preserve">heatwave</w:t>
      </w:r>
      <w:r>
        <w:t xml:space="preserve"> </w:t>
      </w:r>
      <w:r>
        <w:t xml:space="preserve">exposure.</w:t>
      </w:r>
      <w:r>
        <w:t xml:space="preserve"> </w:t>
      </w:r>
      <w:r>
        <w:t xml:space="preserve">This</w:t>
      </w:r>
      <w:r>
        <w:t xml:space="preserve"> </w:t>
      </w:r>
      <w:r>
        <w:t xml:space="preserve">research</w:t>
      </w:r>
      <w:r>
        <w:t xml:space="preserve"> </w:t>
      </w:r>
      <w:r>
        <w:t xml:space="preserve">suggests</w:t>
      </w:r>
      <w:r>
        <w:t xml:space="preserve"> </w:t>
      </w:r>
      <w:r>
        <w:t xml:space="preserve">that</w:t>
      </w:r>
      <w:r>
        <w:t xml:space="preserve"> </w:t>
      </w:r>
      <w:r>
        <w:t xml:space="preserve">spectral</w:t>
      </w:r>
      <w:r>
        <w:t xml:space="preserve"> </w:t>
      </w:r>
      <w:r>
        <w:t xml:space="preserve">monitoring</w:t>
      </w:r>
      <w:r>
        <w:t xml:space="preserve"> </w:t>
      </w:r>
      <w:r>
        <w:t xml:space="preserve">can</w:t>
      </w:r>
      <w:r>
        <w:t xml:space="preserve"> </w:t>
      </w:r>
      <w:r>
        <w:t xml:space="preserve">effectively</w:t>
      </w:r>
      <w:r>
        <w:t xml:space="preserve"> </w:t>
      </w:r>
      <w:r>
        <w:t xml:space="preserve">track</w:t>
      </w:r>
      <w:r>
        <w:t xml:space="preserve"> </w:t>
      </w:r>
      <w:r>
        <w:t xml:space="preserve">the</w:t>
      </w:r>
      <w:r>
        <w:t xml:space="preserve"> </w:t>
      </w:r>
      <w:r>
        <w:t xml:space="preserve">early</w:t>
      </w:r>
      <w:r>
        <w:t xml:space="preserve"> </w:t>
      </w:r>
      <w:r>
        <w:t xml:space="preserve">impacts</w:t>
      </w:r>
      <w:r>
        <w:t xml:space="preserve"> </w:t>
      </w:r>
      <w:r>
        <w:t xml:space="preserve">of</w:t>
      </w:r>
      <w:r>
        <w:t xml:space="preserve"> </w:t>
      </w:r>
      <w:r>
        <w:t xml:space="preserve">heatwaves</w:t>
      </w:r>
      <w:r>
        <w:t xml:space="preserve"> </w:t>
      </w:r>
      <w:r>
        <w:t xml:space="preserve">on</w:t>
      </w:r>
      <w:r>
        <w:t xml:space="preserve"> </w:t>
      </w:r>
      <w:r>
        <w:t xml:space="preserve">seagrasses,</w:t>
      </w:r>
      <w:r>
        <w:t xml:space="preserve"> </w:t>
      </w:r>
      <w:r>
        <w:t xml:space="preserve">providing</w:t>
      </w:r>
      <w:r>
        <w:t xml:space="preserve"> </w:t>
      </w:r>
      <w:r>
        <w:t xml:space="preserve">a</w:t>
      </w:r>
      <w:r>
        <w:t xml:space="preserve"> </w:t>
      </w:r>
      <w:r>
        <w:t xml:space="preserve">valuable</w:t>
      </w:r>
      <w:r>
        <w:t xml:space="preserve"> </w:t>
      </w:r>
      <w:r>
        <w:t xml:space="preserve">tool</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Satellite</w:t>
      </w:r>
      <w:r>
        <w:t xml:space="preserve"> </w:t>
      </w:r>
      <w:r>
        <w:t xml:space="preserve">observations</w:t>
      </w:r>
      <w:r>
        <w:t xml:space="preserve"> </w:t>
      </w:r>
      <w:r>
        <w:t xml:space="preserve">confirmed</w:t>
      </w:r>
      <w:r>
        <w:t xml:space="preserve"> </w:t>
      </w:r>
      <w:r>
        <w:t xml:space="preserve">these</w:t>
      </w:r>
      <w:r>
        <w:t xml:space="preserve"> </w:t>
      </w:r>
      <w:r>
        <w:t xml:space="preserve">findings,</w:t>
      </w:r>
      <w:r>
        <w:t xml:space="preserve"> </w:t>
      </w:r>
      <w:r>
        <w:t xml:space="preserve">showing</w:t>
      </w:r>
      <w:r>
        <w:t xml:space="preserve"> </w:t>
      </w:r>
      <w:r>
        <w:t xml:space="preserve">widespread</w:t>
      </w:r>
      <w:r>
        <w:t xml:space="preserve"> </w:t>
      </w:r>
      <w:r>
        <w:t xml:space="preserve">seagrass</w:t>
      </w:r>
      <w:r>
        <w:t xml:space="preserve"> </w:t>
      </w:r>
      <w:r>
        <w:t xml:space="preserve">darkening</w:t>
      </w:r>
      <w:r>
        <w:t xml:space="preserve"> </w:t>
      </w:r>
      <w:r>
        <w:t xml:space="preserve">during</w:t>
      </w:r>
      <w:r>
        <w:t xml:space="preserve"> </w:t>
      </w:r>
      <w:r>
        <w:t xml:space="preserve">atmospheric</w:t>
      </w:r>
      <w:r>
        <w:t xml:space="preserve"> </w:t>
      </w:r>
      <w:r>
        <w:t xml:space="preserve">and</w:t>
      </w:r>
      <w:r>
        <w:t xml:space="preserve"> </w:t>
      </w:r>
      <w:r>
        <w:t xml:space="preserve">marine</w:t>
      </w:r>
      <w:r>
        <w:t xml:space="preserve"> </w:t>
      </w:r>
      <w:r>
        <w:t xml:space="preserve">heatwave</w:t>
      </w:r>
      <w:r>
        <w:t xml:space="preserve"> </w:t>
      </w:r>
      <w:r>
        <w:t xml:space="preserve">events</w:t>
      </w:r>
      <w:r>
        <w:t xml:space="preserve"> </w:t>
      </w:r>
      <w:r>
        <w:t xml:space="preserve">in</w:t>
      </w:r>
      <w:r>
        <w:t xml:space="preserve"> </w:t>
      </w:r>
      <w:r>
        <w:t xml:space="preserve">Quiberon,</w:t>
      </w:r>
      <w:r>
        <w:t xml:space="preserve"> </w:t>
      </w:r>
      <w:r>
        <w:t xml:space="preserve">France.</w:t>
      </w:r>
      <w:r>
        <w:t xml:space="preserve"> </w:t>
      </w:r>
      <w:r>
        <w:t xml:space="preserve">Darkened</w:t>
      </w:r>
      <w:r>
        <w:t xml:space="preserve"> </w:t>
      </w:r>
      <w:r>
        <w:t xml:space="preserve">seagrasses</w:t>
      </w:r>
      <w:r>
        <w:t xml:space="preserve"> </w:t>
      </w:r>
      <w:r>
        <w:t xml:space="preserve">observed</w:t>
      </w:r>
      <w:r>
        <w:t xml:space="preserve"> </w:t>
      </w:r>
      <w:r>
        <w:t xml:space="preserve">after</w:t>
      </w:r>
      <w:r>
        <w:t xml:space="preserve"> </w:t>
      </w:r>
      <w:r>
        <w:t xml:space="preserve">heatwaves</w:t>
      </w:r>
      <w:r>
        <w:t xml:space="preserve"> </w:t>
      </w:r>
      <w:r>
        <w:t xml:space="preserve">were</w:t>
      </w:r>
      <w:r>
        <w:t xml:space="preserve"> </w:t>
      </w:r>
      <w:r>
        <w:t xml:space="preserve">exposed</w:t>
      </w:r>
      <w:r>
        <w:t xml:space="preserve"> </w:t>
      </w:r>
      <w:r>
        <w:t xml:space="preserve">more</w:t>
      </w:r>
      <w:r>
        <w:t xml:space="preserve"> </w:t>
      </w:r>
      <w:r>
        <w:t xml:space="preserve">than</w:t>
      </w:r>
      <w:r>
        <w:t xml:space="preserve"> </w:t>
      </w:r>
      <w:r>
        <w:t xml:space="preserve">13.5</w:t>
      </w:r>
      <w:r>
        <w:t xml:space="preserve"> </w:t>
      </w:r>
      <w:r>
        <w:t xml:space="preserve">hours</w:t>
      </w:r>
      <w:r>
        <w:t xml:space="preserve"> </w:t>
      </w:r>
      <w:r>
        <w:t xml:space="preserve">daily.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climate</w:t>
      </w:r>
      <w:r>
        <w:t xml:space="preserve"> </w:t>
      </w:r>
      <w:r>
        <w:t xml:space="preserve">regime,</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in</w:t>
      </w:r>
      <w:r>
        <w:t xml:space="preserve"> </w:t>
      </w:r>
      <w:r>
        <w:t xml:space="preserve">capturing</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69" w:name="material-methods"/>
    <w:p>
      <w:pPr>
        <w:pStyle w:val="Heading1"/>
      </w:pPr>
      <w:r>
        <w:t xml:space="preserve">2. Material &amp; Methods</w:t>
      </w:r>
    </w:p>
    <w:bookmarkStart w:id="5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943600" cy="5846341"/>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943600" cy="5846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4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5" w:name="cell-fig-Temperature_Bourgneuf"/>
    <w:tbl>
      <w:tblPr>
        <w:tblStyle w:val="Table"/>
        <w:tblW w:type="pct" w:w="5000"/>
        <w:tblLayout w:type="fixed"/>
        <w:tblLook w:firstRow="0" w:lastRow="0" w:firstColumn="0" w:lastColumn="0" w:noHBand="0" w:noVBand="0" w:val="0000"/>
      </w:tblPr>
      <w:tblGrid>
        <w:gridCol w:w="7920"/>
      </w:tblGrid>
      <w:tr>
        <w:tc>
          <w:tcPr/>
          <w:bookmarkStart w:id="34" w:name="fig-Temperature_Bourgneuf"/>
          <w:p>
            <w:pPr>
              <w:pStyle w:val="Compact"/>
              <w:jc w:val="center"/>
            </w:pPr>
            <w:r>
              <w:drawing>
                <wp:inline>
                  <wp:extent cx="4754880" cy="4754880"/>
                  <wp:effectExtent b="0" l="0" r="0" t="0"/>
                  <wp:docPr descr="" title="" id="32" name="Picture"/>
                  <a:graphic>
                    <a:graphicData uri="http://schemas.openxmlformats.org/drawingml/2006/picture">
                      <pic:pic>
                        <pic:nvPicPr>
                          <pic:cNvPr descr="Figs/High_res/Temperature_compare.png" id="33" name="Picture"/>
                          <pic:cNvPicPr>
                            <a:picLocks noChangeArrowheads="1" noChangeAspect="1"/>
                          </pic:cNvPicPr>
                        </pic:nvPicPr>
                        <pic:blipFill>
                          <a:blip r:embed="rId31"/>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4"/>
        </w:tc>
      </w:tr>
    </w:tbl>
    <w:bookmarkEnd w:id="35"/>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0" w:name="cell-fig-Profile"/>
    <w:tbl>
      <w:tblPr>
        <w:tblStyle w:val="Table"/>
        <w:tblW w:type="pct" w:w="5000"/>
        <w:tblLayout w:type="fixed"/>
        <w:tblLook w:firstRow="0" w:lastRow="0" w:firstColumn="0" w:lastColumn="0" w:noHBand="0" w:noVBand="0" w:val="0000"/>
      </w:tblPr>
      <w:tblGrid>
        <w:gridCol w:w="7920"/>
      </w:tblGrid>
      <w:tr>
        <w:tc>
          <w:tcPr/>
          <w:bookmarkStart w:id="39" w:name="fig-Profile"/>
          <w:p>
            <w:pPr>
              <w:pStyle w:val="Compact"/>
              <w:jc w:val="center"/>
            </w:pPr>
            <w:r>
              <w:drawing>
                <wp:inline>
                  <wp:extent cx="5943600" cy="2718555"/>
                  <wp:effectExtent b="0" l="0" r="0" t="0"/>
                  <wp:docPr descr="" title="" id="37" name="Picture"/>
                  <a:graphic>
                    <a:graphicData uri="http://schemas.openxmlformats.org/drawingml/2006/picture">
                      <pic:pic>
                        <pic:nvPicPr>
                          <pic:cNvPr descr="Figs/Low_res/Chamber_Profils.png" id="38" name="Picture"/>
                          <pic:cNvPicPr>
                            <a:picLocks noChangeArrowheads="1" noChangeAspect="1"/>
                          </pic:cNvPicPr>
                        </pic:nvPicPr>
                        <pic:blipFill>
                          <a:blip r:embed="rId36"/>
                          <a:stretch>
                            <a:fillRect/>
                          </a:stretch>
                        </pic:blipFill>
                        <pic:spPr bwMode="auto">
                          <a:xfrm>
                            <a:off x="0" y="0"/>
                            <a:ext cx="5943600" cy="27185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9"/>
        </w:tc>
      </w:tr>
    </w:tbl>
    <w:bookmarkEnd w:id="40"/>
    <w:bookmarkEnd w:id="41"/>
    <w:bookmarkStart w:id="49" w:name="Xace924ada36ed3f851fe125e1fb1311c1764a5d"/>
    <w:p>
      <w:pPr>
        <w:pStyle w:val="Heading3"/>
      </w:pPr>
      <w:r>
        <w:t xml:space="preserve">2.1.3 Bio-optical measurmenents over seagrass leaves</w:t>
      </w:r>
    </w:p>
    <w:bookmarkStart w:id="4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2">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4"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4"/>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5"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5"/>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4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4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7"/>
    <w:bookmarkStart w:id="48" w:name="pigment-concentration-measurements"/>
    <w:p>
      <w:pPr>
        <w:pStyle w:val="Heading4"/>
      </w:pPr>
      <w:r>
        <w:t xml:space="preserve">2.1.3.2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End w:id="50"/>
    <w:bookmarkStart w:id="68" w:name="X27a1969d5b72398d0a273597903fb82da79178c"/>
    <w:p>
      <w:pPr>
        <w:pStyle w:val="Heading2"/>
      </w:pPr>
      <w:r>
        <w:t xml:space="preserve">2.2 Observation of seagrass leaves darkening.</w:t>
      </w:r>
    </w:p>
    <w:bookmarkStart w:id="61" w:name="field-observation"/>
    <w:p>
      <w:pPr>
        <w:pStyle w:val="Heading3"/>
      </w:pPr>
      <w:r>
        <w:t xml:space="preserve">2.2.1 Field Observation</w:t>
      </w:r>
    </w:p>
    <w:bookmarkStart w:id="55" w:name="cell-fig-quiberonMap"/>
    <w:tbl>
      <w:tblPr>
        <w:tblStyle w:val="Table"/>
        <w:tblW w:type="pct" w:w="5000"/>
        <w:tblLayout w:type="fixed"/>
        <w:tblLook w:firstRow="0" w:lastRow="0" w:firstColumn="0" w:lastColumn="0" w:noHBand="0" w:noVBand="0" w:val="0000"/>
      </w:tblPr>
      <w:tblGrid>
        <w:gridCol w:w="7920"/>
      </w:tblGrid>
      <w:tr>
        <w:tc>
          <w:tcPr/>
          <w:bookmarkStart w:id="54" w:name="fig-quiberonMap"/>
          <w:p>
            <w:pPr>
              <w:pStyle w:val="Compact"/>
              <w:jc w:val="center"/>
            </w:pPr>
            <w:r>
              <w:drawing>
                <wp:inline>
                  <wp:extent cx="5943600" cy="5943600"/>
                  <wp:effectExtent b="0" l="0" r="0" t="0"/>
                  <wp:docPr descr="" title="" id="52" name="Picture"/>
                  <a:graphic>
                    <a:graphicData uri="http://schemas.openxmlformats.org/drawingml/2006/picture">
                      <pic:pic>
                        <pic:nvPicPr>
                          <pic:cNvPr descr="Figs/Low_res/Quiberon_map.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54"/>
        </w:tc>
      </w:tr>
    </w:tbl>
    <w:bookmarkEnd w:id="55"/>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96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60" w:name="cell-fig-QuiberonImg"/>
    <w:tbl>
      <w:tblPr>
        <w:tblStyle w:val="Table"/>
        <w:tblW w:type="pct" w:w="5000"/>
        <w:tblLayout w:type="fixed"/>
        <w:tblLook w:firstRow="0" w:lastRow="0" w:firstColumn="0" w:lastColumn="0" w:noHBand="0" w:noVBand="0" w:val="0000"/>
      </w:tblPr>
      <w:tblGrid>
        <w:gridCol w:w="7920"/>
      </w:tblGrid>
      <w:tr>
        <w:tc>
          <w:tcPr/>
          <w:bookmarkStart w:id="59" w:name="fig-QuiberonImg"/>
          <w:p>
            <w:pPr>
              <w:pStyle w:val="Compact"/>
              <w:jc w:val="center"/>
            </w:pPr>
            <w:r>
              <w:drawing>
                <wp:inline>
                  <wp:extent cx="5943600" cy="3929594"/>
                  <wp:effectExtent b="0" l="0" r="0" t="0"/>
                  <wp:docPr descr="" title="" id="57" name="Picture"/>
                  <a:graphic>
                    <a:graphicData uri="http://schemas.openxmlformats.org/drawingml/2006/picture">
                      <pic:pic>
                        <pic:nvPicPr>
                          <pic:cNvPr descr="Figs/Low_res/img_Quiberon.png" id="58" name="Picture"/>
                          <pic:cNvPicPr>
                            <a:picLocks noChangeArrowheads="1" noChangeAspect="1"/>
                          </pic:cNvPicPr>
                        </pic:nvPicPr>
                        <pic:blipFill>
                          <a:blip r:embed="rId56"/>
                          <a:stretch>
                            <a:fillRect/>
                          </a:stretch>
                        </pic:blipFill>
                        <pic:spPr bwMode="auto">
                          <a:xfrm>
                            <a:off x="0" y="0"/>
                            <a:ext cx="5943600" cy="3929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59"/>
        </w:tc>
      </w:tr>
    </w:tbl>
    <w:bookmarkEnd w:id="60"/>
    <w:bookmarkEnd w:id="61"/>
    <w:bookmarkStart w:id="65" w:name="X73fb4b6725bb43bdc3c17946b41d73eba45f33b"/>
    <w:p>
      <w:pPr>
        <w:pStyle w:val="Heading3"/>
      </w:pPr>
      <w:r>
        <w:t xml:space="preserve">2.2.2 Temparature Data and identification of heatwaves</w:t>
      </w:r>
    </w:p>
    <w:bookmarkStart w:id="6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2">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3"/>
    <w:bookmarkStart w:id="6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4"/>
    <w:bookmarkEnd w:id="65"/>
    <w:bookmarkStart w:id="66"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6"/>
    <w:bookmarkStart w:id="6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7"/>
    <w:bookmarkEnd w:id="68"/>
    <w:bookmarkEnd w:id="69"/>
    <w:bookmarkStart w:id="114" w:name="results"/>
    <w:p>
      <w:pPr>
        <w:pStyle w:val="Heading1"/>
      </w:pPr>
      <w:r>
        <w:t xml:space="preserve">3. Results</w:t>
      </w:r>
    </w:p>
    <w:bookmarkStart w:id="89" w:name="laboratory-experiment-1"/>
    <w:p>
      <w:pPr>
        <w:pStyle w:val="Heading2"/>
      </w:pPr>
      <w:r>
        <w:t xml:space="preserve">3.1 Laboratory Experiment</w:t>
      </w:r>
    </w:p>
    <w:bookmarkStart w:id="75"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4" w:name="cell-fig-Exp_Spectra"/>
    <w:tbl>
      <w:tblPr>
        <w:tblStyle w:val="Table"/>
        <w:tblW w:type="pct" w:w="5000"/>
        <w:tblLayout w:type="fixed"/>
        <w:tblLook w:firstRow="0" w:lastRow="0" w:firstColumn="0" w:lastColumn="0" w:noHBand="0" w:noVBand="0" w:val="0000"/>
      </w:tblPr>
      <w:tblGrid>
        <w:gridCol w:w="7920"/>
      </w:tblGrid>
      <w:tr>
        <w:tc>
          <w:tcPr/>
          <w:bookmarkStart w:id="73" w:name="fig-Exp_Spectra"/>
          <w:p>
            <w:pPr>
              <w:pStyle w:val="Compact"/>
              <w:jc w:val="center"/>
            </w:pPr>
            <w:r>
              <w:drawing>
                <wp:inline>
                  <wp:extent cx="5943600" cy="2971800"/>
                  <wp:effectExtent b="0" l="0" r="0" t="0"/>
                  <wp:docPr descr="" title="" id="71" name="Picture"/>
                  <a:graphic>
                    <a:graphicData uri="http://schemas.openxmlformats.org/drawingml/2006/picture">
                      <pic:pic>
                        <pic:nvPicPr>
                          <pic:cNvPr descr="Figs/Low_res/plot_Spectra_exp.png" id="72" name="Picture"/>
                          <pic:cNvPicPr>
                            <a:picLocks noChangeArrowheads="1" noChangeAspect="1"/>
                          </pic:cNvPicPr>
                        </pic:nvPicPr>
                        <pic:blipFill>
                          <a:blip r:embed="rId7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collected during the experiment for both the Control (Left) and the Treatment (Right). Color denotes the progression along the experiment from the beginning (Day 1: green), middle (Day 2: Yellow) and end (Day 3: Brown).</w:t>
            </w:r>
          </w:p>
          <w:bookmarkEnd w:id="73"/>
        </w:tc>
      </w:tr>
    </w:tbl>
    <w:bookmarkEnd w:id="74"/>
    <w:bookmarkEnd w:id="75"/>
    <w:bookmarkStart w:id="81"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80" w:name="cell-fig-Exp_Spectral_indices"/>
    <w:tbl>
      <w:tblPr>
        <w:tblStyle w:val="Table"/>
        <w:tblW w:type="pct" w:w="5000"/>
        <w:tblLayout w:type="fixed"/>
        <w:tblLook w:firstRow="0" w:lastRow="0" w:firstColumn="0" w:lastColumn="0" w:noHBand="0" w:noVBand="0" w:val="0000"/>
      </w:tblPr>
      <w:tblGrid>
        <w:gridCol w:w="7920"/>
      </w:tblGrid>
      <w:tr>
        <w:tc>
          <w:tcPr/>
          <w:bookmarkStart w:id="79" w:name="fig-Exp_Spectral_indices"/>
          <w:p>
            <w:pPr>
              <w:pStyle w:val="Compact"/>
              <w:jc w:val="center"/>
            </w:pPr>
            <w:r>
              <w:drawing>
                <wp:inline>
                  <wp:extent cx="5943600" cy="7337777"/>
                  <wp:effectExtent b="0" l="0" r="0" t="0"/>
                  <wp:docPr descr="" title="" id="77" name="Picture"/>
                  <a:graphic>
                    <a:graphicData uri="http://schemas.openxmlformats.org/drawingml/2006/picture">
                      <pic:pic>
                        <pic:nvPicPr>
                          <pic:cNvPr descr="Figs/Low_res/merged_indices.png" id="78" name="Picture"/>
                          <pic:cNvPicPr>
                            <a:picLocks noChangeArrowheads="1" noChangeAspect="1"/>
                          </pic:cNvPicPr>
                        </pic:nvPicPr>
                        <pic:blipFill>
                          <a:blip r:embed="rId76"/>
                          <a:stretch>
                            <a:fillRect/>
                          </a:stretch>
                        </pic:blipFill>
                        <pic:spPr bwMode="auto">
                          <a:xfrm>
                            <a:off x="0" y="0"/>
                            <a:ext cx="5943600" cy="7337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79"/>
        </w:tc>
      </w:tr>
    </w:tbl>
    <w:bookmarkEnd w:id="80"/>
    <w:bookmarkEnd w:id="81"/>
    <w:bookmarkStart w:id="87" w:name="X0a3b57fb6e58dace6488d21e37474af411bb7be"/>
    <w:p>
      <w:pPr>
        <w:pStyle w:val="Heading3"/>
      </w:pPr>
      <w:r>
        <w:t xml:space="preserve">3.1.3 Buidling the Seagrass Darkening radiometric index</w:t>
      </w:r>
    </w:p>
    <w:bookmarkStart w:id="86" w:name="cell-fig-SDI_exp"/>
    <w:tbl>
      <w:tblPr>
        <w:tblStyle w:val="Table"/>
        <w:tblW w:type="pct" w:w="5000"/>
        <w:tblLayout w:type="fixed"/>
        <w:tblLook w:firstRow="0" w:lastRow="0" w:firstColumn="0" w:lastColumn="0" w:noHBand="0" w:noVBand="0" w:val="0000"/>
      </w:tblPr>
      <w:tblGrid>
        <w:gridCol w:w="7920"/>
      </w:tblGrid>
      <w:tr>
        <w:tc>
          <w:tcPr/>
          <w:bookmarkStart w:id="85" w:name="fig-SDI_exp"/>
          <w:p>
            <w:pPr>
              <w:pStyle w:val="Compact"/>
              <w:jc w:val="center"/>
            </w:pPr>
            <w:r>
              <w:drawing>
                <wp:inline>
                  <wp:extent cx="5943600" cy="2971800"/>
                  <wp:effectExtent b="0" l="0" r="0" t="0"/>
                  <wp:docPr descr="" title="" id="83" name="Picture"/>
                  <a:graphic>
                    <a:graphicData uri="http://schemas.openxmlformats.org/drawingml/2006/picture">
                      <pic:pic>
                        <pic:nvPicPr>
                          <pic:cNvPr descr="Figs/Low_res/PLOT_SDI_exp.png" id="84" name="Picture"/>
                          <pic:cNvPicPr>
                            <a:picLocks noChangeArrowheads="1" noChangeAspect="1"/>
                          </pic:cNvPicPr>
                        </pic:nvPicPr>
                        <pic:blipFill>
                          <a:blip r:embed="rId8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85"/>
        </w:tc>
      </w:tr>
    </w:tbl>
    <w:bookmarkEnd w:id="86"/>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7"/>
    <w:bookmarkStart w:id="88" w:name="X03f1f92316c3f266276e7acc4c55e66c6a0add8"/>
    <w:p>
      <w:pPr>
        <w:pStyle w:val="Heading3"/>
      </w:pPr>
      <w:r>
        <w:t xml:space="preserve">3.1.4 Pigment composition evolution along the experiment</w:t>
      </w:r>
    </w:p>
    <w:p>
      <w:pPr>
        <w:pStyle w:val="FirstParagraph"/>
      </w:pPr>
      <w:r>
        <w:t xml:space="preserve">bla bla bla bla</w:t>
      </w:r>
    </w:p>
    <w:bookmarkEnd w:id="88"/>
    <w:bookmarkEnd w:id="89"/>
    <w:bookmarkStart w:id="113" w:name="heatwaves-of-quiberon"/>
    <w:p>
      <w:pPr>
        <w:pStyle w:val="Heading2"/>
      </w:pPr>
      <w:r>
        <w:t xml:space="preserve">3.2 Heatwaves of Quiberon</w:t>
      </w:r>
    </w:p>
    <w:bookmarkStart w:id="95"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4" w:name="cell-fig-S2_comparison"/>
    <w:tbl>
      <w:tblPr>
        <w:tblStyle w:val="Table"/>
        <w:tblW w:type="pct" w:w="5000"/>
        <w:tblLayout w:type="fixed"/>
        <w:tblLook w:firstRow="0" w:lastRow="0" w:firstColumn="0" w:lastColumn="0" w:noHBand="0" w:noVBand="0" w:val="0000"/>
      </w:tblPr>
      <w:tblGrid>
        <w:gridCol w:w="7920"/>
      </w:tblGrid>
      <w:tr>
        <w:tc>
          <w:tcPr/>
          <w:bookmarkStart w:id="93" w:name="fig-S2_comparison"/>
          <w:p>
            <w:pPr>
              <w:pStyle w:val="Compact"/>
              <w:jc w:val="center"/>
            </w:pPr>
            <w:r>
              <w:drawing>
                <wp:inline>
                  <wp:extent cx="5943600" cy="5676138"/>
                  <wp:effectExtent b="0" l="0" r="0" t="0"/>
                  <wp:docPr descr="" title="" id="91" name="Picture"/>
                  <a:graphic>
                    <a:graphicData uri="http://schemas.openxmlformats.org/drawingml/2006/picture">
                      <pic:pic>
                        <pic:nvPicPr>
                          <pic:cNvPr descr="Figs/Low_res/Heatwaves_S2_plot.png" id="92" name="Picture"/>
                          <pic:cNvPicPr>
                            <a:picLocks noChangeArrowheads="1" noChangeAspect="1"/>
                          </pic:cNvPicPr>
                        </pic:nvPicPr>
                        <pic:blipFill>
                          <a:blip r:embed="rId90"/>
                          <a:stretch>
                            <a:fillRect/>
                          </a:stretch>
                        </pic:blipFill>
                        <pic:spPr bwMode="auto">
                          <a:xfrm>
                            <a:off x="0" y="0"/>
                            <a:ext cx="5943600" cy="56761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Quadrats Points (QPs) Before (A) and During (B) Heatwave Events (C); A: RGB color composition of the Sentinel-2 image on the 1st of September 2021. The points correspond to GCPs collected on September 10, 2021;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93"/>
        </w:tc>
      </w:tr>
    </w:tbl>
    <w:bookmarkEnd w:id="94"/>
    <w:bookmarkEnd w:id="95"/>
    <w:bookmarkStart w:id="101"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100" w:name="cell-fig-NDVI_GLI_SPC"/>
    <w:tbl>
      <w:tblPr>
        <w:tblStyle w:val="Table"/>
        <w:tblW w:type="pct" w:w="5000"/>
        <w:tblLayout w:type="fixed"/>
        <w:tblLook w:firstRow="0" w:lastRow="0" w:firstColumn="0" w:lastColumn="0" w:noHBand="0" w:noVBand="0" w:val="0000"/>
      </w:tblPr>
      <w:tblGrid>
        <w:gridCol w:w="7920"/>
      </w:tblGrid>
      <w:tr>
        <w:tc>
          <w:tcPr/>
          <w:bookmarkStart w:id="99" w:name="fig-NDVI_GLI_SPC"/>
          <w:p>
            <w:pPr>
              <w:pStyle w:val="Compact"/>
              <w:jc w:val="center"/>
            </w:pPr>
            <w:r>
              <w:drawing>
                <wp:inline>
                  <wp:extent cx="5943600" cy="5943600"/>
                  <wp:effectExtent b="0" l="0" r="0" t="0"/>
                  <wp:docPr descr="" title="" id="97" name="Picture"/>
                  <a:graphic>
                    <a:graphicData uri="http://schemas.openxmlformats.org/drawingml/2006/picture">
                      <pic:pic>
                        <pic:nvPicPr>
                          <pic:cNvPr descr="Figs/Low_res/Compares_Indices_S2.png" id="98" name="Picture"/>
                          <pic:cNvPicPr>
                            <a:picLocks noChangeArrowheads="1" noChangeAspect="1"/>
                          </pic:cNvPicPr>
                        </pic:nvPicPr>
                        <pic:blipFill>
                          <a:blip r:embed="rId9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99"/>
        </w:tc>
      </w:tr>
    </w:tbl>
    <w:bookmarkEnd w:id="100"/>
    <w:bookmarkEnd w:id="101"/>
    <w:bookmarkStart w:id="112"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6" w:name="cell-fig-Map_darkening_Bathy"/>
    <w:tbl>
      <w:tblPr>
        <w:tblStyle w:val="Table"/>
        <w:tblW w:type="pct" w:w="5000"/>
        <w:tblLayout w:type="fixed"/>
        <w:tblLook w:firstRow="0" w:lastRow="0" w:firstColumn="0" w:lastColumn="0" w:noHBand="0" w:noVBand="0" w:val="0000"/>
      </w:tblPr>
      <w:tblGrid>
        <w:gridCol w:w="7920"/>
      </w:tblGrid>
      <w:tr>
        <w:tc>
          <w:tcPr/>
          <w:bookmarkStart w:id="105" w:name="fig-Map_darkening_Bathy"/>
          <w:p>
            <w:pPr>
              <w:pStyle w:val="Compact"/>
              <w:jc w:val="center"/>
            </w:pPr>
            <w:r>
              <w:drawing>
                <wp:inline>
                  <wp:extent cx="5943600" cy="3685032"/>
                  <wp:effectExtent b="0" l="0" r="0" t="0"/>
                  <wp:docPr descr="" title="" id="103" name="Picture"/>
                  <a:graphic>
                    <a:graphicData uri="http://schemas.openxmlformats.org/drawingml/2006/picture">
                      <pic:pic>
                        <pic:nvPicPr>
                          <pic:cNvPr descr="Figs/Low_res/Map_darkening_Bathy.png" id="104" name="Picture"/>
                          <pic:cNvPicPr>
                            <a:picLocks noChangeArrowheads="1" noChangeAspect="1"/>
                          </pic:cNvPicPr>
                        </pic:nvPicPr>
                        <pic:blipFill>
                          <a:blip r:embed="rId102"/>
                          <a:stretch>
                            <a:fillRect/>
                          </a:stretch>
                        </pic:blipFill>
                        <pic:spPr bwMode="auto">
                          <a:xfrm>
                            <a:off x="0" y="0"/>
                            <a:ext cx="5943600" cy="3685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plolygons); Sentinel-2 image one month after the end of the heatwaves (2021-10-08).</w:t>
            </w:r>
          </w:p>
          <w:bookmarkEnd w:id="105"/>
        </w:tc>
      </w:tr>
    </w:tbl>
    <w:bookmarkEnd w:id="106"/>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11" w:name="cell-fig-GAM_Emersion"/>
    <w:tbl>
      <w:tblPr>
        <w:tblStyle w:val="Table"/>
        <w:tblW w:type="pct" w:w="5000"/>
        <w:tblLayout w:type="fixed"/>
        <w:tblLook w:firstRow="0" w:lastRow="0" w:firstColumn="0" w:lastColumn="0" w:noHBand="0" w:noVBand="0" w:val="0000"/>
      </w:tblPr>
      <w:tblGrid>
        <w:gridCol w:w="7920"/>
      </w:tblGrid>
      <w:tr>
        <w:tc>
          <w:tcPr/>
          <w:bookmarkStart w:id="110" w:name="fig-GAM_Emersion"/>
          <w:p>
            <w:pPr>
              <w:pStyle w:val="Compact"/>
              <w:jc w:val="center"/>
            </w:pPr>
            <w:r>
              <w:drawing>
                <wp:inline>
                  <wp:extent cx="5943600" cy="2971800"/>
                  <wp:effectExtent b="0" l="0" r="0" t="0"/>
                  <wp:docPr descr="" title="" id="108" name="Picture"/>
                  <a:graphic>
                    <a:graphicData uri="http://schemas.openxmlformats.org/drawingml/2006/picture">
                      <pic:pic>
                        <pic:nvPicPr>
                          <pic:cNvPr descr="Figs/Low_res/GAM_emersion.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10"/>
        </w:tc>
      </w:tr>
    </w:tbl>
    <w:bookmarkEnd w:id="111"/>
    <w:bookmarkEnd w:id="112"/>
    <w:bookmarkEnd w:id="113"/>
    <w:bookmarkEnd w:id="114"/>
    <w:bookmarkStart w:id="125"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13</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bookmarkStart w:id="119" w:name="cell-fig-Freq_Int_HW_CS"/>
    <w:tbl>
      <w:tblPr>
        <w:tblStyle w:val="Table"/>
        <w:tblW w:type="pct" w:w="5000"/>
        <w:tblLayout w:type="fixed"/>
        <w:tblLook w:firstRow="0" w:lastRow="0" w:firstColumn="0" w:lastColumn="0" w:noHBand="0" w:noVBand="0" w:val="0000"/>
      </w:tblPr>
      <w:tblGrid>
        <w:gridCol w:w="7920"/>
      </w:tblGrid>
      <w:tr>
        <w:tc>
          <w:tcPr/>
          <w:bookmarkStart w:id="118" w:name="fig-Freq_Int_HW_CS"/>
          <w:p>
            <w:pPr>
              <w:pStyle w:val="Compact"/>
              <w:jc w:val="center"/>
            </w:pPr>
            <w:r>
              <w:drawing>
                <wp:inline>
                  <wp:extent cx="4754880" cy="4754880"/>
                  <wp:effectExtent b="0" l="0" r="0" t="0"/>
                  <wp:docPr descr="" title="" id="116" name="Picture"/>
                  <a:graphic>
                    <a:graphicData uri="http://schemas.openxmlformats.org/drawingml/2006/picture">
                      <pic:pic>
                        <pic:nvPicPr>
                          <pic:cNvPr descr="Figs/Low_res/plot_HW_CS.png" id="117" name="Picture"/>
                          <pic:cNvPicPr>
                            <a:picLocks noChangeArrowheads="1" noChangeAspect="1"/>
                          </pic:cNvPicPr>
                        </pic:nvPicPr>
                        <pic:blipFill>
                          <a:blip r:embed="rId115"/>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bookmarkEnd w:id="118"/>
        </w:tc>
      </w:tr>
    </w:tbl>
    <w:bookmarkEnd w:id="119"/>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4" w:name="cell-fig-Resilience_of_seagrasses"/>
    <w:tbl>
      <w:tblPr>
        <w:tblStyle w:val="Table"/>
        <w:tblW w:type="pct" w:w="5000"/>
        <w:tblLayout w:type="fixed"/>
        <w:tblLook w:firstRow="0" w:lastRow="0" w:firstColumn="0" w:lastColumn="0" w:noHBand="0" w:noVBand="0" w:val="0000"/>
      </w:tblPr>
      <w:tblGrid>
        <w:gridCol w:w="7920"/>
      </w:tblGrid>
      <w:tr>
        <w:tc>
          <w:tcPr/>
          <w:bookmarkStart w:id="123" w:name="fig-Resilience_of_seagrasses"/>
          <w:p>
            <w:pPr>
              <w:pStyle w:val="Compact"/>
              <w:jc w:val="center"/>
            </w:pPr>
            <w:r>
              <w:drawing>
                <wp:inline>
                  <wp:extent cx="5943600" cy="2971800"/>
                  <wp:effectExtent b="0" l="0" r="0" t="0"/>
                  <wp:docPr descr="" title="" id="121" name="Picture"/>
                  <a:graphic>
                    <a:graphicData uri="http://schemas.openxmlformats.org/drawingml/2006/picture">
                      <pic:pic>
                        <pic:nvPicPr>
                          <pic:cNvPr descr="Figs/Low_res/plot_resilience.png" id="122" name="Picture"/>
                          <pic:cNvPicPr>
                            <a:picLocks noChangeArrowheads="1" noChangeAspect="1"/>
                          </pic:cNvPicPr>
                        </pic:nvPicPr>
                        <pic:blipFill>
                          <a:blip r:embed="rId12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the seagrass percent cover before (left), during (center) and after (right) the heatwaves for seagrasses that have not been impacted by heatwaves (i.e. remains green) and seagrasses that have been impacted by the events (i.e. seagrasses that darkened).</w:t>
            </w:r>
          </w:p>
          <w:bookmarkEnd w:id="123"/>
        </w:tc>
      </w:tr>
    </w:tbl>
    <w:bookmarkEnd w:id="124"/>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25"/>
    <w:bookmarkStart w:id="126"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w:t>
      </w:r>
      <w:r>
        <w:t xml:space="preserve"> </w:t>
      </w:r>
      <w:r>
        <w:t xml:space="preserve">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w:t>
      </w:r>
      <w:r>
        <w:t xml:space="preserve"> </w:t>
      </w:r>
      <w:r>
        <w:t xml:space="preserve">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w:t>
      </w:r>
      <w:r>
        <w:t xml:space="preserve"> </w:t>
      </w:r>
      <w:r>
        <w:t xml:space="preserve">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26"/>
    <w:bookmarkStart w:id="215" w:name="bibliography"/>
    <w:p>
      <w:pPr>
        <w:pStyle w:val="Heading1"/>
      </w:pPr>
      <w:r>
        <w:t xml:space="preserve">6. Bibliography</w:t>
      </w:r>
    </w:p>
    <w:bookmarkStart w:id="214" w:name="refs"/>
    <w:bookmarkStart w:id="12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7"/>
    <w:bookmarkStart w:id="12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8"/>
    <w:bookmarkStart w:id="130"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9">
        <w:r>
          <w:rPr>
            <w:rStyle w:val="Hyperlink"/>
          </w:rPr>
          <w:t xml:space="preserve">https://doi.org/10.3354/meps14588</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nadell2021ecosystem"/>
    <w:p>
      <w:pPr>
        <w:pStyle w:val="Bibliography"/>
      </w:pPr>
      <w:r>
        <w:t xml:space="preserve">Canadell, J.G., Jackson, R.B., 2021. Ecosystem collapse and climate change. Springer.</w:t>
      </w:r>
    </w:p>
    <w:bookmarkEnd w:id="133"/>
    <w:bookmarkStart w:id="134"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40"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9">
        <w:r>
          <w:rPr>
            <w:rStyle w:val="Hyperlink"/>
          </w:rPr>
          <w:t xml:space="preserve">https://doi.org/10.1038/s43247-024-01543-z</w:t>
        </w:r>
      </w:hyperlink>
    </w:p>
    <w:bookmarkEnd w:id="140"/>
    <w:bookmarkStart w:id="142"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1">
        <w:r>
          <w:rPr>
            <w:rStyle w:val="Hyperlink"/>
          </w:rPr>
          <w:t xml:space="preserve">https://doi.org/10.1016/j.rse.2024.114340</w:t>
        </w:r>
      </w:hyperlink>
    </w:p>
    <w:bookmarkEnd w:id="142"/>
    <w:bookmarkStart w:id="143"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3"/>
    <w:bookmarkStart w:id="144" w:name="ref-deguette2022physiological"/>
    <w:p>
      <w:pPr>
        <w:pStyle w:val="Bibliography"/>
      </w:pPr>
      <w:r>
        <w:t xml:space="preserve">Deguette, A., Barrote, I., Silva, J., 2022. Physiological and morphological effects of a marine heatwave on the seagrass cymodocea nodosa. Scientific Reports 12, 7950.</w:t>
      </w:r>
    </w:p>
    <w:bookmarkEnd w:id="144"/>
    <w:bookmarkStart w:id="145" w:name="ref-devi2024intensity"/>
    <w:p>
      <w:pPr>
        <w:pStyle w:val="Bibliography"/>
      </w:pPr>
      <w:r>
        <w:t xml:space="preserve">Devi, R., Gouda, K., Lenka, S., 2024. Intensity duration and frequency of heat wave in different phases of MJO over india. Atmospheric Research 300, 107250.</w:t>
      </w:r>
    </w:p>
    <w:bookmarkEnd w:id="145"/>
    <w:bookmarkStart w:id="146" w:name="ref-sen2cor"/>
    <w:p>
      <w:pPr>
        <w:pStyle w:val="Bibliography"/>
      </w:pPr>
      <w:r>
        <w:t xml:space="preserve">European Space Agency, 2024b. Sen2Cor: Sentinel-2 atmospheric correction processor.</w:t>
      </w:r>
    </w:p>
    <w:bookmarkEnd w:id="146"/>
    <w:bookmarkStart w:id="147" w:name="ref-copernicus_sentinel2"/>
    <w:p>
      <w:pPr>
        <w:pStyle w:val="Bibliography"/>
      </w:pPr>
      <w:r>
        <w:t xml:space="preserve">European Space Agency, 2024a. Copernicus open access hub.</w:t>
      </w:r>
    </w:p>
    <w:bookmarkEnd w:id="147"/>
    <w:bookmarkStart w:id="148"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8"/>
    <w:bookmarkStart w:id="149"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9"/>
    <w:bookmarkStart w:id="150"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0"/>
    <w:bookmarkStart w:id="151" w:name="ref-gardner2018global"/>
    <w:p>
      <w:pPr>
        <w:pStyle w:val="Bibliography"/>
      </w:pPr>
      <w:r>
        <w:t xml:space="preserve">Gardner, R.C., Finlayson, C., 2018. Global wetland outlook: State of the world’s wetlands and their services to people, in: Ramsar Convention Secretariat. pp. 2020–5.</w:t>
      </w:r>
    </w:p>
    <w:bookmarkEnd w:id="151"/>
    <w:bookmarkStart w:id="152"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2"/>
    <w:bookmarkStart w:id="154"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3">
        <w:r>
          <w:rPr>
            <w:rStyle w:val="Hyperlink"/>
          </w:rPr>
          <w:t xml:space="preserve">https://doi.org/10.1002/aqc.4210</w:t>
        </w:r>
      </w:hyperlink>
    </w:p>
    <w:bookmarkEnd w:id="154"/>
    <w:bookmarkStart w:id="155"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5"/>
    <w:bookmarkStart w:id="156"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6"/>
    <w:bookmarkStart w:id="157" w:name="ref-huete2012vegetation"/>
    <w:p>
      <w:pPr>
        <w:pStyle w:val="Bibliography"/>
      </w:pPr>
      <w:r>
        <w:t xml:space="preserve">Huete, A.R., 2012. Vegetation indices, remote sensing and forest monitoring. Geography Compass 6, 513–532.</w:t>
      </w:r>
    </w:p>
    <w:bookmarkEnd w:id="157"/>
    <w:bookmarkStart w:id="159"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8">
        <w:r>
          <w:rPr>
            <w:rStyle w:val="Hyperlink"/>
          </w:rPr>
          <w:t xml:space="preserve">https://doi.org/10.1073/pnas.0402642101</w:t>
        </w:r>
      </w:hyperlink>
    </w:p>
    <w:bookmarkEnd w:id="159"/>
    <w:bookmarkStart w:id="161" w:name="ref-ioc_sea_level_lecy"/>
    <w:p>
      <w:pPr>
        <w:pStyle w:val="Bibliography"/>
      </w:pPr>
      <w:r>
        <w:t xml:space="preserve">IOC, 2024.</w:t>
      </w:r>
      <w:r>
        <w:t xml:space="preserve"> </w:t>
      </w:r>
      <w:hyperlink r:id="rId160">
        <w:r>
          <w:rPr>
            <w:rStyle w:val="Hyperlink"/>
          </w:rPr>
          <w:t xml:space="preserve">Intergovernmental oceanographic commission ; sea level monitoring station - le conquet, france (LECY)</w:t>
        </w:r>
      </w:hyperlink>
      <w:r>
        <w:t xml:space="preserve">.</w:t>
      </w:r>
    </w:p>
    <w:bookmarkEnd w:id="161"/>
    <w:bookmarkStart w:id="162"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2"/>
    <w:bookmarkStart w:id="164"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3">
        <w:r>
          <w:rPr>
            <w:rStyle w:val="Hyperlink"/>
          </w:rPr>
          <w:t xml:space="preserve">https://doi.org/10.1016/S0304-4238(05)80016-0</w:t>
        </w:r>
      </w:hyperlink>
    </w:p>
    <w:bookmarkEnd w:id="164"/>
    <w:bookmarkStart w:id="165" w:name="ref-kloos2021agricultural"/>
    <w:p>
      <w:pPr>
        <w:pStyle w:val="Bibliography"/>
      </w:pPr>
      <w:r>
        <w:t xml:space="preserve">Kloos, S., Yuan, Y., Castelli, M., Menzel, A., 2021. Agricultural drought detection with MODIS based vegetation health indices in southeast germany. Remote Sensing 13, 3907.</w:t>
      </w:r>
    </w:p>
    <w:bookmarkEnd w:id="165"/>
    <w:bookmarkStart w:id="167"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6">
        <w:r>
          <w:rPr>
            <w:rStyle w:val="Hyperlink"/>
          </w:rPr>
          <w:t xml:space="preserve">https://doi.org/10.1016/S0034-4257(70)80021-9</w:t>
        </w:r>
      </w:hyperlink>
    </w:p>
    <w:bookmarkEnd w:id="167"/>
    <w:bookmarkStart w:id="168" w:name="ref-loarie2009velocity"/>
    <w:p>
      <w:pPr>
        <w:pStyle w:val="Bibliography"/>
      </w:pPr>
      <w:r>
        <w:t xml:space="preserve">Loarie, S.R., Duffy, P.B., Hamilton, H., Asner, G.P., Field, C.B., Ackerly, D.D., 2009. The velocity of climate change. Nature 462, 1052–1055.</w:t>
      </w:r>
    </w:p>
    <w:bookmarkEnd w:id="168"/>
    <w:bookmarkStart w:id="169"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9"/>
    <w:bookmarkStart w:id="17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0"/>
    <w:bookmarkStart w:id="172"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1">
        <w:r>
          <w:rPr>
            <w:rStyle w:val="Hyperlink"/>
          </w:rPr>
          <w:t xml:space="preserve">https://doi.org/10.1038/s41598-019-50643-w</w:t>
        </w:r>
      </w:hyperlink>
    </w:p>
    <w:bookmarkEnd w:id="172"/>
    <w:bookmarkStart w:id="173"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3"/>
    <w:bookmarkStart w:id="17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4">
        <w:r>
          <w:rPr>
            <w:rStyle w:val="Hyperlink"/>
          </w:rPr>
          <w:t xml:space="preserve">https://doi.org/10.3389/fmars.2019.00734</w:t>
        </w:r>
      </w:hyperlink>
    </w:p>
    <w:bookmarkEnd w:id="175"/>
    <w:bookmarkStart w:id="17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6">
        <w:r>
          <w:rPr>
            <w:rStyle w:val="Hyperlink"/>
          </w:rPr>
          <w:t xml:space="preserve">https://doi.org/10.1111/gcb.14282</w:t>
        </w:r>
      </w:hyperlink>
    </w:p>
    <w:bookmarkEnd w:id="177"/>
    <w:bookmarkStart w:id="178"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8"/>
    <w:bookmarkStart w:id="179" w:name="ref-perkins2013measurement"/>
    <w:p>
      <w:pPr>
        <w:pStyle w:val="Bibliography"/>
      </w:pPr>
      <w:r>
        <w:t xml:space="preserve">Perkins, S.E., Alexander, L.V., 2013. On the measurement of heat waves. Journal of climate 26, 4500–4517.</w:t>
      </w:r>
    </w:p>
    <w:bookmarkEnd w:id="179"/>
    <w:bookmarkStart w:id="180" w:name="ref-ramesh2020seagrass"/>
    <w:p>
      <w:pPr>
        <w:pStyle w:val="Bibliography"/>
      </w:pPr>
      <w:r>
        <w:t xml:space="preserve">Ramesh, C., Mohanraju, R., 2020. Seagrass ecosystems of andaman and nicobar islands: Status and future perspective. Environmental &amp; Earth Sciences Research Journal 7.</w:t>
      </w:r>
    </w:p>
    <w:bookmarkEnd w:id="180"/>
    <w:bookmarkStart w:id="18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81">
        <w:r>
          <w:rPr>
            <w:rStyle w:val="Hyperlink"/>
          </w:rPr>
          <w:t xml:space="preserve">https://doi.org/10.1073/pnas.0500008102</w:t>
        </w:r>
      </w:hyperlink>
    </w:p>
    <w:bookmarkEnd w:id="182"/>
    <w:bookmarkStart w:id="183" w:name="ref-rouse1974monitoring"/>
    <w:p>
      <w:pPr>
        <w:pStyle w:val="Bibliography"/>
      </w:pPr>
      <w:r>
        <w:t xml:space="preserve">Rouse, J.W., Haas, R.H., Schell, J.A., Deering, D.W., others, 1974. Monitoring vegetation systems in the great plains with ERTS. NASA Spec. Publ 351, 309.</w:t>
      </w:r>
    </w:p>
    <w:bookmarkEnd w:id="183"/>
    <w:bookmarkStart w:id="185"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4">
        <w:r>
          <w:rPr>
            <w:rStyle w:val="Hyperlink"/>
          </w:rPr>
          <w:t xml:space="preserve">https://doi.org/10.1029/2023GL103540</w:t>
        </w:r>
      </w:hyperlink>
    </w:p>
    <w:bookmarkEnd w:id="185"/>
    <w:bookmarkStart w:id="186"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6"/>
    <w:bookmarkStart w:id="18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7"/>
    <w:bookmarkStart w:id="188" w:name="ref-schlegel2017nearshore"/>
    <w:p>
      <w:pPr>
        <w:pStyle w:val="Bibliography"/>
      </w:pPr>
      <w:r>
        <w:t xml:space="preserve">Schlegel, R.W., Oliver, E.C., Wernberg, T., Smit, A.J., 2017. Nearshore and offshore co-occurrence of marine heatwaves and cold-spells. Progress in Oceanography 151, 189–205.</w:t>
      </w:r>
    </w:p>
    <w:bookmarkEnd w:id="188"/>
    <w:bookmarkStart w:id="19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9">
        <w:r>
          <w:rPr>
            <w:rStyle w:val="Hyperlink"/>
          </w:rPr>
          <w:t xml:space="preserve">https://doi.org/10.21105/joss.00821</w:t>
        </w:r>
      </w:hyperlink>
    </w:p>
    <w:bookmarkEnd w:id="190"/>
    <w:bookmarkStart w:id="19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1"/>
    <w:bookmarkStart w:id="19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92"/>
    <w:bookmarkStart w:id="194" w:name="ref-shom_ram_2022"/>
    <w:p>
      <w:pPr>
        <w:pStyle w:val="Bibliography"/>
      </w:pPr>
      <w:r>
        <w:t xml:space="preserve">Shom, 2022.</w:t>
      </w:r>
      <w:r>
        <w:t xml:space="preserve"> </w:t>
      </w:r>
      <w:hyperlink r:id="rId19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4"/>
    <w:bookmarkStart w:id="196" w:name="Xbef41143b4d4042e58f11cfc27e216202646012"/>
    <w:p>
      <w:pPr>
        <w:pStyle w:val="Bibliography"/>
      </w:pPr>
      <w:r>
        <w:t xml:space="preserve">SHOM, 2021.</w:t>
      </w:r>
      <w:r>
        <w:t xml:space="preserve"> </w:t>
      </w:r>
      <w:hyperlink r:id="rId195">
        <w:r>
          <w:rPr>
            <w:rStyle w:val="Hyperlink"/>
          </w:rPr>
          <w:t xml:space="preserve">Service hydrographique et océanographique de la marine ; bathymétrie Litto3D® bretagne 2018-2021</w:t>
        </w:r>
      </w:hyperlink>
      <w:r>
        <w:t xml:space="preserve">.</w:t>
      </w:r>
    </w:p>
    <w:bookmarkEnd w:id="196"/>
    <w:bookmarkStart w:id="198" w:name="ref-simolo2022quantifying"/>
    <w:p>
      <w:pPr>
        <w:pStyle w:val="Bibliography"/>
      </w:pPr>
      <w:r>
        <w:t xml:space="preserve">Simolo, C., Corti, S., 2022. Quantifying the role of variability in future intensification of heat extremes. Nature Communications 13.</w:t>
      </w:r>
      <w:r>
        <w:t xml:space="preserve"> </w:t>
      </w:r>
      <w:hyperlink r:id="rId197">
        <w:r>
          <w:rPr>
            <w:rStyle w:val="Hyperlink"/>
          </w:rPr>
          <w:t xml:space="preserve">https://doi.org/10.1038/s41467-022-35571-0</w:t>
        </w:r>
      </w:hyperlink>
    </w:p>
    <w:bookmarkEnd w:id="198"/>
    <w:bookmarkStart w:id="199"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9"/>
    <w:bookmarkStart w:id="201"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00">
        <w:r>
          <w:rPr>
            <w:rStyle w:val="Hyperlink"/>
          </w:rPr>
          <w:t xml:space="preserve">https://doi.org/10.1038/s41558-019-0412-1</w:t>
        </w:r>
      </w:hyperlink>
    </w:p>
    <w:bookmarkEnd w:id="201"/>
    <w:bookmarkStart w:id="202"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2"/>
    <w:bookmarkStart w:id="204"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3">
        <w:r>
          <w:rPr>
            <w:rStyle w:val="Hyperlink"/>
          </w:rPr>
          <w:t xml:space="preserve">https://doi.org/10.1152/physiol.00040.2018</w:t>
        </w:r>
      </w:hyperlink>
    </w:p>
    <w:bookmarkEnd w:id="204"/>
    <w:bookmarkStart w:id="205"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5"/>
    <w:bookmarkStart w:id="206" w:name="ref-unsworth2014biodiversity"/>
    <w:p>
      <w:pPr>
        <w:pStyle w:val="Bibliography"/>
      </w:pPr>
      <w:r>
        <w:t xml:space="preserve">Unsworth, R., Cullen-Unsworth, L.C., 2014. Biodiversity, ecosystem services, and the conservation of seagrass meadows. Coast. Conserv 19, 95.</w:t>
      </w:r>
    </w:p>
    <w:bookmarkEnd w:id="206"/>
    <w:bookmarkStart w:id="207" w:name="ref-unsworth2022planetary"/>
    <w:p>
      <w:pPr>
        <w:pStyle w:val="Bibliography"/>
      </w:pPr>
      <w:r>
        <w:t xml:space="preserve">Unsworth, R.K., Cullen-Unsworth, L.C., Jones, B.L., Lilley, R.J., 2022. The planetary role of seagrass conservation. Science 377, 609–613.</w:t>
      </w:r>
    </w:p>
    <w:bookmarkEnd w:id="207"/>
    <w:bookmarkStart w:id="20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8"/>
    <w:bookmarkStart w:id="20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9"/>
    <w:bookmarkStart w:id="210"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0"/>
    <w:bookmarkStart w:id="21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1">
        <w:r>
          <w:rPr>
            <w:rStyle w:val="Hyperlink"/>
          </w:rPr>
          <w:t xml:space="preserve">https://doi.org/10.1002/rse2.319</w:t>
        </w:r>
      </w:hyperlink>
    </w:p>
    <w:bookmarkEnd w:id="212"/>
    <w:bookmarkStart w:id="21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3"/>
    <w:bookmarkEnd w:id="214"/>
    <w:bookmarkEnd w:id="215"/>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24" Target="media/rId24.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image" Id="rId102" Target="media/rId102.png" /><Relationship Type="http://schemas.openxmlformats.org/officeDocument/2006/relationships/image" Id="rId82" Target="media/rId8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115" Target="media/rId115.png" /><Relationship Type="http://schemas.openxmlformats.org/officeDocument/2006/relationships/image" Id="rId70" Target="media/rId70.png" /><Relationship Type="http://schemas.openxmlformats.org/officeDocument/2006/relationships/image" Id="rId120" Target="media/rId120.png" /><Relationship Type="http://schemas.openxmlformats.org/officeDocument/2006/relationships/hyperlink" Id="rId193" Target="https://diffusion.shom.fr/references-altimetriques-maritimes-ram.html" TargetMode="External" /><Relationship Type="http://schemas.openxmlformats.org/officeDocument/2006/relationships/hyperlink" Id="rId153"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6" Target="https://doi.org/10.1016/S0034-4257(70)80021-9" TargetMode="External" /><Relationship Type="http://schemas.openxmlformats.org/officeDocument/2006/relationships/hyperlink" Id="rId163"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7" Target="https://doi.org/10.1038/s41467-022-35571-0" TargetMode="External" /><Relationship Type="http://schemas.openxmlformats.org/officeDocument/2006/relationships/hyperlink" Id="rId200"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9" Target="https://doi.org/10.1038/s43247-024-01543-z" TargetMode="External" /><Relationship Type="http://schemas.openxmlformats.org/officeDocument/2006/relationships/hyperlink" Id="rId158"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6" Target="https://doi.org/10.1111/gcb.14282" TargetMode="External" /><Relationship Type="http://schemas.openxmlformats.org/officeDocument/2006/relationships/hyperlink" Id="rId203" Target="https://doi.org/10.1152/physiol.00040.2018" TargetMode="External" /><Relationship Type="http://schemas.openxmlformats.org/officeDocument/2006/relationships/hyperlink" Id="rId189" Target="https://doi.org/10.21105/joss.00821" TargetMode="External" /><Relationship Type="http://schemas.openxmlformats.org/officeDocument/2006/relationships/hyperlink" Id="rId129" Target="https://doi.org/10.3354/meps14588" TargetMode="External" /><Relationship Type="http://schemas.openxmlformats.org/officeDocument/2006/relationships/hyperlink" Id="rId174" Target="https://doi.org/10.3389/fmars.2019.00734" TargetMode="External" /><Relationship Type="http://schemas.openxmlformats.org/officeDocument/2006/relationships/hyperlink" Id="rId13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95" Target="https://services.data.shom.fr/geonetwork/srv/fre/catalog.search#/metadata/BATHYMETRIE_LITTO3D_BZH_2018_2021.xml" TargetMode="External" /><Relationship Type="http://schemas.openxmlformats.org/officeDocument/2006/relationships/hyperlink" Id="rId160" Target="https://www.ioc-sealevelmonitoring.org/station.php?code=lecy" TargetMode="External" /><Relationship Type="http://schemas.openxmlformats.org/officeDocument/2006/relationships/hyperlink" Id="rId4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3" Target="https://diffusion.shom.fr/references-altimetriques-maritimes-ram.html" TargetMode="External" /><Relationship Type="http://schemas.openxmlformats.org/officeDocument/2006/relationships/hyperlink" Id="rId153" Target="https://doi.org/10.1002/aqc.4210" TargetMode="External" /><Relationship Type="http://schemas.openxmlformats.org/officeDocument/2006/relationships/hyperlink" Id="rId211"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6" Target="https://doi.org/10.1016/S0034-4257(70)80021-9" TargetMode="External" /><Relationship Type="http://schemas.openxmlformats.org/officeDocument/2006/relationships/hyperlink" Id="rId163"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84" Target="https://doi.org/10.1029/2023GL103540" TargetMode="External" /><Relationship Type="http://schemas.openxmlformats.org/officeDocument/2006/relationships/hyperlink" Id="rId197" Target="https://doi.org/10.1038/s41467-022-35571-0" TargetMode="External" /><Relationship Type="http://schemas.openxmlformats.org/officeDocument/2006/relationships/hyperlink" Id="rId200" Target="https://doi.org/10.1038/s41558-019-0412-1" TargetMode="External" /><Relationship Type="http://schemas.openxmlformats.org/officeDocument/2006/relationships/hyperlink" Id="rId171" Target="https://doi.org/10.1038/s41598-019-50643-w" TargetMode="External" /><Relationship Type="http://schemas.openxmlformats.org/officeDocument/2006/relationships/hyperlink" Id="rId139" Target="https://doi.org/10.1038/s43247-024-01543-z" TargetMode="External" /><Relationship Type="http://schemas.openxmlformats.org/officeDocument/2006/relationships/hyperlink" Id="rId158" Target="https://doi.org/10.1073/pnas.0402642101" TargetMode="External" /><Relationship Type="http://schemas.openxmlformats.org/officeDocument/2006/relationships/hyperlink" Id="rId181" Target="https://doi.org/10.1073/pnas.0500008102" TargetMode="External" /><Relationship Type="http://schemas.openxmlformats.org/officeDocument/2006/relationships/hyperlink" Id="rId176" Target="https://doi.org/10.1111/gcb.14282" TargetMode="External" /><Relationship Type="http://schemas.openxmlformats.org/officeDocument/2006/relationships/hyperlink" Id="rId203" Target="https://doi.org/10.1152/physiol.00040.2018" TargetMode="External" /><Relationship Type="http://schemas.openxmlformats.org/officeDocument/2006/relationships/hyperlink" Id="rId189" Target="https://doi.org/10.21105/joss.00821" TargetMode="External" /><Relationship Type="http://schemas.openxmlformats.org/officeDocument/2006/relationships/hyperlink" Id="rId129" Target="https://doi.org/10.3354/meps14588" TargetMode="External" /><Relationship Type="http://schemas.openxmlformats.org/officeDocument/2006/relationships/hyperlink" Id="rId174" Target="https://doi.org/10.3389/fmars.2019.00734" TargetMode="External" /><Relationship Type="http://schemas.openxmlformats.org/officeDocument/2006/relationships/hyperlink" Id="rId13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62" Target="https://github.com/SigOiry/HeatWave_Seagrasses/blob/main/Scripts/MeteoFrance_Extraction.qmd" TargetMode="External" /><Relationship Type="http://schemas.openxmlformats.org/officeDocument/2006/relationships/hyperlink" Id="rId195" Target="https://services.data.shom.fr/geonetwork/srv/fre/catalog.search#/metadata/BATHYMETRIE_LITTO3D_BZH_2018_2021.xml" TargetMode="External" /><Relationship Type="http://schemas.openxmlformats.org/officeDocument/2006/relationships/hyperlink" Id="rId160" Target="https://www.ioc-sealevelmonitoring.org/station.php?code=lecy" TargetMode="External" /><Relationship Type="http://schemas.openxmlformats.org/officeDocument/2006/relationships/hyperlink" Id="rId4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2024-11-08T18:02:07Z</dcterms:created>
  <dcterms:modified xsi:type="dcterms:W3CDTF">2024-11-08T18:02:07Z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2024-11-08</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