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8.png" ContentType="image/png"/>
  <Override PartName="/word/media/rId31.png" ContentType="image/png"/>
  <Override PartName="/word/media/rId93.png" ContentType="image/png"/>
  <Override PartName="/word/media/rId25.png" ContentType="image/png"/>
  <Override PartName="/word/media/rId104.png" ContentType="image/png"/>
  <Override PartName="/word/media/rId87.png" ContentType="image/png"/>
  <Override PartName="/word/media/rId99.png" ContentType="image/png"/>
  <Override PartName="/word/media/rId41.png" ContentType="image/png"/>
  <Override PartName="/word/media/rId49.png" ContentType="image/png"/>
  <Override PartName="/word/media/rId80.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2024-12-09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7"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heatwaves.</w:t>
      </w:r>
    </w:p>
    <w:p>
      <w:pPr>
        <w:pStyle w:val="BodyText"/>
      </w:pPr>
      <w:r>
        <w:t xml:space="preserve">Two additional well-established radiometric indices were also tested :</w:t>
      </w:r>
    </w:p>
    <w:p>
      <w:pPr>
        <w:pStyle w:val="Compact"/>
        <w:numPr>
          <w:ilvl w:val="0"/>
          <w:numId w:val="1001"/>
        </w:numPr>
      </w:pPr>
      <w:r>
        <w:t xml:space="preserve">The 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Green Leaf Index (GLI,</w:t>
      </w:r>
      <w:r>
        <w:t xml:space="preserve"> </w:t>
      </w:r>
      <w:r>
        <w:t xml:space="preserve">Louhaichi et al. (2001)</w:t>
      </w:r>
      <w:r>
        <w:t xml:space="preserve">), a measurement of the greenness of seagrass leaves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heatwaves, we developed a new radiometric index to detect colour changes in the visible but also near-infrared slope variations, a significant spectral feature for seagrasses</w:t>
      </w:r>
      <w:r>
        <w:t xml:space="preserve"> </w:t>
      </w:r>
      <w:r>
        <w:t xml:space="preserve">(Davies et al., 2023)</w:t>
      </w:r>
      <w:r>
        <w:t xml:space="preserve">. The observed green colour of the leaves turning brown was characterized by a reduction in reflectance within the green region and a substantial decrease in the red-edge portion of the electromagnetic spectrum.</w:t>
      </w:r>
    </w:p>
    <w:p>
      <w:pPr>
        <w:pStyle w:val="BodyText"/>
      </w:pPr>
      <w:r>
        <w:t xml:space="preserve">the Seagrass Heat Shock Index (SHSI) is introduced here to measure the difference between the interpolated value between 560 and 842 nm and the observed value at 740 nm (</w:t>
      </w:r>
      <w:hyperlink w:anchor="fig-SHSI">
        <w:r>
          <w:rPr>
            <w:rStyle w:val="Hyperlink"/>
          </w:rPr>
          <w:t xml:space="preserve">Figure 3</w:t>
        </w:r>
      </w:hyperlink>
      <w:r>
        <w:t xml:space="preserve">).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map leaves browning from satellite data. When applied to unimpacted seagrass spectra, the interpolated line between 560 and 842 nm falls below the reflectance value at 740 nm, resulting in a negative SHSI value (</w:t>
      </w:r>
      <w:hyperlink w:anchor="fig-SHSI">
        <w:r>
          <w:rPr>
            <w:rStyle w:val="Hyperlink"/>
          </w:rPr>
          <w:t xml:space="preserve">Figure 3</w:t>
        </w:r>
      </w:hyperlink>
      <w:r>
        <w:t xml:space="preserve"> </w:t>
      </w:r>
      <w:r>
        <w:t xml:space="preserve">A). In contrast, when applied to impacted seagrass spectra, the interpolated line lies above the 740 nm reflectance value, resulting in a positive SHSI value (</w:t>
      </w:r>
      <w:hyperlink w:anchor="fig-SHSI">
        <w:r>
          <w:rPr>
            <w:rStyle w:val="Hyperlink"/>
          </w:rPr>
          <w:t xml:space="preserve">Figure 3</w:t>
        </w:r>
      </w:hyperlink>
      <w:r>
        <w:t xml:space="preserve"> </w:t>
      </w:r>
      <w:r>
        <w:t xml:space="preserve">B).</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Low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Seagrass Heat Shock Index (SHSI) from Reflectance Spectra of Impacted (A) and Unimpacted (B) seagrass. Hard darkline represents the interpolation between 560 and 842 nm while the red line represents the SHSI value, mesured at 740 nm.</w:t>
            </w:r>
          </w:p>
          <w:bookmarkEnd w:id="44"/>
        </w:tc>
      </w:tr>
    </w:tbl>
    <w:bookmarkEnd w:id="45"/>
    <w:bookmarkEnd w:id="46"/>
    <w:bookmarkEnd w:id="47"/>
    <w:bookmarkEnd w:id="48"/>
    <w:bookmarkStart w:id="66" w:name="Xd96f772c51862643a253d0b9599313841505cdc"/>
    <w:p>
      <w:pPr>
        <w:pStyle w:val="Heading2"/>
      </w:pPr>
      <w:r>
        <w:t xml:space="preserve">3.2 Observation of a seagrass bed impacted by a heatwave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heatwave that occured on the 10th of September 2021 in Quiberon, South Brittany, France. The red line indicates the intertidal zone (Zone between high tide and low tide, exposed during low tide), white polygons indicates land areas, the dark green polygon indicates the extent of the seagrass meadow and the olive polygons indicates saltmarshes. Greendots indicate the location of quadrat picture over unimpacted seagrasses (i.e. showing a green colour on the field), while orange-red dots indicate the location of the quadrat taken over impacted seagrasses (i.e. showing a brown colour on the field).</w:t>
            </w:r>
          </w:p>
          <w:bookmarkEnd w:id="52"/>
        </w:tc>
      </w:tr>
    </w:tbl>
    <w:bookmarkEnd w:id="53"/>
    <w:p>
      <w:pPr>
        <w:pStyle w:val="BodyText"/>
      </w:pPr>
      <w:r>
        <w:t xml:space="preserve">A field campaign, aiming to map a seagrass meadow near Quiberon (France : 46°57’32.0”N, 2°10’37.0”W), occurred on September 10th 2021 after a heatwave (</w:t>
      </w:r>
      <w:hyperlink w:anchor="fig-quiberonMap">
        <w:r>
          <w:rPr>
            <w:rStyle w:val="Hyperlink"/>
          </w:rPr>
          <w:t xml:space="preserve">Figure 4</w:t>
        </w:r>
      </w:hyperlink>
      <w:r>
        <w:t xml:space="preserve">). Seagrass leaves turning brown were observed over large areas of the meadow alongside normal green seagrass (</w:t>
      </w:r>
      <w:hyperlink w:anchor="fig-QuiberonImg">
        <w:r>
          <w:rPr>
            <w:rStyle w:val="Hyperlink"/>
          </w:rPr>
          <w:t xml:space="preserve">Figure 5</w:t>
        </w:r>
      </w:hyperlink>
      <w:r>
        <w:t xml:space="preserve">). A total of 96 Quadrat Points (QPs) were collected as georeferenced quadrat images across the meadow. These images allow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841744" cy="1876926"/>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841744" cy="1876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colorations of seagrass leaves observed in the field. A: View of a green meadow; B: Quadrat with green leaves; C: Quadrat with brown leaves; D: View of a meadow with all leaves turned brown. All images were taken on September 10th, 2021, in Quiberon, South Brittany, France, after a heatwave.</w:t>
            </w:r>
          </w:p>
          <w:bookmarkEnd w:id="57"/>
        </w:tc>
      </w:tr>
    </w:tbl>
    <w:bookmarkEnd w:id="58"/>
    <w:bookmarkStart w:id="63" w:name="X8e7c484dbeabc4aff70b42e3c9729c052fb9663"/>
    <w:p>
      <w:pPr>
        <w:pStyle w:val="Heading3"/>
      </w:pPr>
      <w:r>
        <w:t xml:space="preserve">3.2.1 Temperature data and identification of the heatwave</w:t>
      </w:r>
    </w:p>
    <w:bookmarkStart w:id="60" w:name="air-temperature"/>
    <w:p>
      <w:pPr>
        <w:pStyle w:val="Heading4"/>
      </w:pPr>
      <w:r>
        <w:t xml:space="preserve">3.2.1.1 Air temperature</w:t>
      </w:r>
    </w:p>
    <w:p>
      <w:pPr>
        <w:pStyle w:val="FirstParagraph"/>
      </w:pPr>
      <w:r>
        <w:t xml:space="preserve">Since January 1st, 2024, Meteo France weather data has been freely and openly accessible. Hourly air temperature data (°C) was retrieved using a</w:t>
      </w:r>
      <w:r>
        <w:t xml:space="preserve"> </w:t>
      </w:r>
      <w:hyperlink r:id="rId59">
        <w:r>
          <w:rPr>
            <w:rStyle w:val="Hyperlink"/>
          </w:rPr>
          <w:t xml:space="preserve">custom script</w:t>
        </w:r>
      </w:hyperlink>
      <w:r>
        <w:t xml:space="preserve"> </w:t>
      </w:r>
      <w:r>
        <w:t xml:space="preserve">as no API was available at the time of this study. Data from the nearest weather station of our study site (Lorient-Lann Bihoue, 47°45’46”N 3°26’11”W) were downloaded. For this station more than 395000 observations since the February 1</w:t>
      </w:r>
      <w:r>
        <w:t xml:space="preserve">, 1952, were available.</w:t>
      </w:r>
    </w:p>
    <w:bookmarkEnd w:id="60"/>
    <w:bookmarkStart w:id="61" w:name="water-temperature"/>
    <w:p>
      <w:pPr>
        <w:pStyle w:val="Heading4"/>
      </w:pPr>
      <w:r>
        <w:t xml:space="preserve">3.2.1.2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of both air and water temperature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
    <w:p>
      <w:pPr>
        <w:pStyle w:val="Heading3"/>
      </w:pPr>
      <w:r>
        <w:t xml:space="preserve">3.2.2 Satellite observation</w:t>
      </w:r>
    </w:p>
    <w:p>
      <w:pPr>
        <w:pStyle w:val="FirstParagraph"/>
      </w:pPr>
      <w:r>
        <w:t xml:space="preserve">Three Sentinel-2 images covering the field campaign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1st, 2021, the second image during the event on September 6th,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The reflectance value of each QPs (</w:t>
      </w:r>
      <w:hyperlink w:anchor="fig-quiberonMap">
        <w:r>
          <w:rPr>
            <w:rStyle w:val="Hyperlink"/>
          </w:rPr>
          <w:t xml:space="preserve">Figure 4</w:t>
        </w:r>
      </w:hyperlink>
      <w:r>
        <w:t xml:space="preserve">) was extracted and compared before and after the heatwave event.</w:t>
      </w:r>
    </w:p>
    <w:bookmarkEnd w:id="64"/>
    <w:bookmarkStart w:id="65" w:name="emersion-time-of-the-seagrass-meadow"/>
    <w:p>
      <w:pPr>
        <w:pStyle w:val="Heading3"/>
      </w:pPr>
      <w:r>
        <w:t xml:space="preserve">3.2.3 Emersion time of the seagrass meadow</w:t>
      </w:r>
    </w:p>
    <w:p>
      <w:pPr>
        <w:pStyle w:val="FirstParagraph"/>
      </w:pPr>
      <w:r>
        <w:t xml:space="preserve">To estimate the spatial distribution of emersion time of the seagrass meadow during low tide, bathymetric and tidal data were used. The hypothesis was that the leaf’s discoloration follwing the heatwave was related to the emersion time and intertidal topography.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with a spatial resolution of 1 m per pixel,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The correction factor for Le Crouesty port data from 2022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Replicate (henceforth Runs;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7"/>
    <w:bookmarkEnd w:id="68"/>
    <w:bookmarkStart w:id="111"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simulted heatwave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heatwave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7</w:t>
        </w:r>
      </w:hyperlink>
      <w:r>
        <w:t xml:space="preserve"> </w:t>
      </w:r>
      <w:r>
        <w:t xml:space="preserve">A, B and C)</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SHSI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D).</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heatwave. A: Relative difference of the second derivative at 665 nm between the Control and the Treatment over time; B: Relative difference of the NDVI; C: Relative difference of the GLI; E: Relative difference of the SHSI. Points indicate raw data, the line represents a generalized linear model, and the shaded area is the model’s standard error. The dased lines represent no difference between the Control and the Treatment.</w:t>
            </w:r>
          </w:p>
          <w:bookmarkEnd w:id="78"/>
        </w:tc>
      </w:tr>
    </w:tbl>
    <w:bookmarkEnd w:id="79"/>
    <w:p>
      <w:pPr>
        <w:pStyle w:val="BodyText"/>
      </w:pPr>
      <w:r>
        <w:t xml:space="preserve">The SHSI revealed clear distinctions between the Control and Treatment groups (</w:t>
      </w:r>
      <w:hyperlink w:anchor="fig-SDI_over_Time">
        <w:r>
          <w:rPr>
            <w:rStyle w:val="Hyperlink"/>
          </w:rPr>
          <w:t xml:space="preserve">Figure 8</w:t>
        </w:r>
      </w:hyperlink>
      <w:r>
        <w:t xml:space="preserve">). At day 1, the SHSI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and standard deviation of the Seagrass Darkening Index (SDI) across expimental runs, at each day of the experiment. Tge green line shows values of the Control group while the golden line indicates values of the Treatment group.</w:t>
            </w:r>
          </w:p>
          <w:bookmarkEnd w:id="83"/>
        </w:tc>
      </w:tr>
    </w:tbl>
    <w:bookmarkEnd w:id="84"/>
    <w:bookmarkEnd w:id="85"/>
    <w:bookmarkEnd w:id="86"/>
    <w:bookmarkStart w:id="110" w:name="heatwaves-of-quiberon"/>
    <w:p>
      <w:pPr>
        <w:pStyle w:val="Heading2"/>
      </w:pPr>
      <w:r>
        <w:t xml:space="preserve">4.2 Heatwaves of Quiberon</w:t>
      </w:r>
    </w:p>
    <w:bookmarkStart w:id="92" w:name="spectral-inspection"/>
    <w:p>
      <w:pPr>
        <w:pStyle w:val="Heading3"/>
      </w:pPr>
      <w:r>
        <w:t xml:space="preserve">4.2.1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9</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90"/>
        </w:tc>
      </w:tr>
    </w:tbl>
    <w:bookmarkEnd w:id="91"/>
    <w:bookmarkEnd w:id="92"/>
    <w:bookmarkStart w:id="98" w:name="sentinel-2-derived-metrics-comparison"/>
    <w:p>
      <w:pPr>
        <w:pStyle w:val="Heading3"/>
      </w:pPr>
      <w:r>
        <w:t xml:space="preserve">4.2.2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10</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5</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10</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5646420"/>
                  <wp:effectExtent b="0" l="0" r="0" t="0"/>
                  <wp:docPr descr="" title="" id="94" name="Picture"/>
                  <a:graphic>
                    <a:graphicData uri="http://schemas.openxmlformats.org/drawingml/2006/picture">
                      <pic:pic>
                        <pic:nvPicPr>
                          <pic:cNvPr descr="Figs/Low_res/Compares_Indices_S2.png" id="95" name="Picture"/>
                          <pic:cNvPicPr>
                            <a:picLocks noChangeArrowheads="1" noChangeAspect="1"/>
                          </pic:cNvPicPr>
                        </pic:nvPicPr>
                        <pic:blipFill>
                          <a:blip r:embed="rId9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96"/>
        </w:tc>
      </w:tr>
    </w:tbl>
    <w:bookmarkEnd w:id="97"/>
    <w:bookmarkEnd w:id="98"/>
    <w:bookmarkStart w:id="109" w:name="mapping-of-the-seagrass-darkening"/>
    <w:p>
      <w:pPr>
        <w:pStyle w:val="Heading3"/>
      </w:pPr>
      <w:r>
        <w:t xml:space="preserve">4.2.3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11</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11</w:t>
        </w:r>
      </w:hyperlink>
      <w:r>
        <w:t xml:space="preserve">, A and B). One month later, on October 8th, areas that were previously darkened had regained their green color (</w:t>
      </w:r>
      <w:hyperlink w:anchor="fig-Map_darkening_Bathy">
        <w:r>
          <w:rPr>
            <w:rStyle w:val="Hyperlink"/>
          </w:rPr>
          <w:t xml:space="preserve">Figure 11</w:t>
        </w:r>
      </w:hyperlink>
      <w:r>
        <w:t xml:space="preserve">, C).</w:t>
      </w:r>
    </w:p>
    <w:bookmarkStart w:id="103" w:name="cell-fig-Map_darkening_Bathy"/>
    <w:tbl>
      <w:tblPr>
        <w:tblStyle w:val="Table"/>
        <w:tblW w:type="pct" w:w="5000"/>
        <w:tblLayout w:type="fixed"/>
        <w:tblLook w:firstRow="0" w:lastRow="0" w:firstColumn="0" w:lastColumn="0" w:noHBand="0" w:noVBand="0" w:val="0000"/>
      </w:tblPr>
      <w:tblGrid>
        <w:gridCol w:w="7920"/>
      </w:tblGrid>
      <w:tr>
        <w:tc>
          <w:tcPr/>
          <w:bookmarkStart w:id="102" w:name="fig-Map_darkening_Bathy"/>
          <w:p>
            <w:pPr>
              <w:pStyle w:val="Compact"/>
              <w:jc w:val="center"/>
            </w:pPr>
            <w:r>
              <w:drawing>
                <wp:inline>
                  <wp:extent cx="5646420" cy="3500780"/>
                  <wp:effectExtent b="0" l="0" r="0" t="0"/>
                  <wp:docPr descr="" title="" id="100" name="Picture"/>
                  <a:graphic>
                    <a:graphicData uri="http://schemas.openxmlformats.org/drawingml/2006/picture">
                      <pic:pic>
                        <pic:nvPicPr>
                          <pic:cNvPr descr="Figs/Low_res/Map_darkening_Bathy.png" id="101" name="Picture"/>
                          <pic:cNvPicPr>
                            <a:picLocks noChangeArrowheads="1" noChangeAspect="1"/>
                          </pic:cNvPicPr>
                        </pic:nvPicPr>
                        <pic:blipFill>
                          <a:blip r:embed="rId99"/>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102"/>
        </w:tc>
      </w:tr>
    </w:tbl>
    <w:bookmarkEnd w:id="103"/>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heatwave, no significant darkening occurred with daily exposure less than 13 hours. However, above 13 hours, seagrasses began to darken, reaching peak darkening at around 14.5 hours of daily exposure.</w:t>
      </w:r>
    </w:p>
    <w:bookmarkStart w:id="108" w:name="cell-fig-GAM_Emersion"/>
    <w:tbl>
      <w:tblPr>
        <w:tblStyle w:val="Table"/>
        <w:tblW w:type="pct" w:w="5000"/>
        <w:tblLayout w:type="fixed"/>
        <w:tblLook w:firstRow="0" w:lastRow="0" w:firstColumn="0" w:lastColumn="0" w:noHBand="0" w:noVBand="0" w:val="0000"/>
      </w:tblPr>
      <w:tblGrid>
        <w:gridCol w:w="7920"/>
      </w:tblGrid>
      <w:tr>
        <w:tc>
          <w:tcPr/>
          <w:bookmarkStart w:id="107" w:name="fig-GAM_Emersion"/>
          <w:p>
            <w:pPr>
              <w:pStyle w:val="Compact"/>
              <w:jc w:val="center"/>
            </w:pPr>
            <w:r>
              <w:drawing>
                <wp:inline>
                  <wp:extent cx="5646420" cy="2823210"/>
                  <wp:effectExtent b="0" l="0" r="0" t="0"/>
                  <wp:docPr descr="" title="" id="105" name="Picture"/>
                  <a:graphic>
                    <a:graphicData uri="http://schemas.openxmlformats.org/drawingml/2006/picture">
                      <pic:pic>
                        <pic:nvPicPr>
                          <pic:cNvPr descr="Figs/Low_res/GAM_emersion.png" id="106" name="Picture"/>
                          <pic:cNvPicPr>
                            <a:picLocks noChangeArrowheads="1" noChangeAspect="1"/>
                          </pic:cNvPicPr>
                        </pic:nvPicPr>
                        <pic:blipFill>
                          <a:blip r:embed="rId104"/>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7"/>
        </w:tc>
      </w:tr>
    </w:tbl>
    <w:bookmarkEnd w:id="108"/>
    <w:bookmarkEnd w:id="109"/>
    <w:bookmarkEnd w:id="110"/>
    <w:bookmarkEnd w:id="111"/>
    <w:bookmarkStart w:id="116" w:name="discussion"/>
    <w:p>
      <w:pPr>
        <w:pStyle w:val="Heading1"/>
      </w:pPr>
      <w:r>
        <w:t xml:space="preserve">5. Discussion</w:t>
      </w:r>
    </w:p>
    <w:bookmarkStart w:id="112"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7</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2"/>
    <w:bookmarkStart w:id="113"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3"/>
    <w:bookmarkStart w:id="114"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4"/>
    <w:bookmarkStart w:id="115"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5"/>
    <w:bookmarkEnd w:id="116"/>
    <w:bookmarkStart w:id="117"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7"/>
    <w:bookmarkStart w:id="122" w:name="annexes"/>
    <w:p>
      <w:pPr>
        <w:pStyle w:val="Heading1"/>
      </w:pPr>
      <w:r>
        <w:t xml:space="preserve">7. Annexes</w:t>
      </w:r>
    </w:p>
    <w:bookmarkStart w:id="121"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9" name="Picture"/>
            <a:graphic>
              <a:graphicData uri="http://schemas.openxmlformats.org/drawingml/2006/picture">
                <pic:pic>
                  <pic:nvPicPr>
                    <pic:cNvPr descr="Figs/High_res/Temperature_compare.png" id="120" name="Picture"/>
                    <pic:cNvPicPr>
                      <a:picLocks noChangeArrowheads="1" noChangeAspect="1"/>
                    </pic:cNvPicPr>
                  </pic:nvPicPr>
                  <pic:blipFill>
                    <a:blip r:embed="rId11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1"/>
    <w:bookmarkEnd w:id="122"/>
    <w:bookmarkStart w:id="230" w:name="references"/>
    <w:p>
      <w:pPr>
        <w:pStyle w:val="Heading1"/>
      </w:pPr>
      <w:r>
        <w:t xml:space="preserve">8. References</w:t>
      </w:r>
    </w:p>
    <w:bookmarkStart w:id="229" w:name="refs"/>
    <w:bookmarkStart w:id="123"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3"/>
    <w:bookmarkStart w:id="124"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4"/>
    <w:bookmarkStart w:id="125"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8"/>
    <w:bookmarkStart w:id="130" w:name="ref-JSSv100i05"/>
    <w:p>
      <w:pPr>
        <w:pStyle w:val="Bibliography"/>
      </w:pPr>
      <w:r>
        <w:t xml:space="preserve">Bürkner, P.-C., 2021. Bayesian item response modeling in r with brms and stan. Journal of Statistical Software 100, 1–54.</w:t>
      </w:r>
      <w:r>
        <w:t xml:space="preserve"> </w:t>
      </w:r>
      <w:hyperlink r:id="rId129">
        <w:r>
          <w:rPr>
            <w:rStyle w:val="Hyperlink"/>
          </w:rPr>
          <w:t xml:space="preserve">https://doi.org/10.18637/jss.v100.i05</w:t>
        </w:r>
      </w:hyperlink>
    </w:p>
    <w:bookmarkEnd w:id="130"/>
    <w:bookmarkStart w:id="13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1"/>
    <w:bookmarkStart w:id="13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2"/>
    <w:bookmarkStart w:id="133" w:name="ref-canadell2021ecosystem"/>
    <w:p>
      <w:pPr>
        <w:pStyle w:val="Bibliography"/>
      </w:pPr>
      <w:r>
        <w:t xml:space="preserve">Canadell, J.G., Jackson, R.B., 2021. Ecosystem collapse and climate change. Springer.</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5"/>
    <w:bookmarkStart w:id="146" w:name="ref-deguette2022physiological"/>
    <w:p>
      <w:pPr>
        <w:pStyle w:val="Bibliography"/>
      </w:pPr>
      <w:r>
        <w:t xml:space="preserve">Deguette, A., Barrote, I., Silva, J., 2022. Physiological and morphological effects of a marine heatwave on the seagrass cymodocea nodosa. Scientific Reports 12, 7950.</w:t>
      </w:r>
    </w:p>
    <w:bookmarkEnd w:id="146"/>
    <w:bookmarkStart w:id="147" w:name="ref-devi2024intensity"/>
    <w:p>
      <w:pPr>
        <w:pStyle w:val="Bibliography"/>
      </w:pPr>
      <w:r>
        <w:t xml:space="preserve">Devi, R., Gouda, K., Lenka, S., 2024. Intensity duration and frequency of heat wave in different phases of MJO over india. Atmospheric Research 300, 107250.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50" w:name="ref-electricblue_intertidal_chamber"/>
    <w:p>
      <w:pPr>
        <w:pStyle w:val="Bibliography"/>
      </w:pPr>
      <w:r>
        <w:t xml:space="preserve">Electric Blue, 2023.</w:t>
      </w:r>
      <w:r>
        <w:t xml:space="preserve"> </w:t>
      </w:r>
      <w:hyperlink r:id="rId149">
        <w:r>
          <w:rPr>
            <w:rStyle w:val="Hyperlink"/>
          </w:rPr>
          <w:t xml:space="preserve">Intertidal chamber</w:t>
        </w:r>
      </w:hyperlink>
      <w:r>
        <w:t xml:space="preserve">.</w:t>
      </w:r>
    </w:p>
    <w:bookmarkEnd w:id="150"/>
    <w:bookmarkStart w:id="151" w:name="ref-sen2cor"/>
    <w:p>
      <w:pPr>
        <w:pStyle w:val="Bibliography"/>
      </w:pPr>
      <w:r>
        <w:t xml:space="preserve">European Space Agency, 2024b. Sen2Cor: Sentinel-2 atmospheric correction processor.</w:t>
      </w:r>
    </w:p>
    <w:bookmarkEnd w:id="151"/>
    <w:bookmarkStart w:id="152" w:name="ref-copernicus_sentinel2"/>
    <w:p>
      <w:pPr>
        <w:pStyle w:val="Bibliography"/>
      </w:pPr>
      <w:r>
        <w:t xml:space="preserve">European Space Agency, 2024a. Copernicus open access hub.</w:t>
      </w:r>
    </w:p>
    <w:bookmarkEnd w:id="152"/>
    <w:bookmarkStart w:id="15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3"/>
    <w:bookmarkStart w:id="15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4"/>
    <w:bookmarkStart w:id="15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5"/>
    <w:bookmarkStart w:id="156"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6"/>
    <w:bookmarkStart w:id="157" w:name="ref-gardner2018global"/>
    <w:p>
      <w:pPr>
        <w:pStyle w:val="Bibliography"/>
      </w:pPr>
      <w:r>
        <w:t xml:space="preserve">Gardner, R.C., Finlayson, C., 2018. Global wetland outlook: State of the world’s wetlands and their services to people, in: Ramsar Convention Secretariat. pp. 2020–5.</w:t>
      </w:r>
    </w:p>
    <w:bookmarkEnd w:id="157"/>
    <w:bookmarkStart w:id="158"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8"/>
    <w:bookmarkStart w:id="160"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9">
        <w:r>
          <w:rPr>
            <w:rStyle w:val="Hyperlink"/>
          </w:rPr>
          <w:t xml:space="preserve">https://doi.org/10.1002/aqc.4210</w:t>
        </w:r>
      </w:hyperlink>
    </w:p>
    <w:bookmarkEnd w:id="160"/>
    <w:bookmarkStart w:id="161"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1"/>
    <w:bookmarkStart w:id="162"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2"/>
    <w:bookmarkStart w:id="164"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3">
        <w:r>
          <w:rPr>
            <w:rStyle w:val="Hyperlink"/>
          </w:rPr>
          <w:t xml:space="preserve">https://doi.org/10.1073/pnas.0402642101</w:t>
        </w:r>
      </w:hyperlink>
    </w:p>
    <w:bookmarkEnd w:id="164"/>
    <w:bookmarkStart w:id="166" w:name="ref-ioc_sea_level_lecy"/>
    <w:p>
      <w:pPr>
        <w:pStyle w:val="Bibliography"/>
      </w:pPr>
      <w:r>
        <w:t xml:space="preserve">IOC, 2024.</w:t>
      </w:r>
      <w:r>
        <w:t xml:space="preserve"> </w:t>
      </w:r>
      <w:hyperlink r:id="rId165">
        <w:r>
          <w:rPr>
            <w:rStyle w:val="Hyperlink"/>
          </w:rPr>
          <w:t xml:space="preserve">Intergovernmental oceanographic commission ; sea level monitoring station - le conquet, france (LECY)</w:t>
        </w:r>
      </w:hyperlink>
      <w:r>
        <w:t xml:space="preserve">.</w:t>
      </w:r>
    </w:p>
    <w:bookmarkEnd w:id="166"/>
    <w:bookmarkStart w:id="16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7"/>
    <w:bookmarkStart w:id="169"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8">
        <w:r>
          <w:rPr>
            <w:rStyle w:val="Hyperlink"/>
          </w:rPr>
          <w:t xml:space="preserve">https://doi.org/10.1016/S0304-4238(05)80016-0</w:t>
        </w:r>
      </w:hyperlink>
    </w:p>
    <w:bookmarkEnd w:id="169"/>
    <w:bookmarkStart w:id="171"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0">
        <w:r>
          <w:rPr>
            <w:rStyle w:val="Hyperlink"/>
          </w:rPr>
          <w:t xml:space="preserve">https://doi.org/10.1016/S0034-4257(70)80021-9</w:t>
        </w:r>
      </w:hyperlink>
    </w:p>
    <w:bookmarkEnd w:id="171"/>
    <w:bookmarkStart w:id="172" w:name="ref-hsdar"/>
    <w:p>
      <w:pPr>
        <w:pStyle w:val="Bibliography"/>
      </w:pPr>
      <w:r>
        <w:t xml:space="preserve">Lehnert, L.W., Meyer, H., Bendix, J., 2017. Hsdar: Manage, analyse and simulate hyperspectral data in r.</w:t>
      </w:r>
    </w:p>
    <w:bookmarkEnd w:id="172"/>
    <w:bookmarkStart w:id="173" w:name="ref-loarie2009velocity"/>
    <w:p>
      <w:pPr>
        <w:pStyle w:val="Bibliography"/>
      </w:pPr>
      <w:r>
        <w:t xml:space="preserve">Loarie, S.R., Duffy, P.B., Hamilton, H., Asner, G.P., Field, C.B., Ackerly, D.D., 2009. The velocity of climate change. Nature 462, 1052–1055.</w:t>
      </w:r>
    </w:p>
    <w:bookmarkEnd w:id="173"/>
    <w:bookmarkStart w:id="174"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4"/>
    <w:bookmarkStart w:id="176" w:name="ref-malvern_panalytical_rs3"/>
    <w:p>
      <w:pPr>
        <w:pStyle w:val="Bibliography"/>
      </w:pPr>
      <w:r>
        <w:t xml:space="preserve">Malvern Panalytical, 2023.</w:t>
      </w:r>
      <w:r>
        <w:t xml:space="preserve"> </w:t>
      </w:r>
      <w:hyperlink r:id="rId175">
        <w:r>
          <w:rPr>
            <w:rStyle w:val="Hyperlink"/>
          </w:rPr>
          <w:t xml:space="preserve">RS3 software</w:t>
        </w:r>
      </w:hyperlink>
      <w:r>
        <w:t xml:space="preserve">.</w:t>
      </w:r>
    </w:p>
    <w:bookmarkEnd w:id="176"/>
    <w:bookmarkStart w:id="177"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7"/>
    <w:bookmarkStart w:id="17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8"/>
    <w:bookmarkStart w:id="18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9">
        <w:r>
          <w:rPr>
            <w:rStyle w:val="Hyperlink"/>
          </w:rPr>
          <w:t xml:space="preserve">https://doi.org/10.1038/s41598-019-50643-w</w:t>
        </w:r>
      </w:hyperlink>
    </w:p>
    <w:bookmarkEnd w:id="180"/>
    <w:bookmarkStart w:id="18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1"/>
    <w:bookmarkStart w:id="183"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2">
        <w:r>
          <w:rPr>
            <w:rStyle w:val="Hyperlink"/>
          </w:rPr>
          <w:t xml:space="preserve">https://doi.org/10.3390/rs16234383</w:t>
        </w:r>
      </w:hyperlink>
    </w:p>
    <w:bookmarkEnd w:id="183"/>
    <w:bookmarkStart w:id="185"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4">
        <w:r>
          <w:rPr>
            <w:rStyle w:val="Hyperlink"/>
          </w:rPr>
          <w:t xml:space="preserve">https://doi.org/10.3389/fmars.2019.00734</w:t>
        </w:r>
      </w:hyperlink>
    </w:p>
    <w:bookmarkEnd w:id="185"/>
    <w:bookmarkStart w:id="186"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6"/>
    <w:bookmarkStart w:id="188"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7">
        <w:r>
          <w:rPr>
            <w:rStyle w:val="Hyperlink"/>
          </w:rPr>
          <w:t xml:space="preserve">https://doi.org/10.1111/gcb.14282</w:t>
        </w:r>
      </w:hyperlink>
    </w:p>
    <w:bookmarkEnd w:id="188"/>
    <w:bookmarkStart w:id="189"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9"/>
    <w:bookmarkStart w:id="190" w:name="ref-perkins2013measurement"/>
    <w:p>
      <w:pPr>
        <w:pStyle w:val="Bibliography"/>
      </w:pPr>
      <w:r>
        <w:t xml:space="preserve">Perkins, S.E., Alexander, L.V., 2013. On the measurement of heat waves. Journal of climate 26, 4500–4517.</w:t>
      </w:r>
    </w:p>
    <w:bookmarkEnd w:id="190"/>
    <w:bookmarkStart w:id="192" w:name="ref-Rbase"/>
    <w:p>
      <w:pPr>
        <w:pStyle w:val="Bibliography"/>
      </w:pPr>
      <w:r>
        <w:t xml:space="preserve">R Core Team, 2023.</w:t>
      </w:r>
      <w:r>
        <w:t xml:space="preserve"> </w:t>
      </w:r>
      <w:hyperlink r:id="rId191">
        <w:r>
          <w:rPr>
            <w:rStyle w:val="Hyperlink"/>
          </w:rPr>
          <w:t xml:space="preserve">R: A language and environment for statistical computing</w:t>
        </w:r>
      </w:hyperlink>
      <w:r>
        <w:t xml:space="preserve">. R Foundation for Statistical Computing, Vienna, Austria.</w:t>
      </w:r>
    </w:p>
    <w:bookmarkEnd w:id="192"/>
    <w:bookmarkStart w:id="193" w:name="ref-ramesh2020seagrass"/>
    <w:p>
      <w:pPr>
        <w:pStyle w:val="Bibliography"/>
      </w:pPr>
      <w:r>
        <w:t xml:space="preserve">Ramesh, C., Mohanraju, R., 2020. Seagrass ecosystems of andaman and nicobar islands: Status and future perspective. Environmental &amp; Earth Sciences Research Journal 7.</w:t>
      </w:r>
    </w:p>
    <w:bookmarkEnd w:id="193"/>
    <w:bookmarkStart w:id="195"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4">
        <w:r>
          <w:rPr>
            <w:rStyle w:val="Hyperlink"/>
          </w:rPr>
          <w:t xml:space="preserve">https://doi.org/10.1073/pnas.0500008102</w:t>
        </w:r>
      </w:hyperlink>
    </w:p>
    <w:bookmarkEnd w:id="195"/>
    <w:bookmarkStart w:id="196" w:name="ref-roman2021using"/>
    <w:p>
      <w:pPr>
        <w:pStyle w:val="Bibliography"/>
      </w:pPr>
      <w:r>
        <w:t xml:space="preserve">Román, A., Tovar-Sánchez, A., Olivé, I., Navarro, G., 2021. Using a UAV-mounted multispectral camera for the monitoring of marine macrophytes. Frontiers in Marine Science 8, 722698.</w:t>
      </w:r>
    </w:p>
    <w:bookmarkEnd w:id="196"/>
    <w:bookmarkStart w:id="197" w:name="ref-rouse1974monitoring"/>
    <w:p>
      <w:pPr>
        <w:pStyle w:val="Bibliography"/>
      </w:pPr>
      <w:r>
        <w:t xml:space="preserve">Rouse, J.W., Haas, R.H., Schell, J.A., Deering, D.W., others, 1974. Monitoring vegetation systems in the great plains with ERTS. NASA Spec. Publ 351, 309.</w:t>
      </w:r>
    </w:p>
    <w:bookmarkEnd w:id="197"/>
    <w:bookmarkStart w:id="199"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8">
        <w:r>
          <w:rPr>
            <w:rStyle w:val="Hyperlink"/>
          </w:rPr>
          <w:t xml:space="preserve">https://doi.org/10.1029/2023GL103540</w:t>
        </w:r>
      </w:hyperlink>
    </w:p>
    <w:bookmarkEnd w:id="199"/>
    <w:bookmarkStart w:id="20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0"/>
    <w:bookmarkStart w:id="20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1"/>
    <w:bookmarkStart w:id="20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2">
        <w:r>
          <w:rPr>
            <w:rStyle w:val="Hyperlink"/>
          </w:rPr>
          <w:t xml:space="preserve">https://doi.org/10.21105/joss.00821</w:t>
        </w:r>
      </w:hyperlink>
    </w:p>
    <w:bookmarkEnd w:id="203"/>
    <w:bookmarkStart w:id="20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4"/>
    <w:bookmarkStart w:id="205"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5"/>
    <w:bookmarkStart w:id="207" w:name="ref-shom_ram_2022"/>
    <w:p>
      <w:pPr>
        <w:pStyle w:val="Bibliography"/>
      </w:pPr>
      <w:r>
        <w:t xml:space="preserve">Shom, 2022.</w:t>
      </w:r>
      <w:r>
        <w:t xml:space="preserve"> </w:t>
      </w:r>
      <w:hyperlink r:id="rId20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7"/>
    <w:bookmarkStart w:id="209" w:name="Xbef41143b4d4042e58f11cfc27e216202646012"/>
    <w:p>
      <w:pPr>
        <w:pStyle w:val="Bibliography"/>
      </w:pPr>
      <w:r>
        <w:t xml:space="preserve">SHOM, 2021.</w:t>
      </w:r>
      <w:r>
        <w:t xml:space="preserve"> </w:t>
      </w:r>
      <w:hyperlink r:id="rId208">
        <w:r>
          <w:rPr>
            <w:rStyle w:val="Hyperlink"/>
          </w:rPr>
          <w:t xml:space="preserve">Service hydrographique et océanographique de la marine ; bathymétrie Litto3D® bretagne 2018-2021</w:t>
        </w:r>
      </w:hyperlink>
      <w:r>
        <w:t xml:space="preserve">.</w:t>
      </w:r>
    </w:p>
    <w:bookmarkEnd w:id="209"/>
    <w:bookmarkStart w:id="211" w:name="ref-simolo2022quantifying"/>
    <w:p>
      <w:pPr>
        <w:pStyle w:val="Bibliography"/>
      </w:pPr>
      <w:r>
        <w:t xml:space="preserve">Simolo, C., Corti, S., 2022. Quantifying the role of variability in future intensification of heat extremes. Nature Communications 13.</w:t>
      </w:r>
      <w:r>
        <w:t xml:space="preserve"> </w:t>
      </w:r>
      <w:hyperlink r:id="rId210">
        <w:r>
          <w:rPr>
            <w:rStyle w:val="Hyperlink"/>
          </w:rPr>
          <w:t xml:space="preserve">https://doi.org/10.1038/s41467-022-35571-0</w:t>
        </w:r>
      </w:hyperlink>
    </w:p>
    <w:bookmarkEnd w:id="211"/>
    <w:bookmarkStart w:id="212"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2"/>
    <w:bookmarkStart w:id="214"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3">
        <w:r>
          <w:rPr>
            <w:rStyle w:val="Hyperlink"/>
          </w:rPr>
          <w:t xml:space="preserve">https://doi.org/10.1038/s41558-019-0412-1</w:t>
        </w:r>
      </w:hyperlink>
    </w:p>
    <w:bookmarkEnd w:id="214"/>
    <w:bookmarkStart w:id="21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5"/>
    <w:bookmarkStart w:id="216" w:name="ref-stan2020rstan"/>
    <w:p>
      <w:pPr>
        <w:pStyle w:val="Bibliography"/>
      </w:pPr>
      <w:r>
        <w:t xml:space="preserve">Stan Development Team, C., others, 2020. RStan: The r interface to stan. R package version 2.21. 2.</w:t>
      </w:r>
    </w:p>
    <w:bookmarkEnd w:id="216"/>
    <w:bookmarkStart w:id="218"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7">
        <w:r>
          <w:rPr>
            <w:rStyle w:val="Hyperlink"/>
          </w:rPr>
          <w:t xml:space="preserve">https://doi.org/10.1152/physiol.00040.2018</w:t>
        </w:r>
      </w:hyperlink>
    </w:p>
    <w:bookmarkEnd w:id="218"/>
    <w:bookmarkStart w:id="219"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9"/>
    <w:bookmarkStart w:id="220" w:name="ref-unsworth2014biodiversity"/>
    <w:p>
      <w:pPr>
        <w:pStyle w:val="Bibliography"/>
      </w:pPr>
      <w:r>
        <w:t xml:space="preserve">Unsworth, R., Cullen-Unsworth, L.C., 2014. Biodiversity, ecosystem services, and the conservation of seagrass meadows. Coast. Conserv 19, 95.</w:t>
      </w:r>
    </w:p>
    <w:bookmarkEnd w:id="220"/>
    <w:bookmarkStart w:id="221" w:name="ref-unsworth2022planetary"/>
    <w:p>
      <w:pPr>
        <w:pStyle w:val="Bibliography"/>
      </w:pPr>
      <w:r>
        <w:t xml:space="preserve">Unsworth, R.K., Cullen-Unsworth, L.C., Jones, B.L., Lilley, R.J., 2022. The planetary role of seagrass conservation. Science 377, 609–613.</w:t>
      </w:r>
    </w:p>
    <w:bookmarkEnd w:id="221"/>
    <w:bookmarkStart w:id="222"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2"/>
    <w:bookmarkStart w:id="223"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3"/>
    <w:bookmarkStart w:id="224"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4"/>
    <w:bookmarkStart w:id="225" w:name="ref-zahoor2023water"/>
    <w:p>
      <w:pPr>
        <w:pStyle w:val="Bibliography"/>
      </w:pPr>
      <w:r>
        <w:t xml:space="preserve">Zahoor, I., Mushtaq, A., 2023. Water pollution from agricultural activities: A critical global review. Int. J. Chem. Biochem. Sci 23, 164–176.</w:t>
      </w:r>
    </w:p>
    <w:bookmarkEnd w:id="225"/>
    <w:bookmarkStart w:id="22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6"/>
    <w:bookmarkStart w:id="228"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7">
        <w:r>
          <w:rPr>
            <w:rStyle w:val="Hyperlink"/>
          </w:rPr>
          <w:t xml:space="preserve">https://doi.org/10.1002/rse2.319</w:t>
        </w:r>
      </w:hyperlink>
    </w:p>
    <w:bookmarkEnd w:id="228"/>
    <w:bookmarkEnd w:id="229"/>
    <w:bookmarkEnd w:id="230"/>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8" Target="media/rId118.png" /><Relationship Type="http://schemas.openxmlformats.org/officeDocument/2006/relationships/image" Id="rId31" Target="media/rId31.png" /><Relationship Type="http://schemas.openxmlformats.org/officeDocument/2006/relationships/image" Id="rId93" Target="media/rId93.png" /><Relationship Type="http://schemas.openxmlformats.org/officeDocument/2006/relationships/image" Id="rId25" Target="media/rId25.png" /><Relationship Type="http://schemas.openxmlformats.org/officeDocument/2006/relationships/image" Id="rId104" Target="media/rId104.png" /><Relationship Type="http://schemas.openxmlformats.org/officeDocument/2006/relationships/image" Id="rId87" Target="media/rId87.png" /><Relationship Type="http://schemas.openxmlformats.org/officeDocument/2006/relationships/image" Id="rId99" Target="media/rId99.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06" Target="https://diffusion.shom.fr/references-altimetriques-maritimes-ram.html" TargetMode="External" /><Relationship Type="http://schemas.openxmlformats.org/officeDocument/2006/relationships/hyperlink" Id="rId159" Target="https://doi.org/10.1002/aqc.4210" TargetMode="External" /><Relationship Type="http://schemas.openxmlformats.org/officeDocument/2006/relationships/hyperlink" Id="rId227"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79"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3" Target="https://doi.org/10.1073/pnas.0402642101" TargetMode="External" /><Relationship Type="http://schemas.openxmlformats.org/officeDocument/2006/relationships/hyperlink" Id="rId194" Target="https://doi.org/10.1073/pnas.0500008102" TargetMode="External" /><Relationship Type="http://schemas.openxmlformats.org/officeDocument/2006/relationships/hyperlink" Id="rId187"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84" Target="https://doi.org/10.3389/fmars.2019.00734" TargetMode="External" /><Relationship Type="http://schemas.openxmlformats.org/officeDocument/2006/relationships/hyperlink" Id="rId182"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1"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6" Target="https://diffusion.shom.fr/references-altimetriques-maritimes-ram.html" TargetMode="External" /><Relationship Type="http://schemas.openxmlformats.org/officeDocument/2006/relationships/hyperlink" Id="rId159" Target="https://doi.org/10.1002/aqc.4210" TargetMode="External" /><Relationship Type="http://schemas.openxmlformats.org/officeDocument/2006/relationships/hyperlink" Id="rId227"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79"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3" Target="https://doi.org/10.1073/pnas.0402642101" TargetMode="External" /><Relationship Type="http://schemas.openxmlformats.org/officeDocument/2006/relationships/hyperlink" Id="rId194" Target="https://doi.org/10.1073/pnas.0500008102" TargetMode="External" /><Relationship Type="http://schemas.openxmlformats.org/officeDocument/2006/relationships/hyperlink" Id="rId187"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84" Target="https://doi.org/10.3389/fmars.2019.00734" TargetMode="External" /><Relationship Type="http://schemas.openxmlformats.org/officeDocument/2006/relationships/hyperlink" Id="rId182"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1"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2024-12-09T17:09:18Z</dcterms:created>
  <dcterms:modified xsi:type="dcterms:W3CDTF">2024-12-09T17:09:18Z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2024-12-09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