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4" w:name="discussion"/>
    <w:p>
      <w:pPr>
        <w:pStyle w:val="Heading1"/>
      </w:pPr>
      <w:r>
        <w:t xml:space="preserve">4. Discussion</w:t>
      </w:r>
    </w:p>
    <w:p>
      <w:pPr>
        <w:pStyle w:val="Compact"/>
        <w:numPr>
          <w:ilvl w:val="0"/>
          <w:numId w:val="1004"/>
        </w:numPr>
      </w:pPr>
      <w:r>
        <w:t xml:space="preserve">remote sensing allowed to maps darkening. and allowed to map a link with the bathymetry.</w:t>
      </w:r>
    </w:p>
    <w:p>
      <w:pPr>
        <w:pStyle w:val="Compact"/>
        <w:numPr>
          <w:ilvl w:val="0"/>
          <w:numId w:val="1004"/>
        </w:numPr>
      </w:pPr>
      <w:r>
        <w:t xml:space="preserve">The index, build experimentally, allowed to better understand heatwaves impact of ecosyteme. This index, build for satellite remote sensing, can be used for drone mapping of events.</w:t>
      </w:r>
    </w:p>
    <w:p>
      <w:pPr>
        <w:pStyle w:val="Compact"/>
        <w:numPr>
          <w:ilvl w:val="0"/>
          <w:numId w:val="1004"/>
        </w:numPr>
      </w:pPr>
      <w:r>
        <w:t xml:space="preserve">Why is there a drop in the green and the near part of the spectra - physiology</w:t>
      </w:r>
    </w:p>
    <w:p>
      <w:pPr>
        <w:pStyle w:val="FirstParagraph"/>
      </w:pPr>
      <w:r>
        <w:t xml:space="preserve">Although extensive research exists on marine heatwaves’ effects on subtidal seagrasses, little attention has been given to intertidal regions and even less to the interaction between atmospherical extrem event and intertidal meadows. This study initiates an exploration of how intertidal seagrasses respond to the dual influence of marine and atmospheric heatwaves, underscoring the need for further investigation in this underexplored area.</w:t>
      </w:r>
    </w:p>
    <w:bookmarkStart w:id="123" w:name="X327e5cb9f509cc61fbc30aa2dc25bd1f67a7b7c"/>
    <w:p>
      <w:pPr>
        <w:pStyle w:val="Heading2"/>
      </w:pPr>
      <w:r>
        <w:t xml:space="preserve">4.1 Frequency and Intensity of Heatwaves: Implications for Seagrasses and Their Resilience.</w:t>
      </w:r>
    </w:p>
    <w:p>
      <w:pPr>
        <w:pStyle w:val="FirstParagraph"/>
      </w:pPr>
      <w:r>
        <w:t xml:space="preserve">The rapid escalation of heatwave frequency and intensity globally is a defining characteristic of the current climate crisis, influenced heavily by anthropogenic activities and greenhouse gas emissions. Rising temperatures have led to the intensification of extreme weather events, particularly heatwaves, which are not only becoming more frequent but also lasting longer and reaching higher temperature peaks. Recent research suggests that the magnitude of these events has surged in the past decades, and projections indicate a continuation of this trend well into the future. For example, heatwaves that were once considered rare are now up to ten times more likely to occur, with some regions experiencing events three times as intense as those in the early 20th century</w:t>
      </w:r>
      <w:r>
        <w:t xml:space="preserve"> </w:t>
      </w:r>
      <w:r>
        <w:t xml:space="preserve">(</w:t>
      </w:r>
      <w:hyperlink w:anchor="ref-devi2024intensity">
        <w:r>
          <w:rPr>
            <w:rStyle w:val="Hyperlink"/>
          </w:rPr>
          <w:t xml:space="preserve">Devi et al., 2024</w:t>
        </w:r>
      </w:hyperlink>
      <w:r>
        <w:t xml:space="preserve">;</w:t>
      </w:r>
      <w:r>
        <w:t xml:space="preserve"> </w:t>
      </w:r>
      <w:hyperlink w:anchor="ref-russo2023intensity">
        <w:r>
          <w:rPr>
            <w:rStyle w:val="Hyperlink"/>
          </w:rPr>
          <w:t xml:space="preserve">Russo and Domeisen, 2023</w:t>
        </w:r>
      </w:hyperlink>
      <w:r>
        <w:t xml:space="preserve">)</w:t>
      </w:r>
      <w:r>
        <w:t xml:space="preserve">. In our study site in Quiberon, a similar pattern emerges at the local scale. Data from a local weather station indicate an increasing trend in both the frequency and cumulative intensity of atmospheric heatwaves, while the same parameters for coldspells—defined as extreme low temperatures below the 10th percentile—show a marked decline in both frequency and intensity</w:t>
      </w:r>
      <w:r>
        <w:t xml:space="preserve"> </w:t>
      </w:r>
      <w:hyperlink w:anchor="fig-Freq_Int_HW_CS">
        <w:r>
          <w:rPr>
            <w:rStyle w:val="Hyperlink"/>
          </w:rPr>
          <w:t xml:space="preserve">Figure 13</w:t>
        </w:r>
      </w:hyperlink>
      <w:r>
        <w:t xml:space="preserve">.</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p>
      <w:pPr>
        <w:pStyle w:val="AfterWithoutNote"/>
      </w:pPr>
      <w:r>
        <w:t xml:space="preserve">Metrics used to quantify heatwave intensity, such as cumulative indices based on total temperature exceedances over time, reveal a more comprehensive understanding of the severity and duration of these events compared to average temperature measures</w:t>
      </w:r>
      <w:r>
        <w:t xml:space="preserve"> </w:t>
      </w:r>
      <w:r>
        <w:t xml:space="preserve">(</w:t>
      </w:r>
      <w:hyperlink w:anchor="ref-russo2023intensity">
        <w:r>
          <w:rPr>
            <w:rStyle w:val="Hyperlink"/>
          </w:rPr>
          <w:t xml:space="preserve">Russo and Domeisen, 2023</w:t>
        </w:r>
      </w:hyperlink>
      <w:r>
        <w:t xml:space="preserve">)</w:t>
      </w:r>
      <w:r>
        <w:t xml:space="preserve">. This is particularly relevant, as the cumulative impact of sustained high temperatures exerts more extensive stress on ecosystems, infrastructure, and human health than individual peak temperatures alone.</w:t>
      </w:r>
    </w:p>
    <w:p>
      <w:pPr>
        <w:pStyle w:val="BodyText"/>
      </w:pPr>
      <w:r>
        <w:t xml:space="preserve">From a hazard analysis perspective, the concurrent evaluation of intensity, frequency, and duration of heatwaves allows for a nuanced understanding of their likely impacts. Models like the Heatwave Intensity Duration Frequency (HIDF) curves provide insights into the probability of various heatwave scenarios, indicating that both short but intense events and prolonged moderate events present unique risks depending on the region. In places such as the Mediterranean, for instance, the frequency of high-intensity heatwaves has dramatically increased, leading to severe impacts on urban infrastructure, public health, and energy consumption</w:t>
      </w:r>
      <w:r>
        <w:t xml:space="preserve"> </w:t>
      </w:r>
      <w:r>
        <w:t xml:space="preserve">(</w:t>
      </w:r>
      <w:hyperlink w:anchor="ref-mazdiyasni2019hidf">
        <w:r>
          <w:rPr>
            <w:rStyle w:val="Hyperlink"/>
          </w:rPr>
          <w:t xml:space="preserve">Mazdiyasni et al., 2019</w:t>
        </w:r>
      </w:hyperlink>
      <w:r>
        <w:t xml:space="preserve">;</w:t>
      </w:r>
      <w:r>
        <w:t xml:space="preserve"> </w:t>
      </w:r>
      <w:hyperlink w:anchor="ref-smale2019marine">
        <w:r>
          <w:rPr>
            <w:rStyle w:val="Hyperlink"/>
          </w:rPr>
          <w:t xml:space="preserve">Smale et al., 2019</w:t>
        </w:r>
      </w:hyperlink>
      <w:r>
        <w:t xml:space="preserve">)</w:t>
      </w:r>
      <w:r>
        <w:t xml:space="preserve">. Regions experiencing significant daily temperature variability are projected to see a sharper increase in extreme heat events, which underscores the role of atmospheric variability in shaping local heatwave dynamics. Specifically, in the mid-latitudes, where variability is expected to decrease, heat extremes may stabilize at elevated levels, thereby reducing cold extremes while allowing for increasingly frequent hot days</w:t>
      </w:r>
      <w:r>
        <w:t xml:space="preserve"> </w:t>
      </w:r>
      <w:r>
        <w:t xml:space="preserve">(</w:t>
      </w:r>
      <w:hyperlink w:anchor="ref-simolo2022quantifying">
        <w:r>
          <w:rPr>
            <w:rStyle w:val="Hyperlink"/>
          </w:rPr>
          <w:t xml:space="preserve">Simolo and Corti, 2022</w:t>
        </w:r>
      </w:hyperlink>
      <w:r>
        <w:t xml:space="preserve">)</w:t>
      </w:r>
      <w:r>
        <w:t xml:space="preserve">.</w:t>
      </w:r>
    </w:p>
    <w:p>
      <w:pPr>
        <w:pStyle w:val="BodyText"/>
      </w:pPr>
      <w:r>
        <w:t xml:space="preserve">In the ocean, similar trends are observed with marine heatwaves. These events are equally, if not more, consequential as atmospheric heatwaves, with widespread impacts on marine biodiversity, fisheries, and carbon cycling. MHWs have increased by over 50% in annual days since the early 20th century, and projections suggest that a near-permanent state of marine heatwaves could develop by the end of the century if greenhouse gas emissions remain high</w:t>
      </w:r>
      <w:r>
        <w:t xml:space="preserve"> </w:t>
      </w:r>
      <w:r>
        <w:t xml:space="preserve">(</w:t>
      </w:r>
      <w:hyperlink w:anchor="ref-oliver2019projected">
        <w:r>
          <w:rPr>
            <w:rStyle w:val="Hyperlink"/>
          </w:rPr>
          <w:t xml:space="preserve">Oliver et al., 2019</w:t>
        </w:r>
      </w:hyperlink>
      <w:r>
        <w:t xml:space="preserve">)</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w:t>
      </w:r>
      <w:hyperlink w:anchor="ref-smale2019marine">
        <w:r>
          <w:rPr>
            <w:rStyle w:val="Hyperlink"/>
          </w:rPr>
          <w:t xml:space="preserve">Smale et al., 2019</w:t>
        </w:r>
      </w:hyperlink>
      <w:r>
        <w:t xml:space="preserve">)</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w:t>
      </w:r>
      <w:hyperlink w:anchor="ref-devi2024intensity">
        <w:r>
          <w:rPr>
            <w:rStyle w:val="Hyperlink"/>
          </w:rPr>
          <w:t xml:space="preserve">Devi et al., 2024</w:t>
        </w:r>
      </w:hyperlink>
      <w:r>
        <w:t xml:space="preserve">;</w:t>
      </w:r>
      <w:r>
        <w:t xml:space="preserve"> </w:t>
      </w:r>
      <w:hyperlink w:anchor="ref-stillman2019heat">
        <w:r>
          <w:rPr>
            <w:rStyle w:val="Hyperlink"/>
          </w:rPr>
          <w:t xml:space="preserve">Stillman, 2019</w:t>
        </w:r>
      </w:hyperlink>
      <w:r>
        <w:t xml:space="preserve">)</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w:t>
      </w:r>
      <w:hyperlink w:anchor="ref-oliver2019projected">
        <w:r>
          <w:rPr>
            <w:rStyle w:val="Hyperlink"/>
          </w:rPr>
          <w:t xml:space="preserve">Oliver et al., 2019</w:t>
        </w:r>
      </w:hyperlink>
      <w:r>
        <w:t xml:space="preserve">;</w:t>
      </w:r>
      <w:r>
        <w:t xml:space="preserve"> </w:t>
      </w:r>
      <w:hyperlink w:anchor="ref-simolo2022quantifying">
        <w:r>
          <w:rPr>
            <w:rStyle w:val="Hyperlink"/>
          </w:rPr>
          <w:t xml:space="preserve">Simolo and Corti, 2022</w:t>
        </w:r>
      </w:hyperlink>
      <w:r>
        <w:t xml:space="preserve">)</w:t>
      </w:r>
      <w:r>
        <w:t xml:space="preserve">. Terrestrial ecosystems experience shifts in species distributions, altered community dynamics, and reduced biodiversity as species are either forced to migrate or face local extinction under increasingly inhospitable conditions</w:t>
      </w:r>
      <w:r>
        <w:t xml:space="preserve"> </w:t>
      </w:r>
      <w:r>
        <w:t xml:space="preserve">(</w:t>
      </w:r>
      <w:hyperlink w:anchor="ref-pansch2018heat">
        <w:r>
          <w:rPr>
            <w:rStyle w:val="Hyperlink"/>
          </w:rPr>
          <w:t xml:space="preserve">Pansch et al., 2018</w:t>
        </w:r>
      </w:hyperlink>
      <w:r>
        <w:t xml:space="preserve">)</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w:t>
      </w:r>
      <w:hyperlink w:anchor="ref-oliver2019projected">
        <w:r>
          <w:rPr>
            <w:rStyle w:val="Hyperlink"/>
          </w:rPr>
          <w:t xml:space="preserve">Oliver et al., 2019</w:t>
        </w:r>
      </w:hyperlink>
      <w:r>
        <w:t xml:space="preserve">;</w:t>
      </w:r>
      <w:r>
        <w:t xml:space="preserve"> </w:t>
      </w:r>
      <w:hyperlink w:anchor="ref-smale2019marine">
        <w:r>
          <w:rPr>
            <w:rStyle w:val="Hyperlink"/>
          </w:rPr>
          <w:t xml:space="preserve">Smale et al., 2019</w:t>
        </w:r>
      </w:hyperlink>
      <w:r>
        <w:t xml:space="preserve">)</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w:t>
      </w:r>
      <w:hyperlink w:anchor="ref-deguette2022physiological">
        <w:r>
          <w:rPr>
            <w:rStyle w:val="Hyperlink"/>
          </w:rPr>
          <w:t xml:space="preserve">Deguette et al., 2022</w:t>
        </w:r>
      </w:hyperlink>
      <w:r>
        <w:t xml:space="preserve">;</w:t>
      </w:r>
      <w:r>
        <w:t xml:space="preserve"> </w:t>
      </w:r>
      <w:hyperlink w:anchor="ref-guerrero2020heat">
        <w:r>
          <w:rPr>
            <w:rStyle w:val="Hyperlink"/>
          </w:rPr>
          <w:t xml:space="preserve">Guerrero-Meseguer et al., 2020</w:t>
        </w:r>
      </w:hyperlink>
      <w:r>
        <w:t xml:space="preserve">;</w:t>
      </w:r>
      <w:r>
        <w:t xml:space="preserve"> </w:t>
      </w:r>
      <w:hyperlink w:anchor="ref-sawall2021chronically">
        <w:r>
          <w:rPr>
            <w:rStyle w:val="Hyperlink"/>
          </w:rPr>
          <w:t xml:space="preserve">Sawall et al., 2021</w:t>
        </w:r>
      </w:hyperlink>
      <w:r>
        <w:t xml:space="preserve">;</w:t>
      </w:r>
      <w:r>
        <w:t xml:space="preserve"> </w:t>
      </w:r>
      <w:hyperlink w:anchor="ref-winters2011effects">
        <w:r>
          <w:rPr>
            <w:rStyle w:val="Hyperlink"/>
          </w:rPr>
          <w:t xml:space="preserve">Winters et al., 2011</w:t>
        </w:r>
      </w:hyperlink>
      <w:r>
        <w:t xml:space="preserve">)</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w:t>
      </w:r>
      <w:hyperlink w:anchor="ref-mazdiyasni2019hidf">
        <w:r>
          <w:rPr>
            <w:rStyle w:val="Hyperlink"/>
          </w:rPr>
          <w:t xml:space="preserve">Mazdiyasni et al., 2019</w:t>
        </w:r>
      </w:hyperlink>
      <w:r>
        <w:t xml:space="preserve">)</w:t>
      </w:r>
      <w:r>
        <w:t xml:space="preserve">. The compounded impacts of atmospheric and marine heatwaves thus pose an existential threat to seagrass ecosystems, highlighting the urgent need for targeted climate adaptation measures to mitigate these escalating thermal stresses and preserve the resilience of these essential marine habitats</w:t>
      </w:r>
      <w:r>
        <w:t xml:space="preserve"> </w:t>
      </w:r>
      <w:r>
        <w:t xml:space="preserve">(</w:t>
      </w:r>
      <w:hyperlink w:anchor="ref-russo2023intensity">
        <w:r>
          <w:rPr>
            <w:rStyle w:val="Hyperlink"/>
          </w:rPr>
          <w:t xml:space="preserve">Russo and Domeisen, 2023</w:t>
        </w:r>
      </w:hyperlink>
      <w:r>
        <w:t xml:space="preserve">;</w:t>
      </w:r>
      <w:r>
        <w:t xml:space="preserve"> </w:t>
      </w:r>
      <w:hyperlink w:anchor="ref-stillman2019heat">
        <w:r>
          <w:rPr>
            <w:rStyle w:val="Hyperlink"/>
          </w:rPr>
          <w:t xml:space="preserve">Stillman, 2019</w:t>
        </w:r>
      </w:hyperlink>
      <w:r>
        <w:t xml:space="preserve">)</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2" w:name="cell-fig-Resilience_of_seagrasses"/>
    <w:bookmarkStart w:id="121"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19" name="Picture"/>
            <a:graphic>
              <a:graphicData uri="http://schemas.openxmlformats.org/drawingml/2006/picture">
                <pic:pic>
                  <pic:nvPicPr>
                    <pic:cNvPr descr="Figs/Low_res/plot_resilience.png" id="120" name="Picture"/>
                    <pic:cNvPicPr>
                      <a:picLocks noChangeArrowheads="1" noChangeAspect="1"/>
                    </pic:cNvPicPr>
                  </pic:nvPicPr>
                  <pic:blipFill>
                    <a:blip r:embed="rId118"/>
                    <a:stretch>
                      <a:fillRect/>
                    </a:stretch>
                  </pic:blipFill>
                  <pic:spPr bwMode="auto">
                    <a:xfrm>
                      <a:off x="0" y="0"/>
                      <a:ext cx="5943600" cy="2971800"/>
                    </a:xfrm>
                    <a:prstGeom prst="rect">
                      <a:avLst/>
                    </a:prstGeom>
                    <a:noFill/>
                    <a:ln w="9525">
                      <a:noFill/>
                      <a:headEnd/>
                      <a:tailEnd/>
                    </a:ln>
                  </pic:spPr>
                </pic:pic>
              </a:graphicData>
            </a:graphic>
          </wp:inline>
        </w:drawing>
      </w:r>
    </w:p>
    <w:bookmarkEnd w:id="121"/>
    <w:bookmarkEnd w:id="122"/>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r>
        <w:t xml:space="preserve">.</w:t>
      </w:r>
    </w:p>
    <w:bookmarkEnd w:id="123"/>
    <w:bookmarkEnd w:id="124"/>
    <w:bookmarkStart w:id="199" w:name="bibliography"/>
    <w:p>
      <w:pPr>
        <w:pStyle w:val="Heading1"/>
      </w:pPr>
      <w:r>
        <w:t xml:space="preserve">5. Bibliography</w:t>
      </w:r>
    </w:p>
    <w:bookmarkStart w:id="198" w:name="refs"/>
    <w:bookmarkStart w:id="12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5"/>
    <w:bookmarkStart w:id="127"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6">
        <w:r>
          <w:rPr>
            <w:rStyle w:val="Hyperlink"/>
          </w:rPr>
          <w:t xml:space="preserve">https://doi.org/10.3354/meps14588</w:t>
        </w:r>
      </w:hyperlink>
    </w:p>
    <w:bookmarkEnd w:id="127"/>
    <w:bookmarkStart w:id="128" w:name="ref-canadell2021ecosystem"/>
    <w:p>
      <w:pPr>
        <w:pStyle w:val="Bibliography"/>
      </w:pPr>
      <w:r>
        <w:t xml:space="preserve">Canadell, J.G., Jackson, R.B., 2021. Ecosystem collapse and climate change. Springer.</w:t>
      </w:r>
    </w:p>
    <w:bookmarkEnd w:id="128"/>
    <w:bookmarkStart w:id="129"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9"/>
    <w:bookmarkStart w:id="131"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0">
        <w:r>
          <w:rPr>
            <w:rStyle w:val="Hyperlink"/>
          </w:rPr>
          <w:t xml:space="preserve">https://doi.org/10.48670/moi-00311</w:t>
        </w:r>
      </w:hyperlink>
    </w:p>
    <w:bookmarkEnd w:id="131"/>
    <w:bookmarkStart w:id="133"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2">
        <w:r>
          <w:rPr>
            <w:rStyle w:val="Hyperlink"/>
          </w:rPr>
          <w:t xml:space="preserve">https://doi.org/10.1038/s43247-024-01543-z</w:t>
        </w:r>
      </w:hyperlink>
    </w:p>
    <w:bookmarkEnd w:id="133"/>
    <w:bookmarkStart w:id="135"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4">
        <w:r>
          <w:rPr>
            <w:rStyle w:val="Hyperlink"/>
          </w:rPr>
          <w:t xml:space="preserve">https://doi.org/10.1016/j.rse.2024.114340</w:t>
        </w:r>
      </w:hyperlink>
    </w:p>
    <w:bookmarkEnd w:id="135"/>
    <w:bookmarkStart w:id="136"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6"/>
    <w:bookmarkStart w:id="137" w:name="ref-deguette2022physiological"/>
    <w:p>
      <w:pPr>
        <w:pStyle w:val="Bibliography"/>
      </w:pPr>
      <w:r>
        <w:t xml:space="preserve">Deguette, A., Barrote, I., Silva, J., 2022. Physiological and morphological effects of a marine heatwave on the seagrass cymodocea nodosa. Scientific Reports 12, 7950.</w:t>
      </w:r>
    </w:p>
    <w:bookmarkEnd w:id="137"/>
    <w:bookmarkStart w:id="138" w:name="ref-devi2024intensity"/>
    <w:p>
      <w:pPr>
        <w:pStyle w:val="Bibliography"/>
      </w:pPr>
      <w:r>
        <w:t xml:space="preserve">Devi, R., Gouda, K., Lenka, S., 2024. Intensity duration and frequency of heat wave in different phases of MJO over india. Atmospheric Research 300, 107250.</w:t>
      </w:r>
    </w:p>
    <w:bookmarkEnd w:id="138"/>
    <w:bookmarkStart w:id="139" w:name="ref-sen2cor"/>
    <w:p>
      <w:pPr>
        <w:pStyle w:val="Bibliography"/>
      </w:pPr>
      <w:r>
        <w:t xml:space="preserve">European Space Agency, 2024b. Sen2Cor: Sentinel-2 atmospheric correction processor.</w:t>
      </w:r>
    </w:p>
    <w:bookmarkEnd w:id="139"/>
    <w:bookmarkStart w:id="140" w:name="ref-copernicus_sentinel2"/>
    <w:p>
      <w:pPr>
        <w:pStyle w:val="Bibliography"/>
      </w:pPr>
      <w:r>
        <w:t xml:space="preserve">European Space Agency, 2024a. Copernicus open access hub.</w:t>
      </w:r>
    </w:p>
    <w:bookmarkEnd w:id="140"/>
    <w:bookmarkStart w:id="141"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1"/>
    <w:bookmarkStart w:id="142" w:name="ref-gardner2018global"/>
    <w:p>
      <w:pPr>
        <w:pStyle w:val="Bibliography"/>
      </w:pPr>
      <w:r>
        <w:t xml:space="preserve">Gardner, R.C., Finlayson, C., 2018. Global wetland outlook: State of the world’s wetlands and their services to people, in: Ramsar Convention Secretariat. pp. 2020–5.</w:t>
      </w:r>
    </w:p>
    <w:bookmarkEnd w:id="142"/>
    <w:bookmarkStart w:id="143"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3"/>
    <w:bookmarkStart w:id="145"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4">
        <w:r>
          <w:rPr>
            <w:rStyle w:val="Hyperlink"/>
          </w:rPr>
          <w:t xml:space="preserve">https://doi.org/10.1002/aqc.4210</w:t>
        </w:r>
      </w:hyperlink>
    </w:p>
    <w:bookmarkEnd w:id="145"/>
    <w:bookmarkStart w:id="146"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6"/>
    <w:bookmarkStart w:id="147"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7"/>
    <w:bookmarkStart w:id="148" w:name="ref-huete2012vegetation"/>
    <w:p>
      <w:pPr>
        <w:pStyle w:val="Bibliography"/>
      </w:pPr>
      <w:r>
        <w:t xml:space="preserve">Huete, A.R., 2012. Vegetation indices, remote sensing and forest monitoring. Geography Compass 6, 513–532.</w:t>
      </w:r>
    </w:p>
    <w:bookmarkEnd w:id="148"/>
    <w:bookmarkStart w:id="150"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9">
        <w:r>
          <w:rPr>
            <w:rStyle w:val="Hyperlink"/>
          </w:rPr>
          <w:t xml:space="preserve">https://doi.org/10.1073/pnas.0402642101</w:t>
        </w:r>
      </w:hyperlink>
    </w:p>
    <w:bookmarkEnd w:id="150"/>
    <w:bookmarkStart w:id="152" w:name="ref-ioc_sea_level_lecy"/>
    <w:p>
      <w:pPr>
        <w:pStyle w:val="Bibliography"/>
      </w:pPr>
      <w:r>
        <w:t xml:space="preserve">IOC, 2024.</w:t>
      </w:r>
      <w:r>
        <w:t xml:space="preserve"> </w:t>
      </w:r>
      <w:hyperlink r:id="rId151">
        <w:r>
          <w:rPr>
            <w:rStyle w:val="Hyperlink"/>
          </w:rPr>
          <w:t xml:space="preserve">Intergovernmental oceanographic commission ; sea level monitoring station - le conquet, france (LECY)</w:t>
        </w:r>
      </w:hyperlink>
      <w:r>
        <w:t xml:space="preserve">.</w:t>
      </w:r>
    </w:p>
    <w:bookmarkEnd w:id="152"/>
    <w:bookmarkStart w:id="153"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3"/>
    <w:bookmarkStart w:id="154" w:name="ref-kloos2021agricultural"/>
    <w:p>
      <w:pPr>
        <w:pStyle w:val="Bibliography"/>
      </w:pPr>
      <w:r>
        <w:t xml:space="preserve">Kloos, S., Yuan, Y., Castelli, M., Menzel, A., 2021. Agricultural drought detection with MODIS based vegetation health indices in southeast germany. Remote Sensing 13, 3907.</w:t>
      </w:r>
    </w:p>
    <w:bookmarkEnd w:id="154"/>
    <w:bookmarkStart w:id="155" w:name="ref-loarie2009velocity"/>
    <w:p>
      <w:pPr>
        <w:pStyle w:val="Bibliography"/>
      </w:pPr>
      <w:r>
        <w:t xml:space="preserve">Loarie, S.R., Duffy, P.B., Hamilton, H., Asner, G.P., Field, C.B., Ackerly, D.D., 2009. The velocity of climate change. Nature 462, 1052–1055.</w:t>
      </w:r>
    </w:p>
    <w:bookmarkEnd w:id="155"/>
    <w:bookmarkStart w:id="156"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6"/>
    <w:bookmarkStart w:id="15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57"/>
    <w:bookmarkStart w:id="159"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58">
        <w:r>
          <w:rPr>
            <w:rStyle w:val="Hyperlink"/>
          </w:rPr>
          <w:t xml:space="preserve">https://doi.org/10.1038/s41598-019-50643-w</w:t>
        </w:r>
      </w:hyperlink>
    </w:p>
    <w:bookmarkEnd w:id="159"/>
    <w:bookmarkStart w:id="160"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60"/>
    <w:bookmarkStart w:id="162"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61">
        <w:r>
          <w:rPr>
            <w:rStyle w:val="Hyperlink"/>
          </w:rPr>
          <w:t xml:space="preserve">https://doi.org/10.3389/fmars.2019.00734</w:t>
        </w:r>
      </w:hyperlink>
    </w:p>
    <w:bookmarkEnd w:id="162"/>
    <w:bookmarkStart w:id="164"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63">
        <w:r>
          <w:rPr>
            <w:rStyle w:val="Hyperlink"/>
          </w:rPr>
          <w:t xml:space="preserve">https://doi.org/10.1111/gcb.14282</w:t>
        </w:r>
      </w:hyperlink>
    </w:p>
    <w:bookmarkEnd w:id="164"/>
    <w:bookmarkStart w:id="165"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65"/>
    <w:bookmarkStart w:id="166" w:name="ref-perkins2013measurement"/>
    <w:p>
      <w:pPr>
        <w:pStyle w:val="Bibliography"/>
      </w:pPr>
      <w:r>
        <w:t xml:space="preserve">Perkins, S.E., Alexander, L.V., 2013. On the measurement of heat waves. Journal of climate 26, 4500–4517.</w:t>
      </w:r>
    </w:p>
    <w:bookmarkEnd w:id="166"/>
    <w:bookmarkStart w:id="167" w:name="ref-ramesh2020seagrass"/>
    <w:p>
      <w:pPr>
        <w:pStyle w:val="Bibliography"/>
      </w:pPr>
      <w:r>
        <w:t xml:space="preserve">Ramesh, C., Mohanraju, R., 2020. Seagrass ecosystems of andaman and nicobar islands: Status and future perspective. Environmental &amp; Earth Sciences Research Journal 7.</w:t>
      </w:r>
    </w:p>
    <w:bookmarkEnd w:id="167"/>
    <w:bookmarkStart w:id="169"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68">
        <w:r>
          <w:rPr>
            <w:rStyle w:val="Hyperlink"/>
          </w:rPr>
          <w:t xml:space="preserve">https://doi.org/10.1073/pnas.0500008102</w:t>
        </w:r>
      </w:hyperlink>
    </w:p>
    <w:bookmarkEnd w:id="169"/>
    <w:bookmarkStart w:id="170" w:name="ref-rouse1974monitoring"/>
    <w:p>
      <w:pPr>
        <w:pStyle w:val="Bibliography"/>
      </w:pPr>
      <w:r>
        <w:t xml:space="preserve">Rouse, J.W., Haas, R.H., Schell, J.A., Deering, D.W., others, 1974. Monitoring vegetation systems in the great plains with ERTS. NASA Spec. Publ 351, 309.</w:t>
      </w:r>
    </w:p>
    <w:bookmarkEnd w:id="170"/>
    <w:bookmarkStart w:id="172"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71">
        <w:r>
          <w:rPr>
            <w:rStyle w:val="Hyperlink"/>
          </w:rPr>
          <w:t xml:space="preserve">https://doi.org/10.1029/2023GL103540</w:t>
        </w:r>
      </w:hyperlink>
    </w:p>
    <w:bookmarkEnd w:id="172"/>
    <w:bookmarkStart w:id="173"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73"/>
    <w:bookmarkStart w:id="174" w:name="ref-schlegel2017nearshore"/>
    <w:p>
      <w:pPr>
        <w:pStyle w:val="Bibliography"/>
      </w:pPr>
      <w:r>
        <w:t xml:space="preserve">Schlegel, R.W., Oliver, E.C., Wernberg, T., Smit, A.J., 2017. Nearshore and offshore co-occurrence of marine heatwaves and cold-spells. Progress in Oceanography 151, 189–205.</w:t>
      </w:r>
    </w:p>
    <w:bookmarkEnd w:id="174"/>
    <w:bookmarkStart w:id="176"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75">
        <w:r>
          <w:rPr>
            <w:rStyle w:val="Hyperlink"/>
          </w:rPr>
          <w:t xml:space="preserve">https://doi.org/10.21105/joss.00821</w:t>
        </w:r>
      </w:hyperlink>
    </w:p>
    <w:bookmarkEnd w:id="176"/>
    <w:bookmarkStart w:id="177"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77"/>
    <w:bookmarkStart w:id="178"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78"/>
    <w:bookmarkStart w:id="180" w:name="ref-shom_ram_2022"/>
    <w:p>
      <w:pPr>
        <w:pStyle w:val="Bibliography"/>
      </w:pPr>
      <w:r>
        <w:t xml:space="preserve">Shom, 2022.</w:t>
      </w:r>
      <w:r>
        <w:t xml:space="preserve"> </w:t>
      </w:r>
      <w:hyperlink r:id="rId179">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80"/>
    <w:bookmarkStart w:id="182" w:name="Xbef41143b4d4042e58f11cfc27e216202646012"/>
    <w:p>
      <w:pPr>
        <w:pStyle w:val="Bibliography"/>
      </w:pPr>
      <w:r>
        <w:t xml:space="preserve">SHOM, 2021.</w:t>
      </w:r>
      <w:r>
        <w:t xml:space="preserve"> </w:t>
      </w:r>
      <w:hyperlink r:id="rId181">
        <w:r>
          <w:rPr>
            <w:rStyle w:val="Hyperlink"/>
          </w:rPr>
          <w:t xml:space="preserve">Service hydrographique et océanographique de la marine ; bathymétrie Litto3D® bretagne 2018-2021</w:t>
        </w:r>
      </w:hyperlink>
      <w:r>
        <w:t xml:space="preserve">.</w:t>
      </w:r>
    </w:p>
    <w:bookmarkEnd w:id="182"/>
    <w:bookmarkStart w:id="184" w:name="ref-simolo2022quantifying"/>
    <w:p>
      <w:pPr>
        <w:pStyle w:val="Bibliography"/>
      </w:pPr>
      <w:r>
        <w:t xml:space="preserve">Simolo, C., Corti, S., 2022. Quantifying the role of variability in future intensification of heat extremes. Nature Communications 13.</w:t>
      </w:r>
      <w:r>
        <w:t xml:space="preserve"> </w:t>
      </w:r>
      <w:hyperlink r:id="rId183">
        <w:r>
          <w:rPr>
            <w:rStyle w:val="Hyperlink"/>
          </w:rPr>
          <w:t xml:space="preserve">https://doi.org/10.1038/s41467-022-35571-0</w:t>
        </w:r>
      </w:hyperlink>
    </w:p>
    <w:bookmarkEnd w:id="184"/>
    <w:bookmarkStart w:id="185"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85"/>
    <w:bookmarkStart w:id="187"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86">
        <w:r>
          <w:rPr>
            <w:rStyle w:val="Hyperlink"/>
          </w:rPr>
          <w:t xml:space="preserve">https://doi.org/10.1038/s41558-019-0412-1</w:t>
        </w:r>
      </w:hyperlink>
    </w:p>
    <w:bookmarkEnd w:id="187"/>
    <w:bookmarkStart w:id="188"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88"/>
    <w:bookmarkStart w:id="190"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189">
        <w:r>
          <w:rPr>
            <w:rStyle w:val="Hyperlink"/>
          </w:rPr>
          <w:t xml:space="preserve">https://doi.org/10.1152/physiol.00040.2018</w:t>
        </w:r>
      </w:hyperlink>
    </w:p>
    <w:bookmarkEnd w:id="190"/>
    <w:bookmarkStart w:id="191"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91"/>
    <w:bookmarkStart w:id="192" w:name="ref-unsworth2022planetary"/>
    <w:p>
      <w:pPr>
        <w:pStyle w:val="Bibliography"/>
      </w:pPr>
      <w:r>
        <w:t xml:space="preserve">Unsworth, R.K., Cullen-Unsworth, L.C., Jones, B.L., Lilley, R.J., 2022. The planetary role of seagrass conservation. Science 377, 609–613.</w:t>
      </w:r>
    </w:p>
    <w:bookmarkEnd w:id="192"/>
    <w:bookmarkStart w:id="193"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93"/>
    <w:bookmarkStart w:id="194"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94"/>
    <w:bookmarkStart w:id="195"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95"/>
    <w:bookmarkStart w:id="196"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96"/>
    <w:bookmarkStart w:id="197"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97"/>
    <w:bookmarkEnd w:id="198"/>
    <w:sectPr>
      <w:lnNumType w:countBy="1" w:restart="continuous"/>
    </w:sectPr>
    <w:bookmarkEnd w:id="19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8" Target="media/rId118.png" /><Relationship Type="http://schemas.openxmlformats.org/officeDocument/2006/relationships/hyperlink" Id="rId179"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4" Target="https://doi.org/10.1016/j.rse.2024.114340" TargetMode="External" /><Relationship Type="http://schemas.openxmlformats.org/officeDocument/2006/relationships/hyperlink" Id="rId171" Target="https://doi.org/10.1029/2023GL103540" TargetMode="External" /><Relationship Type="http://schemas.openxmlformats.org/officeDocument/2006/relationships/hyperlink" Id="rId183" Target="https://doi.org/10.1038/s41467-022-35571-0" TargetMode="External" /><Relationship Type="http://schemas.openxmlformats.org/officeDocument/2006/relationships/hyperlink" Id="rId186" Target="https://doi.org/10.1038/s41558-019-0412-1" TargetMode="External" /><Relationship Type="http://schemas.openxmlformats.org/officeDocument/2006/relationships/hyperlink" Id="rId158" Target="https://doi.org/10.1038/s41598-019-50643-w" TargetMode="External" /><Relationship Type="http://schemas.openxmlformats.org/officeDocument/2006/relationships/hyperlink" Id="rId132"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8" Target="https://doi.org/10.1073/pnas.0500008102" TargetMode="External" /><Relationship Type="http://schemas.openxmlformats.org/officeDocument/2006/relationships/hyperlink" Id="rId163" Target="https://doi.org/10.1111/gcb.14282" TargetMode="External" /><Relationship Type="http://schemas.openxmlformats.org/officeDocument/2006/relationships/hyperlink" Id="rId189" Target="https://doi.org/10.1152/physiol.00040.2018" TargetMode="External" /><Relationship Type="http://schemas.openxmlformats.org/officeDocument/2006/relationships/hyperlink" Id="rId175"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61"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81"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79"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4" Target="https://doi.org/10.1016/j.rse.2024.114340" TargetMode="External" /><Relationship Type="http://schemas.openxmlformats.org/officeDocument/2006/relationships/hyperlink" Id="rId171" Target="https://doi.org/10.1029/2023GL103540" TargetMode="External" /><Relationship Type="http://schemas.openxmlformats.org/officeDocument/2006/relationships/hyperlink" Id="rId183" Target="https://doi.org/10.1038/s41467-022-35571-0" TargetMode="External" /><Relationship Type="http://schemas.openxmlformats.org/officeDocument/2006/relationships/hyperlink" Id="rId186" Target="https://doi.org/10.1038/s41558-019-0412-1" TargetMode="External" /><Relationship Type="http://schemas.openxmlformats.org/officeDocument/2006/relationships/hyperlink" Id="rId158" Target="https://doi.org/10.1038/s41598-019-50643-w" TargetMode="External" /><Relationship Type="http://schemas.openxmlformats.org/officeDocument/2006/relationships/hyperlink" Id="rId132"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8" Target="https://doi.org/10.1073/pnas.0500008102" TargetMode="External" /><Relationship Type="http://schemas.openxmlformats.org/officeDocument/2006/relationships/hyperlink" Id="rId163" Target="https://doi.org/10.1111/gcb.14282" TargetMode="External" /><Relationship Type="http://schemas.openxmlformats.org/officeDocument/2006/relationships/hyperlink" Id="rId189" Target="https://doi.org/10.1152/physiol.00040.2018" TargetMode="External" /><Relationship Type="http://schemas.openxmlformats.org/officeDocument/2006/relationships/hyperlink" Id="rId175"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61"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81"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2024-11-04T14:17:38Z</dcterms:created>
  <dcterms:modified xsi:type="dcterms:W3CDTF">2024-11-04T14:17:38Z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2024-11-04</vt:lpwstr>
  </property>
  <property fmtid="{D5CDD505-2E9C-101B-9397-08002B2CF9AE}" pid="7" name="apatitle">
    <vt:lpwstr>Effect of Marine and Atmospheric Heatwaves on Reflectance and Pigment Composition of Intertidal Zostera noltei</vt:lpwstr>
  </property>
  <property fmtid="{D5CDD505-2E9C-101B-9397-08002B2CF9AE}" pid="8" name="apatitledisplay">
    <vt:lpwstr>Effect of Marine and Atmospheric Heatwaves on Reflectance and Pigment Composition of Intertidal 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