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5.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Intertidal</w:t>
      </w:r>
      <w:r>
        <w:t xml:space="preserve"> </w:t>
      </w:r>
      <w:r>
        <w:t xml:space="preserve">Seagrass:</w:t>
      </w:r>
      <w:r>
        <w:t xml:space="preserve"> </w:t>
      </w:r>
      <w:r>
        <w:t xml:space="preserve">Experimental</w:t>
      </w:r>
      <w:r>
        <w:t xml:space="preserve"> </w:t>
      </w:r>
      <w:r>
        <w:t xml:space="preserve">Spectroradiometry</w:t>
      </w:r>
      <w:r>
        <w:t xml:space="preserve"> </w:t>
      </w:r>
      <w:r>
        <w:t xml:space="preserve">and</w:t>
      </w:r>
      <w:r>
        <w:t xml:space="preserve"> </w:t>
      </w:r>
      <w:r>
        <w:t xml:space="preserve">Satellite-Based</w:t>
      </w:r>
      <w:r>
        <w:t xml:space="preserve"> </w:t>
      </w:r>
      <w:r>
        <w:t xml:space="preserve">Insights</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2025-02-17</w:t>
      </w:r>
    </w:p>
    <w:p>
      <w:pPr>
        <w:pStyle w:val="AbstractTitle"/>
      </w:pPr>
      <w:r>
        <w:t xml:space="preserve">Abstract</w:t>
      </w:r>
    </w:p>
    <w:p>
      <w:pPr>
        <w:pStyle w:val="Abstract"/>
      </w:pPr>
      <w:r>
        <w:t xml:space="preserve">Seagrasses</w:t>
      </w:r>
      <w:r>
        <w:t xml:space="preserve"> </w:t>
      </w:r>
      <w:r>
        <w:t xml:space="preserve">play</w:t>
      </w:r>
      <w:r>
        <w:t xml:space="preserve"> </w:t>
      </w:r>
      <w:r>
        <w:t xml:space="preserve">a</w:t>
      </w:r>
      <w:r>
        <w:t xml:space="preserve"> </w:t>
      </w:r>
      <w:r>
        <w:t xml:space="preserve">vital</w:t>
      </w:r>
      <w:r>
        <w:t xml:space="preserve"> </w:t>
      </w:r>
      <w:r>
        <w:t xml:space="preserve">role</w:t>
      </w:r>
      <w:r>
        <w:t xml:space="preserve"> </w:t>
      </w:r>
      <w:r>
        <w:t xml:space="preserve">in</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contributing</w:t>
      </w:r>
      <w:r>
        <w:t xml:space="preserve"> </w:t>
      </w:r>
      <w:r>
        <w:t xml:space="preserve">to</w:t>
      </w:r>
      <w:r>
        <w:t xml:space="preserve"> </w:t>
      </w:r>
      <w:r>
        <w:t xml:space="preserve">carbon</w:t>
      </w:r>
      <w:r>
        <w:t xml:space="preserve"> </w:t>
      </w:r>
      <w:r>
        <w:t xml:space="preserve">sequestration.</w:t>
      </w:r>
      <w:r>
        <w:t xml:space="preserve"> </w:t>
      </w:r>
      <w:r>
        <w:t xml:space="preserve">However,</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posing</w:t>
      </w:r>
      <w:r>
        <w:t xml:space="preserve"> </w:t>
      </w:r>
      <w:r>
        <w:t xml:space="preserve">a</w:t>
      </w:r>
      <w:r>
        <w:t xml:space="preserve"> </w:t>
      </w:r>
      <w:r>
        <w:t xml:space="preserve">significant</w:t>
      </w:r>
      <w:r>
        <w:t xml:space="preserve"> </w:t>
      </w:r>
      <w:r>
        <w:t xml:space="preserve">threat</w:t>
      </w:r>
      <w:r>
        <w:t xml:space="preserve"> </w:t>
      </w:r>
      <w:r>
        <w:t xml:space="preserve">to</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effects</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spectral</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Laboratory</w:t>
      </w:r>
      <w:r>
        <w:t xml:space="preserve"> </w:t>
      </w:r>
      <w:r>
        <w:t xml:space="preserve">experiments</w:t>
      </w:r>
      <w:r>
        <w:t xml:space="preserve"> </w:t>
      </w:r>
      <w:r>
        <w:t xml:space="preserve">were</w:t>
      </w:r>
      <w:r>
        <w:t xml:space="preserve"> </w:t>
      </w:r>
      <w:r>
        <w:t xml:space="preserve">conducted</w:t>
      </w:r>
      <w:r>
        <w:t xml:space="preserve"> </w:t>
      </w:r>
      <w:r>
        <w:t xml:space="preserve">under</w:t>
      </w:r>
      <w:r>
        <w:t xml:space="preserve"> </w:t>
      </w:r>
      <w:r>
        <w:t xml:space="preserve">controlled</w:t>
      </w:r>
      <w:r>
        <w:t xml:space="preserve"> </w:t>
      </w:r>
      <w:r>
        <w:t xml:space="preserve">heatwave</w:t>
      </w:r>
      <w:r>
        <w:t xml:space="preserve"> </w:t>
      </w:r>
      <w:r>
        <w:t xml:space="preserve">conditions,</w:t>
      </w:r>
      <w:r>
        <w:t xml:space="preserve"> </w:t>
      </w:r>
      <w:r>
        <w:t xml:space="preserve">where</w:t>
      </w:r>
      <w:r>
        <w:t xml:space="preserve"> </w:t>
      </w:r>
      <w:r>
        <w:t xml:space="preserve">hyperspectral</w:t>
      </w:r>
      <w:r>
        <w:t xml:space="preserve"> </w:t>
      </w:r>
      <w:r>
        <w:t xml:space="preserve">reflectance</w:t>
      </w:r>
      <w:r>
        <w:t xml:space="preserve"> </w:t>
      </w:r>
      <w:r>
        <w:t xml:space="preserve">measurements</w:t>
      </w:r>
      <w:r>
        <w:t xml:space="preserve"> </w:t>
      </w:r>
      <w:r>
        <w:t xml:space="preserve">were</w:t>
      </w:r>
      <w:r>
        <w:t xml:space="preserve"> </w:t>
      </w:r>
      <w:r>
        <w:t xml:space="preserve">taken</w:t>
      </w:r>
      <w:r>
        <w:t xml:space="preserve"> </w:t>
      </w:r>
      <w:r>
        <w:t xml:space="preserve">to</w:t>
      </w:r>
      <w:r>
        <w:t xml:space="preserve"> </w:t>
      </w:r>
      <w:r>
        <w:t xml:space="preserve">assess</w:t>
      </w:r>
      <w:r>
        <w:t xml:space="preserve"> </w:t>
      </w:r>
      <w:r>
        <w:t xml:space="preserve">the</w:t>
      </w:r>
      <w:r>
        <w:t xml:space="preserve"> </w:t>
      </w:r>
      <w:r>
        <w:t xml:space="preserve">impacts</w:t>
      </w:r>
      <w:r>
        <w:t xml:space="preserve"> </w:t>
      </w:r>
      <w:r>
        <w:t xml:space="preserve">over</w:t>
      </w:r>
      <w:r>
        <w:t xml:space="preserve"> </w:t>
      </w:r>
      <w:r>
        <w:t xml:space="preserve">time.</w:t>
      </w:r>
      <w:r>
        <w:t xml:space="preserve"> </w:t>
      </w:r>
      <w:r>
        <w:t xml:space="preserve">Heatwaves</w:t>
      </w:r>
      <w:r>
        <w:t xml:space="preserve"> </w:t>
      </w:r>
      <w:r>
        <w:t xml:space="preserve">caused</w:t>
      </w:r>
      <w:r>
        <w:t xml:space="preserve"> </w:t>
      </w:r>
      <w:r>
        <w:t xml:space="preserve">a</w:t>
      </w:r>
      <w:r>
        <w:t xml:space="preserve"> </w:t>
      </w:r>
      <w:r>
        <w:t xml:space="preserve">substantial</w:t>
      </w:r>
      <w:r>
        <w:t xml:space="preserve"> </w:t>
      </w:r>
      <w:r>
        <w:t xml:space="preserve">decline</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corresponding</w:t>
      </w:r>
      <w:r>
        <w:t xml:space="preserve"> </w:t>
      </w:r>
      <w:r>
        <w:t xml:space="preserve">to</w:t>
      </w:r>
      <w:r>
        <w:t xml:space="preserve"> </w:t>
      </w:r>
      <w:r>
        <w:t xml:space="preserve">the</w:t>
      </w:r>
      <w:r>
        <w:t xml:space="preserve"> </w:t>
      </w:r>
      <w:r>
        <w:t xml:space="preserve">browning</w:t>
      </w:r>
      <w:r>
        <w:t xml:space="preserve"> </w:t>
      </w:r>
      <w:r>
        <w:t xml:space="preserve">of</w:t>
      </w:r>
      <w:r>
        <w:t xml:space="preserve"> </w:t>
      </w:r>
      <w:r>
        <w:t xml:space="preserve">green</w:t>
      </w:r>
      <w:r>
        <w:t xml:space="preserve"> </w:t>
      </w:r>
      <w:r>
        <w:t xml:space="preserve">leaves.</w:t>
      </w:r>
      <w:r>
        <w:t xml:space="preserve"> </w:t>
      </w:r>
      <w:r>
        <w:t xml:space="preserve">Key</w:t>
      </w:r>
      <w:r>
        <w:t xml:space="preserve"> </w:t>
      </w:r>
      <w:r>
        <w:t xml:space="preserve">vegetation</w:t>
      </w:r>
      <w:r>
        <w:t xml:space="preserve"> </w:t>
      </w:r>
      <w:r>
        <w:t xml:space="preserve">indices,</w:t>
      </w:r>
      <w:r>
        <w:t xml:space="preserve"> </w:t>
      </w:r>
      <w:r>
        <w:t xml:space="preserve">including</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showed</w:t>
      </w:r>
      <w:r>
        <w:t xml:space="preserve"> </w:t>
      </w:r>
      <w:r>
        <w:t xml:space="preserve">pronounced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metric,</w:t>
      </w:r>
      <w:r>
        <w:t xml:space="preserve"> </w:t>
      </w:r>
      <w:r>
        <w:t xml:space="preserve">the</w:t>
      </w:r>
      <w:r>
        <w:t xml:space="preserve"> </w:t>
      </w:r>
      <w:r>
        <w:t xml:space="preserve">Seagrass</w:t>
      </w:r>
      <w:r>
        <w:t xml:space="preserve"> </w:t>
      </w:r>
      <w:r>
        <w:t xml:space="preserve">Heat</w:t>
      </w:r>
      <w:r>
        <w:t xml:space="preserve"> </w:t>
      </w:r>
      <w:r>
        <w:t xml:space="preserve">Shock</w:t>
      </w:r>
      <w:r>
        <w:t xml:space="preserve"> </w:t>
      </w:r>
      <w:r>
        <w:t xml:space="preserve">Index</w:t>
      </w:r>
      <w:r>
        <w:t xml:space="preserve"> </w:t>
      </w:r>
      <w:r>
        <w:t xml:space="preserve">(SHSI),</w:t>
      </w:r>
      <w:r>
        <w:t xml:space="preserve"> </w:t>
      </w:r>
      <w:r>
        <w:t xml:space="preserve">was</w:t>
      </w:r>
      <w:r>
        <w:t xml:space="preserve"> </w:t>
      </w:r>
      <w:r>
        <w:t xml:space="preserve">developed</w:t>
      </w:r>
      <w:r>
        <w:t xml:space="preserve"> </w:t>
      </w:r>
      <w:r>
        <w:t xml:space="preserve">to</w:t>
      </w:r>
      <w:r>
        <w:t xml:space="preserve"> </w:t>
      </w:r>
      <w:r>
        <w:t xml:space="preserve">quantify</w:t>
      </w:r>
      <w:r>
        <w:t xml:space="preserve"> </w:t>
      </w:r>
      <w:r>
        <w:t xml:space="preserve">the</w:t>
      </w:r>
      <w:r>
        <w:t xml:space="preserve"> </w:t>
      </w:r>
      <w:r>
        <w:t xml:space="preserve">transition</w:t>
      </w:r>
      <w:r>
        <w:t xml:space="preserve"> </w:t>
      </w:r>
      <w:r>
        <w:t xml:space="preserve">of</w:t>
      </w:r>
      <w:r>
        <w:t xml:space="preserve"> </w:t>
      </w:r>
      <w:r>
        <w:t xml:space="preserve">seagrass</w:t>
      </w:r>
      <w:r>
        <w:t xml:space="preserve"> </w:t>
      </w:r>
      <w:r>
        <w:t xml:space="preserve">leaves</w:t>
      </w:r>
      <w:r>
        <w:t xml:space="preserve"> </w:t>
      </w:r>
      <w:r>
        <w:t xml:space="preserve">from</w:t>
      </w:r>
      <w:r>
        <w:t xml:space="preserve"> </w:t>
      </w:r>
      <w:r>
        <w:t xml:space="preserve">green</w:t>
      </w:r>
      <w:r>
        <w:t xml:space="preserve"> </w:t>
      </w:r>
      <w:r>
        <w:t xml:space="preserve">to</w:t>
      </w:r>
      <w:r>
        <w:t xml:space="preserve"> </w:t>
      </w:r>
      <w:r>
        <w:t xml:space="preserve">brown,</w:t>
      </w:r>
      <w:r>
        <w:t xml:space="preserve"> </w:t>
      </w:r>
      <w:r>
        <w:t xml:space="preserve">demonstrating</w:t>
      </w:r>
      <w:r>
        <w:t xml:space="preserve"> </w:t>
      </w:r>
      <w:r>
        <w:t xml:space="preserve">a</w:t>
      </w:r>
      <w:r>
        <w:t xml:space="preserve"> </w:t>
      </w:r>
      <w:r>
        <w:t xml:space="preserve">strong</w:t>
      </w:r>
      <w:r>
        <w:t xml:space="preserve"> </w:t>
      </w:r>
      <w:r>
        <w:t xml:space="preserve">ability</w:t>
      </w:r>
      <w:r>
        <w:t xml:space="preserve"> </w:t>
      </w:r>
      <w:r>
        <w:t xml:space="preserve">to</w:t>
      </w:r>
      <w:r>
        <w:t xml:space="preserve"> </w:t>
      </w:r>
      <w:r>
        <w:t xml:space="preserve">capture</w:t>
      </w:r>
      <w:r>
        <w:t xml:space="preserve"> </w:t>
      </w:r>
      <w:r>
        <w:t xml:space="preserve">the</w:t>
      </w:r>
      <w:r>
        <w:t xml:space="preserve"> </w:t>
      </w:r>
      <w:r>
        <w:t xml:space="preserve">effects</w:t>
      </w:r>
      <w:r>
        <w:t xml:space="preserve"> </w:t>
      </w:r>
      <w:r>
        <w:t xml:space="preserve">of</w:t>
      </w:r>
      <w:r>
        <w:t xml:space="preserve"> </w:t>
      </w:r>
      <w:r>
        <w:t xml:space="preserve">heatwave</w:t>
      </w:r>
      <w:r>
        <w:t xml:space="preserve"> </w:t>
      </w:r>
      <w:r>
        <w:t xml:space="preserve">exposure</w:t>
      </w:r>
      <w:r>
        <w:t xml:space="preserve"> </w:t>
      </w:r>
      <w:r>
        <w:t xml:space="preserve">on</w:t>
      </w:r>
      <w:r>
        <w:t xml:space="preserve"> </w:t>
      </w:r>
      <w:r>
        <w:t xml:space="preserve">seagrass</w:t>
      </w:r>
      <w:r>
        <w:t xml:space="preserve"> </w:t>
      </w:r>
      <w:r>
        <w:t xml:space="preserve">coloration.</w:t>
      </w:r>
      <w:r>
        <w:t xml:space="preserve"> </w:t>
      </w:r>
      <w:r>
        <w:t xml:space="preserve">Multispectral</w:t>
      </w:r>
      <w:r>
        <w:t xml:space="preserve"> </w:t>
      </w:r>
      <w:r>
        <w:t xml:space="preserve">satellite</w:t>
      </w:r>
      <w:r>
        <w:t xml:space="preserve"> </w:t>
      </w:r>
      <w:r>
        <w:t xml:space="preserve">observations</w:t>
      </w:r>
      <w:r>
        <w:t xml:space="preserve"> </w:t>
      </w:r>
      <w:r>
        <w:t xml:space="preserve">corroborated</w:t>
      </w:r>
      <w:r>
        <w:t xml:space="preserve"> </w:t>
      </w:r>
      <w:r>
        <w:t xml:space="preserve">the</w:t>
      </w:r>
      <w:r>
        <w:t xml:space="preserve"> </w:t>
      </w:r>
      <w:r>
        <w:t xml:space="preserve">laboratory</w:t>
      </w:r>
      <w:r>
        <w:t xml:space="preserve"> </w:t>
      </w:r>
      <w:r>
        <w:t xml:space="preserve">results,</w:t>
      </w:r>
      <w:r>
        <w:t xml:space="preserve"> </w:t>
      </w:r>
      <w:r>
        <w:t xml:space="preserve">revealing</w:t>
      </w:r>
      <w:r>
        <w:t xml:space="preserve"> </w:t>
      </w:r>
      <w:r>
        <w:t xml:space="preserve">widespread</w:t>
      </w:r>
      <w:r>
        <w:t xml:space="preserve"> </w:t>
      </w:r>
      <w:r>
        <w:t xml:space="preserve">browning</w:t>
      </w:r>
      <w:r>
        <w:t xml:space="preserve"> </w:t>
      </w:r>
      <w:r>
        <w:t xml:space="preserve">of</w:t>
      </w:r>
      <w:r>
        <w:t xml:space="preserve"> </w:t>
      </w:r>
      <w:r>
        <w:t xml:space="preserve">seagrass</w:t>
      </w:r>
      <w:r>
        <w:t xml:space="preserve"> </w:t>
      </w:r>
      <w:r>
        <w:t xml:space="preserve">leaves</w:t>
      </w:r>
      <w:r>
        <w:t xml:space="preserve"> </w:t>
      </w:r>
      <w:r>
        <w:t xml:space="preserve">during</w:t>
      </w:r>
      <w:r>
        <w:t xml:space="preserve"> </w:t>
      </w:r>
      <w:r>
        <w:t xml:space="preserve">marine</w:t>
      </w:r>
      <w:r>
        <w:t xml:space="preserve"> </w:t>
      </w:r>
      <w:r>
        <w:t xml:space="preserve">and</w:t>
      </w:r>
      <w:r>
        <w:t xml:space="preserve"> </w:t>
      </w:r>
      <w:r>
        <w:t xml:space="preserve">atmospheric</w:t>
      </w:r>
      <w:r>
        <w:t xml:space="preserve"> </w:t>
      </w:r>
      <w:r>
        <w:t xml:space="preserve">heatwave</w:t>
      </w:r>
      <w:r>
        <w:t xml:space="preserve"> </w:t>
      </w:r>
      <w:r>
        <w:t xml:space="preserve">events</w:t>
      </w:r>
      <w:r>
        <w:t xml:space="preserve"> </w:t>
      </w:r>
      <w:r>
        <w:t xml:space="preserve">in</w:t>
      </w:r>
      <w:r>
        <w:t xml:space="preserve"> </w:t>
      </w:r>
      <w:r>
        <w:t xml:space="preserve">South</w:t>
      </w:r>
      <w:r>
        <w:t xml:space="preserve"> </w:t>
      </w:r>
      <w:r>
        <w:t xml:space="preserve">Brittany,</w:t>
      </w:r>
      <w:r>
        <w:t xml:space="preserve"> </w:t>
      </w:r>
      <w:r>
        <w:t xml:space="preserve">France.</w:t>
      </w:r>
      <w:r>
        <w:t xml:space="preserve"> </w:t>
      </w:r>
      <w:r>
        <w:t xml:space="preserve">Notably,</w:t>
      </w:r>
      <w:r>
        <w:t xml:space="preserve"> </w:t>
      </w:r>
      <w:r>
        <w:t xml:space="preserve">darkened</w:t>
      </w:r>
      <w:r>
        <w:t xml:space="preserve"> </w:t>
      </w:r>
      <w:r>
        <w:t xml:space="preserve">seagrass</w:t>
      </w:r>
      <w:r>
        <w:t xml:space="preserve"> </w:t>
      </w:r>
      <w:r>
        <w:t xml:space="preserve">patches</w:t>
      </w:r>
      <w:r>
        <w:t xml:space="preserve"> </w:t>
      </w:r>
      <w:r>
        <w:t xml:space="preserve">were</w:t>
      </w:r>
      <w:r>
        <w:t xml:space="preserve"> </w:t>
      </w:r>
      <w:r>
        <w:t xml:space="preserve">observed</w:t>
      </w:r>
      <w:r>
        <w:t xml:space="preserve"> </w:t>
      </w:r>
      <w:r>
        <w:t xml:space="preserve">in</w:t>
      </w:r>
      <w:r>
        <w:t xml:space="preserve"> </w:t>
      </w:r>
      <w:r>
        <w:t xml:space="preserve">intertidal</w:t>
      </w:r>
      <w:r>
        <w:t xml:space="preserve"> </w:t>
      </w:r>
      <w:r>
        <w:t xml:space="preserve">areas</w:t>
      </w:r>
      <w:r>
        <w:t xml:space="preserve"> </w:t>
      </w:r>
      <w:r>
        <w:t xml:space="preserve">exposed</w:t>
      </w:r>
      <w:r>
        <w:t xml:space="preserve"> </w:t>
      </w:r>
      <w:r>
        <w:t xml:space="preserve">to</w:t>
      </w:r>
      <w:r>
        <w:t xml:space="preserve"> </w:t>
      </w:r>
      <w:r>
        <w:t xml:space="preserve">temperatures</w:t>
      </w:r>
      <w:r>
        <w:t xml:space="preserve"> </w:t>
      </w:r>
      <w:r>
        <w:t xml:space="preserve">exceeding</w:t>
      </w:r>
      <w:r>
        <w:t xml:space="preserve"> </w:t>
      </w:r>
      <w:r>
        <w:t xml:space="preserve">32°C</w:t>
      </w:r>
      <w:r>
        <w:t xml:space="preserve"> </w:t>
      </w:r>
      <w:r>
        <w:t xml:space="preserve">for</w:t>
      </w:r>
      <w:r>
        <w:t xml:space="preserve"> </w:t>
      </w:r>
      <w:r>
        <w:t xml:space="preserve">over</w:t>
      </w:r>
      <w:r>
        <w:t xml:space="preserve"> </w:t>
      </w:r>
      <w:r>
        <w:t xml:space="preserve">13.5</w:t>
      </w:r>
      <w:r>
        <w:t xml:space="preserve"> </w:t>
      </w:r>
      <w:r>
        <w:t xml:space="preserve">hours</w:t>
      </w:r>
      <w:r>
        <w:t xml:space="preserve"> </w:t>
      </w:r>
      <w:r>
        <w:t xml:space="preserve">per</w:t>
      </w:r>
      <w:r>
        <w:t xml:space="preserve"> </w:t>
      </w:r>
      <w:r>
        <w:t xml:space="preserve">day.</w:t>
      </w:r>
      <w:r>
        <w:t xml:space="preserve"> </w:t>
      </w:r>
      <w:r>
        <w:t xml:space="preserve">These</w:t>
      </w:r>
      <w:r>
        <w:t xml:space="preserve"> </w:t>
      </w:r>
      <w:r>
        <w:t xml:space="preserve">findings</w:t>
      </w:r>
      <w:r>
        <w:t xml:space="preserve"> </w:t>
      </w:r>
      <w:r>
        <w:t xml:space="preserve">highlight</w:t>
      </w:r>
      <w:r>
        <w:t xml:space="preserve"> </w:t>
      </w:r>
      <w:r>
        <w:t xml:space="preserve">the</w:t>
      </w:r>
      <w:r>
        <w:t xml:space="preserve"> </w:t>
      </w:r>
      <w:r>
        <w:t xml:space="preserve">potential</w:t>
      </w:r>
      <w:r>
        <w:t xml:space="preserve"> </w:t>
      </w:r>
      <w:r>
        <w:t xml:space="preserve">of</w:t>
      </w:r>
      <w:r>
        <w:t xml:space="preserve"> </w:t>
      </w:r>
      <w:r>
        <w:t xml:space="preserve">spectral</w:t>
      </w:r>
      <w:r>
        <w:t xml:space="preserve"> </w:t>
      </w:r>
      <w:r>
        <w:t xml:space="preserve">reflectance</w:t>
      </w:r>
      <w:r>
        <w:t xml:space="preserve"> </w:t>
      </w:r>
      <w:r>
        <w:t xml:space="preserve">as</w:t>
      </w:r>
      <w:r>
        <w:t xml:space="preserve"> </w:t>
      </w:r>
      <w:r>
        <w:t xml:space="preserve">a</w:t>
      </w:r>
      <w:r>
        <w:t xml:space="preserve"> </w:t>
      </w:r>
      <w:r>
        <w:t xml:space="preserve">tool</w:t>
      </w:r>
      <w:r>
        <w:t xml:space="preserve"> </w:t>
      </w:r>
      <w:r>
        <w:t xml:space="preserve">for</w:t>
      </w:r>
      <w:r>
        <w:t xml:space="preserve"> </w:t>
      </w:r>
      <w:r>
        <w:t xml:space="preserve">detecting</w:t>
      </w:r>
      <w:r>
        <w:t xml:space="preserve"> </w:t>
      </w:r>
      <w:r>
        <w:t xml:space="preserve">early</w:t>
      </w:r>
      <w:r>
        <w:t xml:space="preserve"> </w:t>
      </w:r>
      <w:r>
        <w:t xml:space="preserve">signs</w:t>
      </w:r>
      <w:r>
        <w:t xml:space="preserve"> </w:t>
      </w:r>
      <w:r>
        <w:t xml:space="preserve">of</w:t>
      </w:r>
      <w:r>
        <w:t xml:space="preserve"> </w:t>
      </w:r>
      <w:r>
        <w:t xml:space="preserve">heatwave-induced</w:t>
      </w:r>
      <w:r>
        <w:t xml:space="preserve"> </w:t>
      </w:r>
      <w:r>
        <w:t xml:space="preserve">stress</w:t>
      </w:r>
      <w:r>
        <w:t xml:space="preserve"> </w:t>
      </w:r>
      <w:r>
        <w:t xml:space="preserve">in</w:t>
      </w:r>
      <w:r>
        <w:t xml:space="preserve"> </w:t>
      </w:r>
      <w:r>
        <w:t xml:space="preserve">seagrasses,</w:t>
      </w:r>
      <w:r>
        <w:t xml:space="preserve"> </w:t>
      </w:r>
      <w:r>
        <w:t xml:space="preserve">offering</w:t>
      </w:r>
      <w:r>
        <w:t xml:space="preserve"> </w:t>
      </w:r>
      <w:r>
        <w:t xml:space="preserve">a</w:t>
      </w:r>
      <w:r>
        <w:t xml:space="preserve"> </w:t>
      </w:r>
      <w:r>
        <w:t xml:space="preserve">valuable</w:t>
      </w:r>
      <w:r>
        <w:t xml:space="preserve"> </w:t>
      </w:r>
      <w:r>
        <w:t xml:space="preserve">method</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and</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future</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HWs,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plans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This coring devices reduced the variability between each sample.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transition between low tide and high tide was binary and took about 15 minutes to be completed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Field temperature was measured using</w:t>
      </w:r>
      <w:r>
        <w:t xml:space="preserve"> </w:t>
      </w:r>
      <w:r>
        <w:rPr>
          <w:i/>
          <w:iCs/>
        </w:rPr>
        <w:t xml:space="preserve">in situ sensors</w:t>
      </w:r>
      <w:r>
        <w:t xml:space="preserve"> </w:t>
      </w:r>
      <w:r>
        <w:t xml:space="preserve">(T7.3 EnvLoggers from ElectricBlue®) deployed at the sampling site in August 2024.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tansk, was repeated three times to obtain replicates (hereafter referred to as</w:t>
      </w:r>
      <w:r>
        <w:t xml:space="preserve"> </w:t>
      </w:r>
      <w:r>
        <w:t xml:space="preserve">“</w:t>
      </w:r>
      <w:r>
        <w:t xml:space="preserve">Run</w:t>
      </w:r>
      <w:r>
        <w:t xml:space="preserve">”</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w:t>
      </w:r>
      <w:r>
        <w:t xml:space="preserve">hsdar</w:t>
      </w:r>
      <w:r>
        <w:t xml:space="preserve">”</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Since 2024, Meteo France weather data has been freely and openly accessible. Hourly air temperature data from a nearby weather station (Lorient-Lann Bihoue, 47°45’46”N 3°26’11”W) was retrieved. For this station, more than 395,000 hourly observations were available since 1952.</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Sentinel-2 images of the study site were selected in 2021 to assess the effect of thecombined AHW and MHW (</w:t>
      </w:r>
      <w:r>
        <w:t xml:space="preserve">“</w:t>
      </w:r>
      <w:r>
        <w:t xml:space="preserve">HW event</w:t>
      </w:r>
      <w:r>
        <w:t xml:space="preserve">”</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indices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w:t>
      </w:r>
      <w:r>
        <w:t xml:space="preserve">brms</w:t>
      </w:r>
      <w:r>
        <w:t xml:space="preserve">”</w:t>
      </w:r>
      <w:r>
        <w:t xml:space="preserve"> </w:t>
      </w:r>
      <w:r>
        <w:t xml:space="preserve">and</w:t>
      </w:r>
      <w:r>
        <w:t xml:space="preserve"> </w:t>
      </w:r>
      <w:r>
        <w:t xml:space="preserve">“</w:t>
      </w:r>
      <w:r>
        <w:t xml:space="preserve">RStan</w:t>
      </w:r>
      <w:r>
        <w:t xml:space="preserve">”</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measurments. The color indicates the progression along the experiment from the beginning (Day 1: Green), middle (Day 2: Yellow) and end (Day 3: Brown). A min-max standardization has been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were impacted by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at the start of the experiment (day 1 ;</w:t>
      </w:r>
      <w:r>
        <w:t xml:space="preserve">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Control and the Treatment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In the following section, a negative SHSI will be considered indicative of non-impacted seagrasses, while a positive SHSI will be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3" w:name="discussion"/>
    <w:p>
      <w:pPr>
        <w:pStyle w:val="Heading1"/>
      </w:pPr>
      <w:r>
        <w:t xml:space="preserve">5. Discussion</w:t>
      </w:r>
    </w:p>
    <w:bookmarkStart w:id="110"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w:t>
      </w:r>
      <w:r>
        <w:t xml:space="preserve"> </w:t>
      </w:r>
      <w:r>
        <w:t xml:space="preserve">(Arias-Ortiz et al., 2018; Deguette et al., 2022; Strydom et al., 2020)</w:t>
      </w:r>
      <w:r>
        <w:t xml:space="preserve">, little attention has been given to intertidal habitats and even less to the effect of atmospheric extreme events on intertidal seagrass. This study initiates an exploration of how intertidal seagrasses respond to the dual influence of MHWs and AHWs, underscoring the need for further investigation in this under-explored area.</w:t>
      </w:r>
    </w:p>
    <w:p>
      <w:pPr>
        <w:pStyle w:val="BodyText"/>
      </w:pPr>
      <w:r>
        <w:t xml:space="preserve">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A, B &amp; C) all demonstrated a clear decline over the experimental period. These changes suggest a progressive reduction in photosynthetic activity as well as potential structural or physiological changes to the leaves, such as degraded pigmentation or altered light absorption in the treatment group relative to the control as a consequence of the simulated HW event. In contrast, SHSI showed a marked increase, reaching up to 600% for some samples by day 3 (</w:t>
      </w:r>
      <w:hyperlink w:anchor="fig-Exp_Spectral_indices">
        <w:r>
          <w:rPr>
            <w:rStyle w:val="Hyperlink"/>
          </w:rPr>
          <w:t xml:space="preserve">Figure 7</w:t>
        </w:r>
      </w:hyperlink>
      <w:r>
        <w:t xml:space="preserve"> </w:t>
      </w:r>
      <w:r>
        <w:t xml:space="preserve">D). This positive trend in SHSI demonstrates its sensitivity at quantifing seagrass browning.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Change in vegetation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have been effective in reducing these oxidative reactions. In the absence of photosynthesis, membrane integrity is also compromised, allowing polyphenol oxidase to interact with phenolic compounds, thereby accelerating darkening. Furthermore, high temperatures can destabilize membranes, especially in chloroplasts, disrupting photosystem II and impairing recovery of photosynthetic function. As chlorophyll-a degrades, the ratio of pigments shifts,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hydric stress; drying out.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emerged during prolonged periods (</w:t>
      </w:r>
      <w:hyperlink w:anchor="fig-GAM_Emersion">
        <w:r>
          <w:rPr>
            <w:rStyle w:val="Hyperlink"/>
          </w:rPr>
          <w:t xml:space="preserve">Figure 12</w:t>
        </w:r>
      </w:hyperlink>
      <w:r>
        <w:t xml:space="preserve">).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In healthy plant leaves, the high infrared reflectance in the near-infrared spectral range (700 - 1300 nm) is primarily due to the internal cellular structure that scatters light, as well as the absence of light absorption by pigments in that spectral range. Once sunlight enters the leaf, it is diffused through various layers, particularly the spongy mesophyll, which contains air spaces and cell walls with different refractive indices. The scattering effect in the NIR is intensified because there is minimal absorption allowing light to reflect back through the leaf surface. Therefore, once the membranes (chloroplasts, thylakoids, cell walls) are destroyed due to oxidative stress, the reflectance in the Red Edge and the NIR regions decreases significantly</w:t>
      </w:r>
      <w:r>
        <w:t xml:space="preserve"> </w:t>
      </w:r>
      <w:r>
        <w:t xml:space="preserve">(Knipling, 1970)</w:t>
      </w:r>
      <w:r>
        <w:t xml:space="preserve">.</w:t>
      </w:r>
    </w:p>
    <w:p>
      <w:pPr>
        <w:pStyle w:val="BodyText"/>
      </w:pPr>
      <w:r>
        <w:t xml:space="preserve">The influence of heat stress on seagrass enables the detection of leaves darkening using remote sensing. The SHSI (</w:t>
      </w:r>
      <w:hyperlink w:anchor="eq-SDI">
        <w:r>
          <w:rPr>
            <w:rStyle w:val="Hyperlink"/>
          </w:rPr>
          <w:t xml:space="preserve">Equation 3</w:t>
        </w:r>
      </w:hyperlink>
      <w:r>
        <w:t xml:space="preserve">)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 physiological and structural changes occur at the cellular level over short temporal scales, their synchronous manifestation across the entire meadow causes changes at large spatial scales. Remote sensing, with its synoptic views and real-time acquisition capabilities, enables the monitoring of these rapid biological responses to anthropogenic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0"/>
    <w:bookmarkStart w:id="111" w:name="seagrass-resilience-to-heatwaves"/>
    <w:p>
      <w:pPr>
        <w:pStyle w:val="Heading2"/>
      </w:pPr>
      <w:r>
        <w:t xml:space="preserve">5.2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 crucial, especially for temperate seagrass meadows composed of slow-growing, long-lived species like</w:t>
      </w:r>
      <w:r>
        <w:t xml:space="preserve"> </w:t>
      </w:r>
      <w:r>
        <w:rPr>
          <w:i/>
          <w:iCs/>
        </w:rPr>
        <w:t xml:space="preserve">Posidonia</w:t>
      </w:r>
      <w:r>
        <w:t xml:space="preserve"> </w:t>
      </w:r>
      <w:r>
        <w:t xml:space="preserve">spp.,</w:t>
      </w:r>
      <w:r>
        <w:t xml:space="preserve"> </w:t>
      </w:r>
      <w:r>
        <w:rPr>
          <w:i/>
          <w:iCs/>
        </w:rPr>
        <w:t xml:space="preserve">Amphibolis</w:t>
      </w:r>
      <w:r>
        <w:t xml:space="preserve"> </w:t>
      </w:r>
      <w:r>
        <w:t xml:space="preserve">spp. or</w:t>
      </w:r>
      <w:r>
        <w:t xml:space="preserve"> </w:t>
      </w:r>
      <w:r>
        <w:rPr>
          <w:i/>
          <w:iCs/>
        </w:rPr>
        <w:t xml:space="preserve">Zostera</w:t>
      </w:r>
      <w:r>
        <w:t xml:space="preserve"> </w:t>
      </w:r>
      <w:r>
        <w:t xml:space="preserve">spp.. 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 </w:t>
      </w:r>
      <w:r>
        <w:t xml:space="preserve">spp.,</w:t>
      </w:r>
      <w:r>
        <w:t xml:space="preserve"> </w:t>
      </w:r>
      <w:r>
        <w:rPr>
          <w:i/>
          <w:iCs/>
        </w:rPr>
        <w:t xml:space="preserve">Halophila</w:t>
      </w:r>
      <w:r>
        <w:t xml:space="preserve"> </w:t>
      </w:r>
      <w:r>
        <w:t xml:space="preserve">spp., and</w:t>
      </w:r>
      <w:r>
        <w:t xml:space="preserve"> </w:t>
      </w:r>
      <w:r>
        <w:rPr>
          <w:i/>
          <w:iCs/>
        </w:rPr>
        <w:t xml:space="preserve">Syringodium</w:t>
      </w:r>
      <w:r>
        <w:t xml:space="preserve"> </w:t>
      </w:r>
      <w:r>
        <w:t xml:space="preserve">spp.,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In our study, we observed a browning effect in the seagrasses, using an experimental setup simulating tides with a uniformed period of daily exposure. In natural settings, however, bathymetry plays a significant role, and depending on depth variations, seagrasses may be exposed for even longer periods during low tides (</w:t>
      </w:r>
      <w:hyperlink w:anchor="fig-GAM_Emersion">
        <w:r>
          <w:rPr>
            <w:rStyle w:val="Hyperlink"/>
          </w:rPr>
          <w:t xml:space="preserve">Figure 12</w:t>
        </w:r>
      </w:hyperlink>
      <w:r>
        <w:t xml:space="preserve">). This suggests that in situ exposure times could exacerbate the stress effects observed, as seagrasses may endure prolonged air exposure. The impact of HWs on seagrass ecosystems is further intensified by tidal variations, especially in temperate regions with large tidal ranges that can exceed 10 meters, such as Mont Saint Michel Bay ,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increasing their vulnerability to AHWs. Conversely, seagrasses in the lower intertidal zone experience prolonged immersion throughout the tidal cycle, making them susceptible to extreme MHWs. As a result, both marine and atmospheric HWs can increase stress on intertidal seagrass meadows, with effects that may be intensified by tidal timing and amplitude. In our study, during the experiment, seagrasses were exposed to a symmetric tidal cycle, spending equal amounts of time submerged and exposed to air. In the field, this configuration occurs only in meadows located at hydrographic zero height (mean sea level).</w:t>
      </w:r>
      <w:r>
        <w:t xml:space="preserve"> </w:t>
      </w:r>
      <w:hyperlink w:anchor="fig-GAM_Emersion">
        <w:r>
          <w:rPr>
            <w:rStyle w:val="Hyperlink"/>
          </w:rPr>
          <w:t xml:space="preserve">Figure 12</w:t>
        </w:r>
      </w:hyperlink>
      <w:r>
        <w:t xml:space="preserve"> </w:t>
      </w:r>
      <w:r>
        <w:t xml:space="preserve">shows that seagrass browning was most pronounced in seagrasses located in the upper intertidal zone, where they were exposed to air for approximately 14 hours per day, while no significant browning was observed around mean sea level. This difference can be attributed to the distinct temperature conditions experienced by experimental and in situ seagrasses. A way to improve our understanding would be to experimentally test different temperature scenarios for both air and water, varying in intensity and combination, to assess their effects on seagrass browning.</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In the present study, Sentinel-2 images acquired before, during, and after a HW event enabled the assessment of leaf darkening using the SHSI index. During the HW, Sentinel-2 imagery indicated that impacted seagrass patches (i.e., areas exhibiting seagrass darkening) also experienced a sharp decline in NDVI. The Sentinel-2 image acquired one month after the HW showed that the NDVI of impacted seagrass patches had not recovered to its initial level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higher NDVI values associated with greater seagrass coverage and lower NDVI values indicating reduced cover. Our findings demonstrate that heatwaves alter the spectral signature of seagrasses, causing a decrease in NDVI—and consequently, in the satellite-derived estimate of seagrass cover—while the actual coverage observed in the field remains stable (see</w:t>
      </w:r>
      <w:r>
        <w:t xml:space="preserve"> </w:t>
      </w:r>
      <w:hyperlink w:anchor="fig-QuiberonImg">
        <w:r>
          <w:rPr>
            <w:rStyle w:val="Hyperlink"/>
          </w:rPr>
          <w:t xml:space="preserve">Figure 5</w:t>
        </w:r>
      </w:hyperlink>
      <w:r>
        <w:t xml:space="preserve">). This discrepancy underscores a limitation of remote sensing in accurately capturing true seagrass cover during stress events. It was only after the heatwave that leaf detachment began, leading to an actual decline in seagrass density. The delayed response in seagrass cover highlights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bookmarkEnd w:id="111"/>
    <w:bookmarkStart w:id="112" w:name="big-picture"/>
    <w:p>
      <w:pPr>
        <w:pStyle w:val="Heading2"/>
      </w:pPr>
      <w:r>
        <w:t xml:space="preserve">5.3 Big picture</w:t>
      </w:r>
    </w:p>
    <w:p>
      <w:pPr>
        <w:pStyle w:val="FirstParagraph"/>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HW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 meadows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2"/>
    <w:bookmarkEnd w:id="113"/>
    <w:bookmarkStart w:id="114"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As climate change accelerates, with a predicted increase in the frequency and intensity of heatwaves in the next decades,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17" w:name="references"/>
    <w:p>
      <w:pPr>
        <w:pStyle w:val="Heading1"/>
      </w:pPr>
      <w:r>
        <w:t xml:space="preserve">8. References</w:t>
      </w:r>
    </w:p>
    <w:bookmarkStart w:id="216" w:name="refs"/>
    <w:bookmarkStart w:id="120"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0"/>
    <w:bookmarkStart w:id="121"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1"/>
    <w:bookmarkStart w:id="122"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7" w:name="ref-JSSv100i05"/>
    <w:p>
      <w:pPr>
        <w:pStyle w:val="Bibliography"/>
      </w:pPr>
      <w:r>
        <w:t xml:space="preserve">Bürkner, P.-C., 2021. Bayesian item response modeling in r with brms and stan. Journal of Statistical Software 100, 1–54.</w:t>
      </w:r>
      <w:r>
        <w:t xml:space="preserve"> </w:t>
      </w:r>
      <w:hyperlink r:id="rId126">
        <w:r>
          <w:rPr>
            <w:rStyle w:val="Hyperlink"/>
          </w:rPr>
          <w:t xml:space="preserve">https://doi.org/10.18637/jss.v100.i05</w:t>
        </w:r>
      </w:hyperlink>
    </w:p>
    <w:bookmarkEnd w:id="127"/>
    <w:bookmarkStart w:id="128"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1"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1"/>
    <w:bookmarkStart w:id="133"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2">
        <w:r>
          <w:rPr>
            <w:rStyle w:val="Hyperlink"/>
          </w:rPr>
          <w:t xml:space="preserve">https://doi.org/10.18637/jss.v076.i01</w:t>
        </w:r>
      </w:hyperlink>
    </w:p>
    <w:bookmarkEnd w:id="133"/>
    <w:bookmarkStart w:id="135"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4">
        <w:r>
          <w:rPr>
            <w:rStyle w:val="Hyperlink"/>
          </w:rPr>
          <w:t xml:space="preserve">https://doi.org/10.48670/moi-00311</w:t>
        </w:r>
      </w:hyperlink>
    </w:p>
    <w:bookmarkEnd w:id="135"/>
    <w:bookmarkStart w:id="137"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6">
        <w:r>
          <w:rPr>
            <w:rStyle w:val="Hyperlink"/>
          </w:rPr>
          <w:t xml:space="preserve">https://doi.org/10.1007/s11099-007-0084-3</w:t>
        </w:r>
      </w:hyperlink>
    </w:p>
    <w:bookmarkEnd w:id="137"/>
    <w:bookmarkStart w:id="138"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8"/>
    <w:bookmarkStart w:id="140"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9">
        <w:r>
          <w:rPr>
            <w:rStyle w:val="Hyperlink"/>
          </w:rPr>
          <w:t xml:space="preserve">https://doi.org/10.1038/s43247-024-01543-z</w:t>
        </w:r>
      </w:hyperlink>
    </w:p>
    <w:bookmarkEnd w:id="140"/>
    <w:bookmarkStart w:id="142"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1">
        <w:r>
          <w:rPr>
            <w:rStyle w:val="Hyperlink"/>
          </w:rPr>
          <w:t xml:space="preserve">https://doi.org/10.1016/j.rse.2024.114340</w:t>
        </w:r>
      </w:hyperlink>
    </w:p>
    <w:bookmarkEnd w:id="142"/>
    <w:bookmarkStart w:id="143"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3"/>
    <w:bookmarkStart w:id="144" w:name="ref-deguette2022physiological"/>
    <w:p>
      <w:pPr>
        <w:pStyle w:val="Bibliography"/>
      </w:pPr>
      <w:r>
        <w:t xml:space="preserve">Deguette, A., Barrote, I., Silva, J., 2022. Physiological and morphological effects of a marine heatwave on the seagrass cymodocea nodosa. Scientific Reports 12, 7950.</w:t>
      </w:r>
    </w:p>
    <w:bookmarkEnd w:id="144"/>
    <w:bookmarkStart w:id="145" w:name="ref-douay2022new"/>
    <w:p>
      <w:pPr>
        <w:pStyle w:val="Bibliography"/>
      </w:pPr>
      <w:r>
        <w:t xml:space="preserve">Douay, F., Verpoorter, C., Duong, G., Spilmont, N., Gevaert, F., 2022. New hyperspectral procedure to discriminate intertidal macroalgae. Remote Sensing 14, 346.</w:t>
      </w:r>
    </w:p>
    <w:bookmarkEnd w:id="145"/>
    <w:bookmarkStart w:id="147" w:name="ref-electricblue_intertidal_chamber"/>
    <w:p>
      <w:pPr>
        <w:pStyle w:val="Bibliography"/>
      </w:pPr>
      <w:r>
        <w:t xml:space="preserve">Electric Blue, 2023.</w:t>
      </w:r>
      <w:r>
        <w:t xml:space="preserve"> </w:t>
      </w:r>
      <w:hyperlink r:id="rId146">
        <w:r>
          <w:rPr>
            <w:rStyle w:val="Hyperlink"/>
          </w:rPr>
          <w:t xml:space="preserve">Intertidal chamber</w:t>
        </w:r>
      </w:hyperlink>
      <w:r>
        <w:t xml:space="preserve">.</w:t>
      </w:r>
    </w:p>
    <w:bookmarkEnd w:id="147"/>
    <w:bookmarkStart w:id="148" w:name="ref-sen2cor"/>
    <w:p>
      <w:pPr>
        <w:pStyle w:val="Bibliography"/>
      </w:pPr>
      <w:r>
        <w:t xml:space="preserve">European Space Agency, 2024b. Sen2Cor: Sentinel-2 atmospheric correction processor.</w:t>
      </w:r>
    </w:p>
    <w:bookmarkEnd w:id="148"/>
    <w:bookmarkStart w:id="149" w:name="ref-copernicus_sentinel2"/>
    <w:p>
      <w:pPr>
        <w:pStyle w:val="Bibliography"/>
      </w:pPr>
      <w:r>
        <w:t xml:space="preserve">European Space Agency, 2024a. Copernicus open access hub.</w:t>
      </w:r>
    </w:p>
    <w:bookmarkEnd w:id="149"/>
    <w:bookmarkStart w:id="150"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0"/>
    <w:bookmarkStart w:id="15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1"/>
    <w:bookmarkStart w:id="152"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2"/>
    <w:bookmarkStart w:id="153"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3"/>
    <w:bookmarkStart w:id="154" w:name="ref-gardner2018global"/>
    <w:p>
      <w:pPr>
        <w:pStyle w:val="Bibliography"/>
      </w:pPr>
      <w:r>
        <w:t xml:space="preserve">Gardner, R.C., Finlayson, C., 2018. Global wetland outlook: State of the world’s wetlands and their services to people, in: Ramsar Convention Secretariat. pp. 2020–5.</w:t>
      </w:r>
    </w:p>
    <w:bookmarkEnd w:id="154"/>
    <w:bookmarkStart w:id="155"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5"/>
    <w:bookmarkStart w:id="156" w:name="ref-green2021historical"/>
    <w:p>
      <w:pPr>
        <w:pStyle w:val="Bibliography"/>
      </w:pPr>
      <w:r>
        <w:t xml:space="preserve">Green, A.E., Unsworth, R.K., Chadwick, M.A., Jones, P.J., 2021. Historical analysis exposes catastrophic seagrass loss for the united kingdom. Frontiers in plant science 12, 629962.</w:t>
      </w:r>
    </w:p>
    <w:bookmarkEnd w:id="156"/>
    <w:bookmarkStart w:id="15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7"/>
    <w:bookmarkStart w:id="15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8">
        <w:r>
          <w:rPr>
            <w:rStyle w:val="Hyperlink"/>
          </w:rPr>
          <w:t xml:space="preserve">https://doi.org/10.1002/aqc.4210</w:t>
        </w:r>
      </w:hyperlink>
    </w:p>
    <w:bookmarkEnd w:id="159"/>
    <w:bookmarkStart w:id="16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0"/>
    <w:bookmarkStart w:id="16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1"/>
    <w:bookmarkStart w:id="162"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2"/>
    <w:bookmarkStart w:id="164" w:name="ref-ioc_sea_level_lecy"/>
    <w:p>
      <w:pPr>
        <w:pStyle w:val="Bibliography"/>
      </w:pPr>
      <w:r>
        <w:t xml:space="preserve">IOC, 2024.</w:t>
      </w:r>
      <w:r>
        <w:t xml:space="preserve"> </w:t>
      </w:r>
      <w:hyperlink r:id="rId163">
        <w:r>
          <w:rPr>
            <w:rStyle w:val="Hyperlink"/>
          </w:rPr>
          <w:t xml:space="preserve">Intergovernmental oceanographic commission ; sea level monitoring station - le conquet, france (LECY)</w:t>
        </w:r>
      </w:hyperlink>
      <w:r>
        <w:t xml:space="preserve">.</w:t>
      </w:r>
    </w:p>
    <w:bookmarkEnd w:id="164"/>
    <w:bookmarkStart w:id="165"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5"/>
    <w:bookmarkStart w:id="167"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6">
        <w:r>
          <w:rPr>
            <w:rStyle w:val="Hyperlink"/>
          </w:rPr>
          <w:t xml:space="preserve">https://doi.org/10.1016/S0304-4238(05)80016-0</w:t>
        </w:r>
      </w:hyperlink>
    </w:p>
    <w:bookmarkEnd w:id="167"/>
    <w:bookmarkStart w:id="169"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8">
        <w:r>
          <w:rPr>
            <w:rStyle w:val="Hyperlink"/>
          </w:rPr>
          <w:t xml:space="preserve">https://doi.org/10.1016/S0034-4257(70)80021-9</w:t>
        </w:r>
      </w:hyperlink>
    </w:p>
    <w:bookmarkEnd w:id="169"/>
    <w:bookmarkStart w:id="170" w:name="ref-hsdar"/>
    <w:p>
      <w:pPr>
        <w:pStyle w:val="Bibliography"/>
      </w:pPr>
      <w:r>
        <w:t xml:space="preserve">Lehnert, L.W., Meyer, H., Bendix, J., 2017. Hsdar: Manage, analyse and simulate hyperspectral data in r.</w:t>
      </w:r>
    </w:p>
    <w:bookmarkEnd w:id="170"/>
    <w:bookmarkStart w:id="171" w:name="ref-loarie2009velocity"/>
    <w:p>
      <w:pPr>
        <w:pStyle w:val="Bibliography"/>
      </w:pPr>
      <w:r>
        <w:t xml:space="preserve">Loarie, S.R., Duffy, P.B., Hamilton, H., Asner, G.P., Field, C.B., Ackerly, D.D., 2009. The velocity of climate change. Nature 462, 1052–1055.</w:t>
      </w:r>
    </w:p>
    <w:bookmarkEnd w:id="171"/>
    <w:bookmarkStart w:id="172"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2"/>
    <w:bookmarkStart w:id="174" w:name="ref-malvern_panalytical_rs3"/>
    <w:p>
      <w:pPr>
        <w:pStyle w:val="Bibliography"/>
      </w:pPr>
      <w:r>
        <w:t xml:space="preserve">Malvern Panalytical, 2023.</w:t>
      </w:r>
      <w:r>
        <w:t xml:space="preserve"> </w:t>
      </w:r>
      <w:hyperlink r:id="rId173">
        <w:r>
          <w:rPr>
            <w:rStyle w:val="Hyperlink"/>
          </w:rPr>
          <w:t xml:space="preserve">RS3 software</w:t>
        </w:r>
      </w:hyperlink>
      <w:r>
        <w:t xml:space="preserve">.</w:t>
      </w:r>
    </w:p>
    <w:bookmarkEnd w:id="174"/>
    <w:bookmarkStart w:id="175" w:name="ref-marba2010mediterranean"/>
    <w:p>
      <w:pPr>
        <w:pStyle w:val="Bibliography"/>
      </w:pPr>
      <w:r>
        <w:t xml:space="preserve">Marbà, N., Duarte, C.M., 2010. Mediterranean warming triggers seagrass (posidonia oceanica) shoot mortality. Global change biology 16, 2366–2375.</w:t>
      </w:r>
    </w:p>
    <w:bookmarkEnd w:id="175"/>
    <w:bookmarkStart w:id="176"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6"/>
    <w:bookmarkStart w:id="17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7"/>
    <w:bookmarkStart w:id="178"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78"/>
    <w:bookmarkStart w:id="179"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9"/>
    <w:bookmarkStart w:id="181"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0">
        <w:r>
          <w:rPr>
            <w:rStyle w:val="Hyperlink"/>
          </w:rPr>
          <w:t xml:space="preserve">https://doi.org/10.3390/rs16234383</w:t>
        </w:r>
      </w:hyperlink>
    </w:p>
    <w:bookmarkEnd w:id="181"/>
    <w:bookmarkStart w:id="182"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2"/>
    <w:bookmarkStart w:id="183"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3"/>
    <w:bookmarkStart w:id="184" w:name="ref-perkins2013measurement"/>
    <w:p>
      <w:pPr>
        <w:pStyle w:val="Bibliography"/>
      </w:pPr>
      <w:r>
        <w:t xml:space="preserve">Perkins, S.E., Alexander, L.V., 2013. On the measurement of heat waves. Journal of climate 26, 4500–4517.</w:t>
      </w:r>
    </w:p>
    <w:bookmarkEnd w:id="184"/>
    <w:bookmarkStart w:id="186" w:name="ref-Rbase"/>
    <w:p>
      <w:pPr>
        <w:pStyle w:val="Bibliography"/>
      </w:pPr>
      <w:r>
        <w:t xml:space="preserve">R Core Team, 2023.</w:t>
      </w:r>
      <w:r>
        <w:t xml:space="preserve"> </w:t>
      </w:r>
      <w:hyperlink r:id="rId185">
        <w:r>
          <w:rPr>
            <w:rStyle w:val="Hyperlink"/>
          </w:rPr>
          <w:t xml:space="preserve">R: A language and environment for statistical computing</w:t>
        </w:r>
      </w:hyperlink>
      <w:r>
        <w:t xml:space="preserve">. R Foundation for Statistical Computing, Vienna, Austria.</w:t>
      </w:r>
    </w:p>
    <w:bookmarkEnd w:id="186"/>
    <w:bookmarkStart w:id="187" w:name="ref-ramesh2020seagrass"/>
    <w:p>
      <w:pPr>
        <w:pStyle w:val="Bibliography"/>
      </w:pPr>
      <w:r>
        <w:t xml:space="preserve">Ramesh, C., Mohanraju, R., 2020. Seagrass ecosystems of andaman and nicobar islands: Status and future perspective. Environmental &amp; Earth Sciences Research Journal 7.</w:t>
      </w:r>
    </w:p>
    <w:bookmarkEnd w:id="187"/>
    <w:bookmarkStart w:id="188" w:name="ref-roman2021using"/>
    <w:p>
      <w:pPr>
        <w:pStyle w:val="Bibliography"/>
      </w:pPr>
      <w:r>
        <w:t xml:space="preserve">Román, A., Tovar-Sánchez, A., Olivé, I., Navarro, G., 2021. Using a UAV-mounted multispectral camera for the monitoring of marine macrophytes. Frontiers in Marine Science 8, 722698.</w:t>
      </w:r>
    </w:p>
    <w:bookmarkEnd w:id="188"/>
    <w:bookmarkStart w:id="189" w:name="ref-rouse1974monitoring"/>
    <w:p>
      <w:pPr>
        <w:pStyle w:val="Bibliography"/>
      </w:pPr>
      <w:r>
        <w:t xml:space="preserve">Rouse, J.W., Haas, R.H., Schell, J.A., Deering, D.W., others, 1974. Monitoring vegetation systems in the great plains with ERTS. NASA Spec. Publ 351, 309.</w:t>
      </w:r>
    </w:p>
    <w:bookmarkEnd w:id="189"/>
    <w:bookmarkStart w:id="19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0"/>
    <w:bookmarkStart w:id="19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1"/>
    <w:bookmarkStart w:id="19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2">
        <w:r>
          <w:rPr>
            <w:rStyle w:val="Hyperlink"/>
          </w:rPr>
          <w:t xml:space="preserve">https://doi.org/10.21105/joss.00821</w:t>
        </w:r>
      </w:hyperlink>
    </w:p>
    <w:bookmarkEnd w:id="193"/>
    <w:bookmarkStart w:id="19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4"/>
    <w:bookmarkStart w:id="196" w:name="ref-shom_ram_2022"/>
    <w:p>
      <w:pPr>
        <w:pStyle w:val="Bibliography"/>
      </w:pPr>
      <w:r>
        <w:t xml:space="preserve">SHOM, 2022.</w:t>
      </w:r>
      <w:r>
        <w:t xml:space="preserve"> </w:t>
      </w:r>
      <w:hyperlink r:id="rId19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6"/>
    <w:bookmarkStart w:id="198" w:name="Xbef41143b4d4042e58f11cfc27e216202646012"/>
    <w:p>
      <w:pPr>
        <w:pStyle w:val="Bibliography"/>
      </w:pPr>
      <w:r>
        <w:t xml:space="preserve">SHOM, 2021.</w:t>
      </w:r>
      <w:r>
        <w:t xml:space="preserve"> </w:t>
      </w:r>
      <w:hyperlink r:id="rId197">
        <w:r>
          <w:rPr>
            <w:rStyle w:val="Hyperlink"/>
          </w:rPr>
          <w:t xml:space="preserve">Service hydrographique et océanographique de la marine ; bathymétrie Litto3D® bretagne 2018-2021</w:t>
        </w:r>
      </w:hyperlink>
      <w:r>
        <w:t xml:space="preserve">.</w:t>
      </w:r>
    </w:p>
    <w:bookmarkEnd w:id="198"/>
    <w:bookmarkStart w:id="199"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199"/>
    <w:bookmarkStart w:id="200"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0"/>
    <w:bookmarkStart w:id="201" w:name="ref-stan2020rstan"/>
    <w:p>
      <w:pPr>
        <w:pStyle w:val="Bibliography"/>
      </w:pPr>
      <w:r>
        <w:t xml:space="preserve">Stan Development Team, C., others, 2020. RStan: The r interface to stan. R package version 2.21. 2.</w:t>
      </w:r>
    </w:p>
    <w:bookmarkEnd w:id="201"/>
    <w:bookmarkStart w:id="202"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2"/>
    <w:bookmarkStart w:id="203"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3"/>
    <w:bookmarkStart w:id="204"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04"/>
    <w:bookmarkStart w:id="205" w:name="ref-unsworth2014biodiversity"/>
    <w:p>
      <w:pPr>
        <w:pStyle w:val="Bibliography"/>
      </w:pPr>
      <w:r>
        <w:t xml:space="preserve">Unsworth, R., Cullen-Unsworth, L.C., 2014. Biodiversity, ecosystem services, and the conservation of seagrass meadows. Coast. Conserv 19, 95.</w:t>
      </w:r>
    </w:p>
    <w:bookmarkEnd w:id="205"/>
    <w:bookmarkStart w:id="206" w:name="ref-unsworth2021seagrass"/>
    <w:p>
      <w:pPr>
        <w:pStyle w:val="Bibliography"/>
      </w:pPr>
      <w:r>
        <w:t xml:space="preserve">Unsworth, R.K., Butterworth, E.G., 2021. Seagrass meadows provide a significant resource in support of avifauna. Diversity 13, 363.</w:t>
      </w:r>
    </w:p>
    <w:bookmarkEnd w:id="206"/>
    <w:bookmarkStart w:id="207" w:name="ref-unsworth2022planetary"/>
    <w:p>
      <w:pPr>
        <w:pStyle w:val="Bibliography"/>
      </w:pPr>
      <w:r>
        <w:t xml:space="preserve">Unsworth, R.K., Cullen-Unsworth, L.C., Jones, B.L., Lilley, R.J., 2022. The planetary role of seagrass conservation. Science 377, 609–613.</w:t>
      </w:r>
    </w:p>
    <w:bookmarkEnd w:id="207"/>
    <w:bookmarkStart w:id="208"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08"/>
    <w:bookmarkStart w:id="20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9"/>
    <w:bookmarkStart w:id="21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0"/>
    <w:bookmarkStart w:id="211" w:name="ref-zahoor2023water"/>
    <w:p>
      <w:pPr>
        <w:pStyle w:val="Bibliography"/>
      </w:pPr>
      <w:r>
        <w:t xml:space="preserve">Zahoor, I., Mushtaq, A., 2023. Water pollution from agricultural activities: A critical global review. Int. J. Chem. Biochem. Sci 23, 164–176.</w:t>
      </w:r>
    </w:p>
    <w:bookmarkEnd w:id="211"/>
    <w:bookmarkStart w:id="212"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2"/>
    <w:bookmarkStart w:id="214"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3">
        <w:r>
          <w:rPr>
            <w:rStyle w:val="Hyperlink"/>
          </w:rPr>
          <w:t xml:space="preserve">https://doi.org/10.1002/rse2.319</w:t>
        </w:r>
      </w:hyperlink>
    </w:p>
    <w:bookmarkEnd w:id="214"/>
    <w:bookmarkStart w:id="215"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5"/>
    <w:bookmarkEnd w:id="216"/>
    <w:bookmarkEnd w:id="217"/>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19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13" Target="https://doi.org/10.1002/rse2.319" TargetMode="External" /><Relationship Type="http://schemas.openxmlformats.org/officeDocument/2006/relationships/hyperlink" Id="rId136" Target="https://doi.org/10.1007/s11099-007-0084-3" TargetMode="External" /><Relationship Type="http://schemas.openxmlformats.org/officeDocument/2006/relationships/hyperlink" Id="rId168" Target="https://doi.org/10.1016/S0034-4257(70)80021-9" TargetMode="External" /><Relationship Type="http://schemas.openxmlformats.org/officeDocument/2006/relationships/hyperlink" Id="rId166"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39"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0" Target="https://doi.org/10.3390/rs16234383" TargetMode="External" /><Relationship Type="http://schemas.openxmlformats.org/officeDocument/2006/relationships/hyperlink" Id="rId134"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197" Target="https://services.data.shom.fr/geonetwork/srv/fre/catalog.search#/metadata/BATHYMETRIE_LITTO3D_BZH_2018_2021.xml" TargetMode="External" /><Relationship Type="http://schemas.openxmlformats.org/officeDocument/2006/relationships/hyperlink" Id="rId185" Target="https://www.R-project.org/" TargetMode="External" /><Relationship Type="http://schemas.openxmlformats.org/officeDocument/2006/relationships/hyperlink" Id="rId163" Target="https://www.ioc-sealevelmonitoring.org/station.php?code=lecy" TargetMode="External" /><Relationship Type="http://schemas.openxmlformats.org/officeDocument/2006/relationships/hyperlink" Id="rId173"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13" Target="https://doi.org/10.1002/rse2.319" TargetMode="External" /><Relationship Type="http://schemas.openxmlformats.org/officeDocument/2006/relationships/hyperlink" Id="rId136" Target="https://doi.org/10.1007/s11099-007-0084-3" TargetMode="External" /><Relationship Type="http://schemas.openxmlformats.org/officeDocument/2006/relationships/hyperlink" Id="rId168" Target="https://doi.org/10.1016/S0034-4257(70)80021-9" TargetMode="External" /><Relationship Type="http://schemas.openxmlformats.org/officeDocument/2006/relationships/hyperlink" Id="rId166"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39"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0" Target="https://doi.org/10.3390/rs16234383" TargetMode="External" /><Relationship Type="http://schemas.openxmlformats.org/officeDocument/2006/relationships/hyperlink" Id="rId134"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197" Target="https://services.data.shom.fr/geonetwork/srv/fre/catalog.search#/metadata/BATHYMETRIE_LITTO3D_BZH_2018_2021.xml" TargetMode="External" /><Relationship Type="http://schemas.openxmlformats.org/officeDocument/2006/relationships/hyperlink" Id="rId185" Target="https://www.R-project.org/" TargetMode="External" /><Relationship Type="http://schemas.openxmlformats.org/officeDocument/2006/relationships/hyperlink" Id="rId163" Target="https://www.ioc-sealevelmonitoring.org/station.php?code=lecy" TargetMode="External" /><Relationship Type="http://schemas.openxmlformats.org/officeDocument/2006/relationships/hyperlink" Id="rId173"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2025-02-17T07:31:33Z</dcterms:created>
  <dcterms:modified xsi:type="dcterms:W3CDTF">2025-02-17T07:31:33Z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and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2025-02-17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