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94.png" ContentType="image/png"/>
  <Override PartName="/word/media/rId25.png" ContentType="image/png"/>
  <Override PartName="/word/media/rId105.png" ContentType="image/png"/>
  <Override PartName="/word/media/rId88.png" ContentType="image/png"/>
  <Override PartName="/word/media/rId100.png" ContentType="image/png"/>
  <Override PartName="/word/media/rId80.png" ContentType="image/png"/>
  <Override PartName="/word/media/rId50.png" ContentType="image/png"/>
  <Override PartName="/word/media/rId55.png" ContentType="image/png"/>
  <Override PartName="/word/media/rId73.png" ContentType="image/png"/>
  <Override PartName="/word/media/rId113.png" ContentType="image/png"/>
  <Override PartName="/word/media/rId67.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Effect of Marine and Atmospheric Heatwaves on Reflectance and Pigment Composition of Intertidal</w:t>
      </w:r>
      <w:r>
        <w:t xml:space="preserve"> </w:t>
      </w:r>
      <w:r>
        <w:rPr>
          <w:i/>
          <w:iCs/>
        </w:rPr>
        <w:t xml:space="preserve">Nanozostera noltei</w:t>
      </w:r>
    </w:p>
    <w:p>
      <w:pPr>
        <w:pStyle w:val="Author"/>
      </w:pPr>
      <w:r>
        <w:t xml:space="preserve"> </w:t>
      </w:r>
    </w:p>
    <w:p>
      <w:pPr>
        <w:pStyle w:val="Author"/>
      </w:pPr>
      <w:r>
        <w:t xml:space="preserve">Simon Oiry</w:t>
      </w:r>
      <w:r>
        <w:rPr>
          <w:vertAlign w:val="superscript"/>
        </w:rPr>
        <w:t xml:space="preserve">1</w:t>
      </w:r>
      <w:r>
        <w:t xml:space="preserve">, Bede Ffinian Rowe Davies</w:t>
      </w:r>
      <w:r>
        <w:rPr>
          <w:vertAlign w:val="superscript"/>
        </w:rPr>
        <w:t xml:space="preserve">1</w:t>
      </w:r>
      <w:r>
        <w:t xml:space="preserve">, Philippe Rosa</w:t>
      </w:r>
      <w:r>
        <w:rPr>
          <w:vertAlign w:val="superscript"/>
        </w:rPr>
        <w:t xml:space="preserve">1</w:t>
      </w:r>
      <w:r>
        <w:t xml:space="preserve">, Augustin Debly</w:t>
      </w:r>
      <w:r>
        <w:rPr>
          <w:vertAlign w:val="superscript"/>
        </w:rPr>
        <w:t xml:space="preserve">1</w:t>
      </w:r>
      <w:r>
        <w:t xml:space="preserve">, Maria Laura Zoffoli</w:t>
      </w:r>
      <w:r>
        <w:rPr>
          <w:vertAlign w:val="superscript"/>
        </w:rPr>
        <w:t xml:space="preserve">2</w:t>
      </w:r>
      <w:r>
        <w:t xml:space="preserve">, Anne-Laure Barillé</w:t>
      </w:r>
      <w:r>
        <w:rPr>
          <w:vertAlign w:val="superscript"/>
        </w:rPr>
        <w:t xml:space="preserve">3</w:t>
      </w:r>
      <w:r>
        <w:t xml:space="preserve">, Nicolas Harin</w:t>
      </w:r>
      <w:r>
        <w:rPr>
          <w:vertAlign w:val="superscript"/>
        </w:rPr>
        <w:t xml:space="preserve">3</w:t>
      </w:r>
      <w:r>
        <w:t xml:space="preserve">, Pierre Gernez</w:t>
      </w:r>
      <w:r>
        <w:rPr>
          <w:vertAlign w:val="superscript"/>
        </w:rPr>
        <w:t xml:space="preserve">1</w:t>
      </w:r>
      <w:r>
        <w:t xml:space="preserve">, and Laurent Barillé</w:t>
      </w:r>
      <w:r>
        <w:rPr>
          <w:vertAlign w:val="superscript"/>
        </w:rPr>
        <w:t xml:space="preserve">1</w:t>
      </w:r>
    </w:p>
    <w:p>
      <w:pPr>
        <w:pStyle w:val="Author"/>
      </w:pPr>
      <w:r>
        <w:rPr>
          <w:vertAlign w:val="superscript"/>
        </w:rPr>
        <w:t xml:space="preserve">1</w:t>
      </w:r>
      <w:r>
        <w:t xml:space="preserve">Institut des Substances et Organismes de la Mer, ISOMer, Nantes Université, UR 2160, F-44000 Nantes, France</w:t>
      </w:r>
    </w:p>
    <w:p>
      <w:pPr>
        <w:pStyle w:val="Author"/>
      </w:pPr>
      <w:r>
        <w:rPr>
          <w:vertAlign w:val="superscript"/>
        </w:rPr>
        <w:t xml:space="preserve">2</w:t>
      </w:r>
      <w:r>
        <w:t xml:space="preserve">Consiglio Nazionale delle Ricerche, Istituto di Scienze Marine (CNR-ISMAR), 00133 Rome, Italy</w:t>
      </w:r>
    </w:p>
    <w:p>
      <w:pPr>
        <w:pStyle w:val="Author"/>
      </w:pPr>
      <w:r>
        <w:rPr>
          <w:vertAlign w:val="superscript"/>
        </w:rPr>
        <w:t xml:space="preserve">3</w:t>
      </w:r>
      <w:r>
        <w:t xml:space="preserve">Bio-littoral, Immeuble Le Nevada, 2 Rue du Château de l’Eraudière, 44300 Nantes, France</w:t>
      </w:r>
    </w:p>
    <w:bookmarkEnd w:id="20"/>
    <w:bookmarkStart w:id="21" w:name="author-note"/>
    <w:p>
      <w:pPr>
        <w:pStyle w:val="Heading1"/>
      </w:pPr>
      <w:r>
        <w:t xml:space="preserve">Author Note</w:t>
      </w:r>
    </w:p>
    <w:p>
      <w:r>
        <w:br w:type="page"/>
      </w:r>
    </w:p>
    <w:bookmarkEnd w:id="21"/>
    <w:bookmarkStart w:id="22" w:name="abstract"/>
    <w:p>
      <w:pPr>
        <w:pStyle w:val="Heading1"/>
      </w:pPr>
      <w:r>
        <w:t xml:space="preserve">Abstract</w:t>
      </w:r>
    </w:p>
    <w:p>
      <w:pPr>
        <w:pStyle w:val="AbstractFirstParagraph"/>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w:t>
      </w:r>
    </w:p>
    <w:p>
      <w:pPr>
        <w:pStyle w:val="BodyText"/>
      </w:pPr>
      <w:r>
        <w:rPr>
          <w:i/>
          <w:iCs/>
        </w:rPr>
        <w:t xml:space="preserve">Keywords</w:t>
      </w:r>
      <w:r>
        <w:t xml:space="preserve">: Remote Sensing, Pigment Composition, Seagrass, Coastal Ecosystems, Heatwaves</w:t>
      </w:r>
    </w:p>
    <w:p>
      <w:r>
        <w:br w:type="page"/>
      </w:r>
    </w:p>
    <w:bookmarkEnd w:id="22"/>
    <w:bookmarkStart w:id="23" w:name="firstheader"/>
    <w:p>
      <w:pPr>
        <w:pStyle w:val="Heading1"/>
      </w:pPr>
      <w:r>
        <w:t xml:space="preserve">Effect of Marine and Atmospheric Heatwaves on Reflectance and Pigment Composition of Intertidal</w:t>
      </w:r>
      <w:r>
        <w:t xml:space="preserve"> </w:t>
      </w:r>
      <w:r>
        <w:rPr>
          <w:i/>
          <w:iCs/>
        </w:rPr>
        <w:t xml:space="preserve">Nanozostera noltei</w:t>
      </w:r>
    </w:p>
    <w:bookmarkEnd w:id="23"/>
    <w:bookmarkStart w:id="24"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w:t>
      </w:r>
      <w:hyperlink w:anchor="ref-sousa2019blue">
        <w:r>
          <w:rPr>
            <w:rStyle w:val="Hyperlink"/>
          </w:rPr>
          <w:t xml:space="preserve">Sousa et al., 2019</w:t>
        </w:r>
      </w:hyperlink>
      <w:r>
        <w:t xml:space="preserve">;</w:t>
      </w:r>
      <w:r>
        <w:t xml:space="preserve"> </w:t>
      </w:r>
      <w:hyperlink w:anchor="ref-unsworth2022planetary">
        <w:r>
          <w:rPr>
            <w:rStyle w:val="Hyperlink"/>
          </w:rPr>
          <w:t xml:space="preserve">Unsworth et al., 2022</w:t>
        </w:r>
      </w:hyperlink>
      <w:r>
        <w:t xml:space="preserve">)</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w:t>
      </w:r>
      <w:hyperlink w:anchor="ref-zoffoli2021decadal">
        <w:r>
          <w:rPr>
            <w:rStyle w:val="Hyperlink"/>
          </w:rPr>
          <w:t xml:space="preserve">Zoffoli et al., 2021</w:t>
        </w:r>
      </w:hyperlink>
      <w:r>
        <w:t xml:space="preserve">)</w:t>
      </w:r>
      <w:r>
        <w:t xml:space="preserve">. The interactions between seagrass meadows and their associated herbivores further enhance the delivery of ecosystem services, including coastal protection and fisheries support</w:t>
      </w:r>
      <w:r>
        <w:t xml:space="preserve"> </w:t>
      </w:r>
      <w:r>
        <w:t xml:space="preserve">(</w:t>
      </w:r>
      <w:hyperlink w:anchor="ref-gardner2018global">
        <w:r>
          <w:rPr>
            <w:rStyle w:val="Hyperlink"/>
          </w:rPr>
          <w:t xml:space="preserve">Gardner and Finlayson, 2018</w:t>
        </w:r>
      </w:hyperlink>
      <w:r>
        <w:t xml:space="preserve">;</w:t>
      </w:r>
      <w:r>
        <w:t xml:space="preserve"> </w:t>
      </w:r>
      <w:hyperlink w:anchor="ref-jankowska2019stabilizing">
        <w:r>
          <w:rPr>
            <w:rStyle w:val="Hyperlink"/>
          </w:rPr>
          <w:t xml:space="preserve">Jankowska et al., 2019</w:t>
        </w:r>
      </w:hyperlink>
      <w:r>
        <w:t xml:space="preserve">;</w:t>
      </w:r>
      <w:r>
        <w:t xml:space="preserve"> </w:t>
      </w:r>
      <w:hyperlink w:anchor="ref-zoffoli2023remote">
        <w:r>
          <w:rPr>
            <w:rStyle w:val="Hyperlink"/>
          </w:rPr>
          <w:t xml:space="preserve">Zoffoli et al., 2023</w:t>
        </w:r>
      </w:hyperlink>
      <w:r>
        <w:t xml:space="preserve">)</w:t>
      </w:r>
      <w:r>
        <w:t xml:space="preserve">. Understanding and preserving these ecosystems are vital for maintaining the biodiversity and productivity of coastal regions</w:t>
      </w:r>
      <w:r>
        <w:t xml:space="preserve"> </w:t>
      </w:r>
      <w:r>
        <w:t xml:space="preserve">(</w:t>
      </w:r>
      <w:hyperlink w:anchor="ref-ramesh2020seagrass">
        <w:r>
          <w:rPr>
            <w:rStyle w:val="Hyperlink"/>
          </w:rPr>
          <w:t xml:space="preserve">Ramesh and Mohanraju, 2020</w:t>
        </w:r>
      </w:hyperlink>
      <w:r>
        <w:t xml:space="preserve">;</w:t>
      </w:r>
      <w:r>
        <w:t xml:space="preserve"> </w:t>
      </w:r>
      <w:hyperlink w:anchor="ref-scott2018role">
        <w:r>
          <w:rPr>
            <w:rStyle w:val="Hyperlink"/>
          </w:rPr>
          <w:t xml:space="preserve">Scott et al., 2018</w:t>
        </w:r>
      </w:hyperlink>
      <w:r>
        <w:t xml:space="preserve">)</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t>
      </w:r>
      <w:hyperlink w:anchor="ref-waycott2009accelerating">
        <w:r>
          <w:rPr>
            <w:rStyle w:val="Hyperlink"/>
          </w:rPr>
          <w:t xml:space="preserve">Waycott et al., 2009</w:t>
        </w:r>
      </w:hyperlink>
      <w:r>
        <w:t xml:space="preserve">)</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w:t>
      </w:r>
      <w:hyperlink w:anchor="ref-thomsen2023meadow">
        <w:r>
          <w:rPr>
            <w:rStyle w:val="Hyperlink"/>
          </w:rPr>
          <w:t xml:space="preserve">Thomsen et al., 2023</w:t>
        </w:r>
      </w:hyperlink>
      <w:r>
        <w:t xml:space="preserve">)</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w:t>
      </w:r>
      <w:hyperlink w:anchor="ref-sevgi2022bitkilerde">
        <w:r>
          <w:rPr>
            <w:rStyle w:val="Hyperlink"/>
          </w:rPr>
          <w:t xml:space="preserve">Sevgi and Leblebici, 2022</w:t>
        </w:r>
      </w:hyperlink>
      <w:r>
        <w:t xml:space="preserve">)</w:t>
      </w:r>
      <w:r>
        <w:t xml:space="preserve"> </w:t>
      </w:r>
      <w:r>
        <w:t xml:space="preserve">Additionally, invasive species can out compete native seagrasses for resources, altering community structure and function</w:t>
      </w:r>
      <w:r>
        <w:t xml:space="preserve"> </w:t>
      </w:r>
      <w:r>
        <w:t xml:space="preserve">(</w:t>
      </w:r>
      <w:hyperlink w:anchor="ref-simpson2016distribution">
        <w:r>
          <w:rPr>
            <w:rStyle w:val="Hyperlink"/>
          </w:rPr>
          <w:t xml:space="preserve">Simpson et al., 2016</w:t>
        </w:r>
      </w:hyperlink>
      <w:r>
        <w:t xml:space="preserve">)</w:t>
      </w:r>
      <w:r>
        <w:t xml:space="preserve">.</w:t>
      </w:r>
    </w:p>
    <w:p>
      <w:pPr>
        <w:pStyle w:val="BodyText"/>
      </w:pPr>
      <w:r>
        <w:t xml:space="preserve">Heatwaves, exacerbated by climate change, pose a growing threat to seagrasses. Marine Heatwaves (MHW), defined by</w:t>
      </w:r>
      <w:r>
        <w:t xml:space="preserve"> </w:t>
      </w:r>
      <w:r>
        <w:t xml:space="preserve">Hobday et al. (</w:t>
      </w:r>
      <w:hyperlink w:anchor="ref-hobday2016hierarchical">
        <w:r>
          <w:rPr>
            <w:rStyle w:val="Hyperlink"/>
          </w:rPr>
          <w:t xml:space="preserve">2016</w:t>
        </w:r>
      </w:hyperlink>
      <w:r>
        <w:t xml:space="preserve">)</w:t>
      </w:r>
      <w:r>
        <w:t xml:space="preserve"> </w:t>
      </w:r>
      <w:r>
        <w:t xml:space="preserve">as prolonged discrete anomalously warm water events, and Atmospheric Heatwaves (AHW), defined by</w:t>
      </w:r>
      <w:r>
        <w:t xml:space="preserve"> </w:t>
      </w:r>
      <w:r>
        <w:t xml:space="preserve">Perkins and Alexander (</w:t>
      </w:r>
      <w:hyperlink w:anchor="ref-perkins2013measurement">
        <w:r>
          <w:rPr>
            <w:rStyle w:val="Hyperlink"/>
          </w:rPr>
          <w:t xml:space="preserve">2013</w:t>
        </w:r>
      </w:hyperlink>
      <w:r>
        <w:t xml:space="preserve">)</w:t>
      </w:r>
      <w:r>
        <w:t xml:space="preserve"> </w:t>
      </w:r>
      <w:r>
        <w:t xml:space="preserve">as periods of at least three consecutive days with temperatures exceeding the 90th percentile, cause severe physiological stress on seagrasses</w:t>
      </w:r>
      <w:r>
        <w:t xml:space="preserve"> </w:t>
      </w:r>
      <w:r>
        <w:t xml:space="preserve">(</w:t>
      </w:r>
      <w:hyperlink w:anchor="ref-deguette2022physiological">
        <w:r>
          <w:rPr>
            <w:rStyle w:val="Hyperlink"/>
          </w:rPr>
          <w:t xml:space="preserve">Deguette et al., 2022</w:t>
        </w:r>
      </w:hyperlink>
      <w:r>
        <w:t xml:space="preserve">;</w:t>
      </w:r>
      <w:r>
        <w:t xml:space="preserve"> </w:t>
      </w:r>
      <w:hyperlink w:anchor="ref-sawall2021chronically">
        <w:r>
          <w:rPr>
            <w:rStyle w:val="Hyperlink"/>
          </w:rPr>
          <w:t xml:space="preserve">Sawall et al., 2021</w:t>
        </w:r>
      </w:hyperlink>
      <w:r>
        <w:t xml:space="preserve">)</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w:t>
      </w:r>
      <w:hyperlink w:anchor="ref-sawall2021chronically">
        <w:r>
          <w:rPr>
            <w:rStyle w:val="Hyperlink"/>
          </w:rPr>
          <w:t xml:space="preserve">Sawall et al., 2021</w:t>
        </w:r>
      </w:hyperlink>
      <w:r>
        <w:t xml:space="preserve">)</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w:t>
      </w:r>
      <w:hyperlink w:anchor="ref-deguette2022physiological">
        <w:r>
          <w:rPr>
            <w:rStyle w:val="Hyperlink"/>
          </w:rPr>
          <w:t xml:space="preserve">Deguette et al., 2022</w:t>
        </w:r>
      </w:hyperlink>
      <w:r>
        <w:t xml:space="preserve">)</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t>
      </w:r>
      <w:hyperlink w:anchor="ref-winters2011effects">
        <w:r>
          <w:rPr>
            <w:rStyle w:val="Hyperlink"/>
          </w:rPr>
          <w:t xml:space="preserve">Winters et al., 2011</w:t>
        </w:r>
      </w:hyperlink>
      <w:r>
        <w:t xml:space="preserve">)</w:t>
      </w:r>
      <w:r>
        <w:t xml:space="preserve">. These events intensify other stressors, such as overgrazing and seed burial, compromising sexual recruitment</w:t>
      </w:r>
      <w:r>
        <w:t xml:space="preserve"> </w:t>
      </w:r>
      <w:r>
        <w:t xml:space="preserve">(</w:t>
      </w:r>
      <w:hyperlink w:anchor="ref-guerrero2020heat">
        <w:r>
          <w:rPr>
            <w:rStyle w:val="Hyperlink"/>
          </w:rPr>
          <w:t xml:space="preserve">Guerrero-Meseguer et al., 2020</w:t>
        </w:r>
      </w:hyperlink>
      <w:r>
        <w:t xml:space="preserve">)</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w:t>
      </w:r>
      <w:hyperlink w:anchor="ref-akbar2020mangrove">
        <w:r>
          <w:rPr>
            <w:rStyle w:val="Hyperlink"/>
          </w:rPr>
          <w:t xml:space="preserve">Akbar et al., 2020</w:t>
        </w:r>
      </w:hyperlink>
      <w:r>
        <w:t xml:space="preserve">;</w:t>
      </w:r>
      <w:r>
        <w:t xml:space="preserve"> </w:t>
      </w:r>
      <w:hyperlink w:anchor="ref-carlan2020identifying">
        <w:r>
          <w:rPr>
            <w:rStyle w:val="Hyperlink"/>
          </w:rPr>
          <w:t xml:space="preserve">Cârlan et al., 2020</w:t>
        </w:r>
      </w:hyperlink>
      <w:r>
        <w:t xml:space="preserve">;</w:t>
      </w:r>
      <w:r>
        <w:t xml:space="preserve"> </w:t>
      </w:r>
      <w:hyperlink w:anchor="ref-huete2012vegetation">
        <w:r>
          <w:rPr>
            <w:rStyle w:val="Hyperlink"/>
          </w:rPr>
          <w:t xml:space="preserve">Huete, 2012</w:t>
        </w:r>
      </w:hyperlink>
      <w:r>
        <w:t xml:space="preserve">;</w:t>
      </w:r>
      <w:r>
        <w:t xml:space="preserve"> </w:t>
      </w:r>
      <w:hyperlink w:anchor="ref-kloos2021agricultural">
        <w:r>
          <w:rPr>
            <w:rStyle w:val="Hyperlink"/>
          </w:rPr>
          <w:t xml:space="preserve">Kloos et al., 2021</w:t>
        </w:r>
      </w:hyperlink>
      <w:r>
        <w:t xml:space="preserve">)</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w:t>
      </w:r>
      <w:hyperlink w:anchor="ref-papathanasopoulou2019satellite">
        <w:r>
          <w:rPr>
            <w:rStyle w:val="Hyperlink"/>
          </w:rPr>
          <w:t xml:space="preserve">Papathanasopoulou et al., 2019</w:t>
        </w:r>
      </w:hyperlink>
      <w:r>
        <w:t xml:space="preserve">)</w:t>
      </w:r>
      <w:r>
        <w:t xml:space="preserve">.</w:t>
      </w:r>
    </w:p>
    <w:p>
      <w:pPr>
        <w:pStyle w:val="BodyText"/>
      </w:pPr>
      <w:r>
        <w:t xml:space="preserve">This study aims to experimentally test the hypothesis that warm events, such as atmospheric heatwaves, alter the pigment composition and reflectance of the intertidal seagrass Nanozostera noltei. By linking these changes with satellite remote sensing data, the study seeks to provide insights into how heatwaves affect seagrass meadows and to assess the potential of remote sensing in monitoring these impacts</w:t>
      </w:r>
    </w:p>
    <w:bookmarkEnd w:id="24"/>
    <w:bookmarkStart w:id="66" w:name="material-methods"/>
    <w:p>
      <w:pPr>
        <w:pStyle w:val="Heading1"/>
      </w:pPr>
      <w:r>
        <w:t xml:space="preserve">2. Material &amp; Methods</w:t>
      </w:r>
    </w:p>
    <w:bookmarkStart w:id="49" w:name="laboratory-experiment"/>
    <w:p>
      <w:pPr>
        <w:pStyle w:val="Heading2"/>
      </w:pPr>
      <w:r>
        <w:t xml:space="preserve">2.1 Laboratory Experiment</w:t>
      </w:r>
    </w:p>
    <w:bookmarkStart w:id="30"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Nanozostera noltei</w:t>
      </w:r>
      <w:r>
        <w:t xml:space="preserve"> </w:t>
      </w:r>
      <w:r>
        <w:t xml:space="preserve">(dwarf eelgrass, syn.</w:t>
      </w:r>
      <w:r>
        <w:t xml:space="preserve"> </w:t>
      </w:r>
      <w:r>
        <w:rPr>
          <w:i/>
          <w:iCs/>
        </w:rPr>
        <w:t xml:space="preserve">Zostera noltei</w:t>
      </w:r>
      <w:r>
        <w:t xml:space="preserve">)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w:t>
      </w:r>
      <w:hyperlink w:anchor="ref-akbar2020mangrove">
        <w:r>
          <w:rPr>
            <w:rStyle w:val="Hyperlink"/>
          </w:rPr>
          <w:t xml:space="preserve">Akbar et al., 2020</w:t>
        </w:r>
      </w:hyperlink>
      <w:r>
        <w:t xml:space="preserve">)</w:t>
      </w:r>
      <w:r>
        <w:t xml:space="preserve">. A wave generator was used in the tank to circulate and reoxygenate the water.</w:t>
      </w:r>
    </w:p>
    <w:bookmarkStart w:id="29" w:name="cell-fig-design"/>
    <w:bookmarkStart w:id="28" w:name="fig-design"/>
    <w:p>
      <w:pPr>
        <w:pStyle w:val="FigureTitle"/>
      </w:pPr>
      <w:r>
        <w:t xml:space="preserve">Figure 1</w:t>
      </w:r>
    </w:p>
    <w:p>
      <w:pPr>
        <w:pStyle w:val="Caption"/>
      </w:pPr>
      <w:r>
        <w:t xml:space="preserve">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p>
      <w:pPr>
        <w:pStyle w:val="FigureWithoutNote"/>
      </w:pPr>
      <w:r>
        <w:drawing>
          <wp:inline>
            <wp:extent cx="5943600" cy="5846341"/>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943600" cy="5846341"/>
                    </a:xfrm>
                    <a:prstGeom prst="rect">
                      <a:avLst/>
                    </a:prstGeom>
                    <a:noFill/>
                    <a:ln w="9525">
                      <a:noFill/>
                      <a:headEnd/>
                      <a:tailEnd/>
                    </a:ln>
                  </pic:spPr>
                </pic:pic>
              </a:graphicData>
            </a:graphic>
          </wp:inline>
        </w:drawing>
      </w:r>
    </w:p>
    <w:bookmarkEnd w:id="28"/>
    <w:bookmarkEnd w:id="29"/>
    <w:bookmarkEnd w:id="30"/>
    <w:bookmarkStart w:id="42" w:name="experimental-design"/>
    <w:p>
      <w:pPr>
        <w:pStyle w:val="Heading3"/>
      </w:pPr>
      <w:r>
        <w:t xml:space="preserve">2.1.2 Experimental design</w:t>
      </w:r>
    </w:p>
    <w:p>
      <w:pPr>
        <w:pStyle w:val="FirstParagraph"/>
      </w:pPr>
      <w:r>
        <w:t xml:space="preserve">Two intertidal chambers from</w:t>
      </w:r>
      <w:r>
        <w:t xml:space="preserve"> </w:t>
      </w:r>
      <w:hyperlink r:id="rId31">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6" w:name="cell-fig-Temperature_Bourgneuf"/>
    <w:bookmarkStart w:id="35" w:name="fig-Temperature_Bourgneuf"/>
    <w:p>
      <w:pPr>
        <w:pStyle w:val="FigureTitle"/>
      </w:pPr>
      <w:r>
        <w:t xml:space="preserve">Figure 2</w:t>
      </w:r>
    </w:p>
    <w:p>
      <w:pPr>
        <w:pStyle w:val="Caption"/>
      </w:pPr>
      <w:r>
        <w:t xml:space="preserve">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FigureWithoutNote"/>
      </w:pPr>
      <w:r>
        <w:drawing>
          <wp:inline>
            <wp:extent cx="4754880" cy="4754880"/>
            <wp:effectExtent b="0" l="0" r="0" t="0"/>
            <wp:docPr descr="" title="" id="33" name="Picture"/>
            <a:graphic>
              <a:graphicData uri="http://schemas.openxmlformats.org/drawingml/2006/picture">
                <pic:pic>
                  <pic:nvPicPr>
                    <pic:cNvPr descr="Figs/High_res/Temperature_compare.png" id="34" name="Picture"/>
                    <pic:cNvPicPr>
                      <a:picLocks noChangeArrowheads="1" noChangeAspect="1"/>
                    </pic:cNvPicPr>
                  </pic:nvPicPr>
                  <pic:blipFill>
                    <a:blip r:embed="rId32"/>
                    <a:stretch>
                      <a:fillRect/>
                    </a:stretch>
                  </pic:blipFill>
                  <pic:spPr bwMode="auto">
                    <a:xfrm>
                      <a:off x="0" y="0"/>
                      <a:ext cx="4754880" cy="4754880"/>
                    </a:xfrm>
                    <a:prstGeom prst="rect">
                      <a:avLst/>
                    </a:prstGeom>
                    <a:noFill/>
                    <a:ln w="9525">
                      <a:noFill/>
                      <a:headEnd/>
                      <a:tailEnd/>
                    </a:ln>
                  </pic:spPr>
                </pic:pic>
              </a:graphicData>
            </a:graphic>
          </wp:inline>
        </w:drawing>
      </w:r>
    </w:p>
    <w:bookmarkEnd w:id="35"/>
    <w:bookmarkEnd w:id="36"/>
    <w:p>
      <w:pPr>
        <w:pStyle w:val="AfterWithoutNote"/>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BodyText"/>
      </w:pPr>
      <w:r>
        <w:t xml:space="preserve">The control chamber was kept at temperatures representing typical seasonal conditions, with water temperatures ranging from 18°C to 19°C and air temperatures from 18°C to 23°C, following natural circadian temperature fluctuations (</w:t>
      </w:r>
      <w:hyperlink w:anchor="fig-Profile">
        <w:r>
          <w:rPr>
            <w:rStyle w:val="Hyperlink"/>
          </w:rPr>
          <w:t xml:space="preserve">Figure 3</w:t>
        </w:r>
      </w:hyperlink>
      <w:r>
        <w:t xml:space="preserve"> </w:t>
      </w:r>
      <w:r>
        <w:t xml:space="preserve">left).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concluded only when no changes in the reflectance of the treatment were observed for two consecutive days.</w:t>
      </w:r>
    </w:p>
    <w:bookmarkStart w:id="41" w:name="cell-fig-Profile"/>
    <w:bookmarkStart w:id="40" w:name="fig-Profile"/>
    <w:p>
      <w:pPr>
        <w:pStyle w:val="FigureTitle"/>
      </w:pPr>
      <w:r>
        <w:t xml:space="preserve">Figure 3</w:t>
      </w:r>
    </w:p>
    <w:p>
      <w:pPr>
        <w:pStyle w:val="Caption"/>
      </w:pPr>
      <w:r>
        <w:t xml:space="preserve">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pPr>
        <w:pStyle w:val="FigureWithoutNote"/>
      </w:pPr>
      <w:r>
        <w:drawing>
          <wp:inline>
            <wp:extent cx="5943600" cy="2718555"/>
            <wp:effectExtent b="0" l="0" r="0" t="0"/>
            <wp:docPr descr="" title="" id="38" name="Picture"/>
            <a:graphic>
              <a:graphicData uri="http://schemas.openxmlformats.org/drawingml/2006/picture">
                <pic:pic>
                  <pic:nvPicPr>
                    <pic:cNvPr descr="Figs/Low_res/Chamber_Profils.png" id="39" name="Picture"/>
                    <pic:cNvPicPr>
                      <a:picLocks noChangeArrowheads="1" noChangeAspect="1"/>
                    </pic:cNvPicPr>
                  </pic:nvPicPr>
                  <pic:blipFill>
                    <a:blip r:embed="rId37"/>
                    <a:stretch>
                      <a:fillRect/>
                    </a:stretch>
                  </pic:blipFill>
                  <pic:spPr bwMode="auto">
                    <a:xfrm>
                      <a:off x="0" y="0"/>
                      <a:ext cx="5943600" cy="2718555"/>
                    </a:xfrm>
                    <a:prstGeom prst="rect">
                      <a:avLst/>
                    </a:prstGeom>
                    <a:noFill/>
                    <a:ln w="9525">
                      <a:noFill/>
                      <a:headEnd/>
                      <a:tailEnd/>
                    </a:ln>
                  </pic:spPr>
                </pic:pic>
              </a:graphicData>
            </a:graphic>
          </wp:inline>
        </w:drawing>
      </w:r>
    </w:p>
    <w:bookmarkEnd w:id="40"/>
    <w:bookmarkEnd w:id="41"/>
    <w:bookmarkEnd w:id="42"/>
    <w:bookmarkStart w:id="48" w:name="Xace924ada36ed3f851fe125e1fb1311c1764a5d"/>
    <w:p>
      <w:pPr>
        <w:pStyle w:val="Heading3"/>
      </w:pPr>
      <w:r>
        <w:t xml:space="preserve">2.1.3 Bio-optical measurmenents over seagrass leaves</w:t>
      </w:r>
    </w:p>
    <w:p>
      <w:pPr>
        <w:pStyle w:val="Heading4"/>
        <w:rPr>
          <w:vanish/>
          <w:specVanish/>
        </w:rPr>
      </w:pPr>
      <w:r>
        <w:t>Hyperspectral measurements.</w:t>
      </w:r>
      <w:r>
        <w:t xml:space="preserve"> </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3">
        <w:r>
          <w:rPr>
            <w:rStyle w:val="Hyperlink"/>
          </w:rPr>
          <w:t xml:space="preserve">RS3 softaware</w:t>
        </w:r>
      </w:hyperlink>
      <w:r>
        <w:t xml:space="preserve"> </w:t>
      </w:r>
      <w:r>
        <w:t xml:space="preserve">developed by the instrument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w:t>
      </w:r>
      <w:hyperlink w:anchor="ref-rouse1974monitoring">
        <w:r>
          <w:rPr>
            <w:rStyle w:val="Hyperlink"/>
          </w:rPr>
          <w:t xml:space="preserve">1974</w:t>
        </w:r>
      </w:hyperlink>
      <w:r>
        <w:t xml:space="preserve">)</w:t>
      </w:r>
      <w:r>
        <w:t xml:space="preserve">), as a proxy of the concentration of chlorophyll-a (</w:t>
      </w:r>
      <w:hyperlink w:anchor="eq-ndvi">
        <w:r>
          <w:rPr>
            <w:rStyle w:val="Hyperlink"/>
          </w:rPr>
          <w:t xml:space="preserve">Equation 1</w:t>
        </w:r>
      </w:hyperlink>
      <w:r>
        <w:t xml:space="preserve">)</w:t>
      </w:r>
    </w:p>
    <w:p>
      <w:pPr>
        <w:pStyle w:val="FirstParagraph"/>
      </w:pPr>
      <w:bookmarkStart w:id="44"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4"/>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w:t>
      </w:r>
      <w:hyperlink w:anchor="ref-zoffoli2020sentinel">
        <w:r>
          <w:rPr>
            <w:rStyle w:val="Hyperlink"/>
          </w:rPr>
          <w:t xml:space="preserve">2020</w:t>
        </w:r>
      </w:hyperlink>
      <w:r>
        <w:t xml:space="preserve">)</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5"/>
    </w:p>
    <w:p>
      <w:pPr>
        <w:pStyle w:val="Compact"/>
        <w:numPr>
          <w:ilvl w:val="0"/>
          <w:numId w:val="1003"/>
        </w:numPr>
      </w:pPr>
      <w:r>
        <w:t xml:space="preserve">The Green Leaf Index (GLI,</w:t>
      </w:r>
      <w:r>
        <w:t xml:space="preserve"> </w:t>
      </w:r>
      <w:r>
        <w:t xml:space="preserve">Louhaichi et al. (</w:t>
      </w:r>
      <w:hyperlink w:anchor="ref-louhaichi2001spatially">
        <w:r>
          <w:rPr>
            <w:rStyle w:val="Hyperlink"/>
          </w:rPr>
          <w:t xml:space="preserve">2001</w:t>
        </w:r>
      </w:hyperlink>
      <w:r>
        <w:t xml:space="preserve">)</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6"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6"/>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Heading4"/>
        <w:rPr>
          <w:vanish/>
          <w:specVanish/>
        </w:rPr>
      </w:pPr>
      <w:r>
        <w:t>WILL BE REMOVED - Multispectral imagery measurement.</w:t>
      </w:r>
      <w:r>
        <w:t xml:space="preserve"> </w:t>
      </w:r>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7">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p>
      <w:pPr>
        <w:pStyle w:val="Heading4"/>
        <w:rPr>
          <w:vanish/>
          <w:specVanish/>
        </w:rPr>
      </w:pPr>
      <w:r>
        <w:t>Pigment concentration measurements.</w:t>
      </w:r>
      <w:r>
        <w:t xml:space="preserve"> </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8"/>
    <w:bookmarkEnd w:id="49"/>
    <w:bookmarkStart w:id="65"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bookmarkStart w:id="53" w:name="fig-quiberonMap"/>
    <w:p>
      <w:pPr>
        <w:pStyle w:val="FigureTitle"/>
      </w:pPr>
      <w:r>
        <w:t xml:space="preserve">Figure 4</w:t>
      </w:r>
    </w:p>
    <w:p>
      <w:pPr>
        <w:pStyle w:val="Caption"/>
      </w:pPr>
      <w:r>
        <w:t xml:space="preserve">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p>
      <w:pPr>
        <w:pStyle w:val="FigureWithoutNote"/>
      </w:pPr>
      <w:r>
        <w:drawing>
          <wp:inline>
            <wp:extent cx="5943600" cy="6080409"/>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943600" cy="6080409"/>
                    </a:xfrm>
                    <a:prstGeom prst="rect">
                      <a:avLst/>
                    </a:prstGeom>
                    <a:noFill/>
                    <a:ln w="9525">
                      <a:noFill/>
                      <a:headEnd/>
                      <a:tailEnd/>
                    </a:ln>
                  </pic:spPr>
                </pic:pic>
              </a:graphicData>
            </a:graphic>
          </wp:inline>
        </w:drawing>
      </w:r>
    </w:p>
    <w:bookmarkEnd w:id="53"/>
    <w:bookmarkEnd w:id="54"/>
    <w:p>
      <w:pPr>
        <w:pStyle w:val="AfterWithoutNote"/>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significant darkening of seagrass leaves was observed over large areas of the meadow (</w:t>
      </w:r>
      <w:hyperlink w:anchor="fig-QuiberonImg">
        <w:r>
          <w:rPr>
            <w:rStyle w:val="Hyperlink"/>
          </w:rPr>
          <w:t xml:space="preserve">Figure 5</w:t>
        </w:r>
      </w:hyperlink>
      <w:r>
        <w:t xml:space="preserve"> </w:t>
      </w:r>
      <w:r>
        <w:t xml:space="preserve">C &amp; D). A total of 122 Ground Control Points (GCPs) were collected in the form of georeferenced quadrat images across the meadow.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bookmarkStart w:id="58" w:name="fig-QuiberonImg"/>
    <w:p>
      <w:pPr>
        <w:pStyle w:val="FigureTitle"/>
      </w:pPr>
      <w:r>
        <w:t xml:space="preserve">Figure 5</w:t>
      </w:r>
    </w:p>
    <w:p>
      <w:pPr>
        <w:pStyle w:val="Caption"/>
      </w:pPr>
      <w:r>
        <w:t xml:space="preserve">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p>
      <w:pPr>
        <w:pStyle w:val="FigureWithoutNote"/>
      </w:pPr>
      <w:r>
        <w:drawing>
          <wp:inline>
            <wp:extent cx="5943600" cy="3929594"/>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943600" cy="3929594"/>
                    </a:xfrm>
                    <a:prstGeom prst="rect">
                      <a:avLst/>
                    </a:prstGeom>
                    <a:noFill/>
                    <a:ln w="9525">
                      <a:noFill/>
                      <a:headEnd/>
                      <a:tailEnd/>
                    </a:ln>
                  </pic:spPr>
                </pic:pic>
              </a:graphicData>
            </a:graphic>
          </wp:inline>
        </w:drawing>
      </w:r>
    </w:p>
    <w:bookmarkEnd w:id="58"/>
    <w:bookmarkEnd w:id="59"/>
    <w:bookmarkEnd w:id="60"/>
    <w:bookmarkStart w:id="62" w:name="X73fb4b6725bb43bdc3c17946b41d73eba45f33b"/>
    <w:p>
      <w:pPr>
        <w:pStyle w:val="Heading3"/>
      </w:pPr>
      <w:r>
        <w:t xml:space="preserve">2.2.2 Temparature Data and identification of heatwaves</w:t>
      </w:r>
    </w:p>
    <w:p>
      <w:pPr>
        <w:pStyle w:val="Heading4"/>
        <w:rPr>
          <w:vanish/>
          <w:specVanish/>
        </w:rPr>
      </w:pPr>
      <w:r>
        <w:t>Air temperature.</w:t>
      </w:r>
      <w:r>
        <w:t xml:space="preserve"> </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w:t>
      </w:r>
      <w:hyperlink w:anchor="ref-heatwaveR">
        <w:r>
          <w:rPr>
            <w:rStyle w:val="Hyperlink"/>
          </w:rPr>
          <w:t xml:space="preserve">Schlegel and Smit, 2018</w:t>
        </w:r>
      </w:hyperlink>
      <w:r>
        <w:t xml:space="preserve">)</w:t>
      </w:r>
      <w:r>
        <w:t xml:space="preserve">. This package utilizes the methodology proposed by</w:t>
      </w:r>
      <w:r>
        <w:t xml:space="preserve"> </w:t>
      </w:r>
      <w:r>
        <w:t xml:space="preserve">Hobday et al. (</w:t>
      </w:r>
      <w:hyperlink w:anchor="ref-hobday2016hierarchical">
        <w:r>
          <w:rPr>
            <w:rStyle w:val="Hyperlink"/>
          </w:rPr>
          <w:t xml:space="preserve">2016</w:t>
        </w:r>
      </w:hyperlink>
      <w:r>
        <w:t xml:space="preserve">)</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w:t>
      </w:r>
      <w:hyperlink w:anchor="ref-hobday2018categorizing">
        <w:r>
          <w:rPr>
            <w:rStyle w:val="Hyperlink"/>
          </w:rPr>
          <w:t xml:space="preserve">2018</w:t>
        </w:r>
      </w:hyperlink>
      <w:r>
        <w:t xml:space="preserve">)</w:t>
      </w:r>
      <w:r>
        <w:t xml:space="preserve">. Following the methodology of</w:t>
      </w:r>
      <w:r>
        <w:t xml:space="preserve"> </w:t>
      </w:r>
      <w:r>
        <w:t xml:space="preserve">Schlegel et al. (</w:t>
      </w:r>
      <w:hyperlink w:anchor="ref-schlegel2017nearshore">
        <w:r>
          <w:rPr>
            <w:rStyle w:val="Hyperlink"/>
          </w:rPr>
          <w:t xml:space="preserve">2017</w:t>
        </w:r>
      </w:hyperlink>
      <w:r>
        <w:t xml:space="preserve">)</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p>
      <w:pPr>
        <w:pStyle w:val="Heading4"/>
        <w:rPr>
          <w:vanish/>
          <w:specVanish/>
        </w:rPr>
      </w:pPr>
      <w:r>
        <w:t>Water temperature.</w:t>
      </w:r>
      <w:r>
        <w:t xml:space="preserve"> </w:t>
      </w:r>
    </w:p>
    <w:p>
      <w:pPr>
        <w:pStyle w:val="BodyText"/>
      </w:pPr>
      <w:r>
        <w:t xml:space="preserve">SST data from the Copernicus CMEMS platform were downloaded for the French coast near Quiberon (47°29′03″N, 3°07′09″W), covering 1982-2022</w:t>
      </w:r>
      <w:r>
        <w:t xml:space="preserve"> </w:t>
      </w:r>
      <w:r>
        <w:t xml:space="preserve">(</w:t>
      </w:r>
      <w:hyperlink w:anchor="ref-CMEMS_1">
        <w:r>
          <w:rPr>
            <w:rStyle w:val="Hyperlink"/>
          </w:rPr>
          <w:t xml:space="preserve">CMEMS, 2024</w:t>
        </w:r>
      </w:hyperlink>
      <w:r>
        <w:t xml:space="preserve">)</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w:t>
      </w:r>
      <w:hyperlink w:anchor="ref-heatwaveR">
        <w:r>
          <w:rPr>
            <w:rStyle w:val="Hyperlink"/>
          </w:rPr>
          <w:t xml:space="preserve">Schlegel and Smit, 2018</w:t>
        </w:r>
      </w:hyperlink>
      <w:r>
        <w:t xml:space="preserve">)</w:t>
      </w:r>
      <w:r>
        <w:t xml:space="preserve"> </w:t>
      </w:r>
      <w:r>
        <w:t xml:space="preserve">was used to compute SST climatology and detect SST events using the same method as air temperature event detection.</w:t>
      </w:r>
    </w:p>
    <w:bookmarkEnd w:id="62"/>
    <w:bookmarkStart w:id="63"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w:t>
      </w:r>
      <w:hyperlink w:anchor="ref-copernicus_sentinel2">
        <w:r>
          <w:rPr>
            <w:rStyle w:val="Hyperlink"/>
          </w:rPr>
          <w:t xml:space="preserve">European Space Agency, 2024a</w:t>
        </w:r>
      </w:hyperlink>
      <w:r>
        <w:t xml:space="preserve">)</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w:t>
      </w:r>
      <w:hyperlink w:anchor="ref-sen2cor">
        <w:r>
          <w:rPr>
            <w:rStyle w:val="Hyperlink"/>
          </w:rPr>
          <w:t xml:space="preserve">European Space Agency, 2024b</w:t>
        </w:r>
      </w:hyperlink>
      <w:r>
        <w:t xml:space="preserve">)</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3"/>
    <w:bookmarkStart w:id="64"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w:t>
      </w:r>
      <w:hyperlink w:anchor="Xbef41143b4d4042e58f11cfc27e216202646012">
        <w:r>
          <w:rPr>
            <w:rStyle w:val="Hyperlink"/>
          </w:rPr>
          <w:t xml:space="preserve">SHOM, 2021</w:t>
        </w:r>
      </w:hyperlink>
      <w:r>
        <w:t xml:space="preserve">)</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w:t>
      </w:r>
      <w:hyperlink w:anchor="ref-ioc_sea_level_lecy">
        <w:r>
          <w:rPr>
            <w:rStyle w:val="Hyperlink"/>
          </w:rPr>
          <w:t xml:space="preserve">IOC, 2024</w:t>
        </w:r>
      </w:hyperlink>
      <w:r>
        <w:t xml:space="preserve">)</w:t>
      </w:r>
      <w:r>
        <w:t xml:space="preserve">, using measurements from the nearest tide gauge at Le Conquet.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w:t>
      </w:r>
      <w:r>
        <w:t xml:space="preserve"> </w:t>
      </w:r>
      <w:hyperlink w:anchor="ref-shom_ram_2022">
        <w:r>
          <w:rPr>
            <w:rStyle w:val="Hyperlink"/>
          </w:rPr>
          <w:t xml:space="preserve">Shom, 2022</w:t>
        </w:r>
      </w:hyperlink>
      <w:r>
        <w:t xml:space="preserve">)</w:t>
      </w:r>
      <w:r>
        <w:t xml:space="preserve">, which provides these correction factors for each seaport along the French coastline. For Le Conquet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4"/>
    <w:bookmarkEnd w:id="65"/>
    <w:bookmarkEnd w:id="66"/>
    <w:bookmarkStart w:id="112" w:name="results"/>
    <w:p>
      <w:pPr>
        <w:pStyle w:val="Heading1"/>
      </w:pPr>
      <w:r>
        <w:t xml:space="preserve">3. Results</w:t>
      </w:r>
    </w:p>
    <w:bookmarkStart w:id="87" w:name="laboratory-experiment-1"/>
    <w:p>
      <w:pPr>
        <w:pStyle w:val="Heading2"/>
      </w:pPr>
      <w:r>
        <w:t xml:space="preserve">3.1 Laboratory Experiment</w:t>
      </w:r>
    </w:p>
    <w:bookmarkStart w:id="72"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1" w:name="cell-fig-Exp_Spectra"/>
    <w:bookmarkStart w:id="70" w:name="fig-Exp_Spectra"/>
    <w:p>
      <w:pPr>
        <w:pStyle w:val="FigureTitle"/>
      </w:pPr>
      <w:r>
        <w:t xml:space="preserve">Figure 6</w:t>
      </w:r>
    </w:p>
    <w:p>
      <w:pPr>
        <w:pStyle w:val="Caption"/>
      </w:pPr>
      <w:r>
        <w:t xml:space="preserve">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p>
      <w:pPr>
        <w:pStyle w:val="FigureWithoutNote"/>
      </w:pPr>
      <w:r>
        <w:drawing>
          <wp:inline>
            <wp:extent cx="5943600" cy="2971800"/>
            <wp:effectExtent b="0" l="0" r="0" t="0"/>
            <wp:docPr descr="" title="" id="68" name="Picture"/>
            <a:graphic>
              <a:graphicData uri="http://schemas.openxmlformats.org/drawingml/2006/picture">
                <pic:pic>
                  <pic:nvPicPr>
                    <pic:cNvPr descr="Figs/Low_res/plot_Spectra_exp.png" id="69" name="Picture"/>
                    <pic:cNvPicPr>
                      <a:picLocks noChangeArrowheads="1" noChangeAspect="1"/>
                    </pic:cNvPicPr>
                  </pic:nvPicPr>
                  <pic:blipFill>
                    <a:blip r:embed="rId67"/>
                    <a:stretch>
                      <a:fillRect/>
                    </a:stretch>
                  </pic:blipFill>
                  <pic:spPr bwMode="auto">
                    <a:xfrm>
                      <a:off x="0" y="0"/>
                      <a:ext cx="5943600" cy="2971800"/>
                    </a:xfrm>
                    <a:prstGeom prst="rect">
                      <a:avLst/>
                    </a:prstGeom>
                    <a:noFill/>
                    <a:ln w="9525">
                      <a:noFill/>
                      <a:headEnd/>
                      <a:tailEnd/>
                    </a:ln>
                  </pic:spPr>
                </pic:pic>
              </a:graphicData>
            </a:graphic>
          </wp:inline>
        </w:drawing>
      </w:r>
    </w:p>
    <w:bookmarkEnd w:id="70"/>
    <w:bookmarkEnd w:id="71"/>
    <w:bookmarkEnd w:id="72"/>
    <w:bookmarkStart w:id="78"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54 %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40 and 57 %,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7" w:name="cell-fig-Exp_Spectral_indices"/>
    <w:bookmarkStart w:id="76" w:name="fig-Exp_Spectral_indices"/>
    <w:p>
      <w:pPr>
        <w:pStyle w:val="FigureTitle"/>
      </w:pPr>
      <w:r>
        <w:t xml:space="preserve">Figure 7</w:t>
      </w:r>
    </w:p>
    <w:p>
      <w:pPr>
        <w:pStyle w:val="Caption"/>
      </w:pPr>
      <w:r>
        <w:t xml:space="preserve">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p>
      <w:pPr>
        <w:pStyle w:val="FigureWithoutNote"/>
      </w:pPr>
      <w:r>
        <w:drawing>
          <wp:inline>
            <wp:extent cx="5943600" cy="5943600"/>
            <wp:effectExtent b="0" l="0" r="0" t="0"/>
            <wp:docPr descr="" title="" id="74" name="Picture"/>
            <a:graphic>
              <a:graphicData uri="http://schemas.openxmlformats.org/drawingml/2006/picture">
                <pic:pic>
                  <pic:nvPicPr>
                    <pic:cNvPr descr="Figs/Low_res/merged_indices.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bookmarkEnd w:id="77"/>
    <w:bookmarkEnd w:id="78"/>
    <w:bookmarkStart w:id="85" w:name="X0a3b57fb6e58dace6488d21e37474af411bb7be"/>
    <w:p>
      <w:pPr>
        <w:pStyle w:val="Heading3"/>
      </w:pPr>
      <w:r>
        <w:t xml:space="preserve">3.1.3 Buidling the Seagrass Darkening radiometric index</w:t>
      </w:r>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7</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w:bookmarkStart w:id="79" w:name="eq-SDI"/>
      <m:oMathPara>
        <m:oMathParaPr>
          <m:jc m:val="center"/>
        </m:oMathParaPr>
        <m:oMath>
          <m:r>
            <m:rPr>
              <m:nor/>
              <m:sty m:val="p"/>
            </m:rPr>
            <m:t>SDI</m:t>
          </m:r>
          <m:r>
            <m:rPr>
              <m:sty m:val="p"/>
            </m:rPr>
            <m:t>=</m:t>
          </m:r>
          <m:d>
            <m:dPr>
              <m:begChr m:val="["/>
              <m:endChr m:val="]"/>
              <m:sepChr m:val=""/>
              <m:grow/>
            </m:dPr>
            <m:e>
              <m:r>
                <m:t>R</m:t>
              </m:r>
              <m:d>
                <m:dPr>
                  <m:begChr m:val="("/>
                  <m:endChr m:val=")"/>
                  <m:sepChr m:val=""/>
                  <m:grow/>
                </m:dPr>
                <m:e>
                  <m:r>
                    <m:t>560</m:t>
                  </m:r>
                </m:e>
              </m:d>
              <m:r>
                <m:rPr>
                  <m:sty m:val="p"/>
                </m:rPr>
                <m:t>+</m:t>
              </m:r>
              <m:r>
                <m:t>0.64</m:t>
              </m:r>
              <m:r>
                <m:rPr>
                  <m:sty m:val="p"/>
                </m:rPr>
                <m:t>⋅</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e>
          </m:d>
          <m:r>
            <m:rPr>
              <m:sty m:val="p"/>
            </m:rPr>
            <m:t>−</m:t>
          </m:r>
          <m:r>
            <m:t>R</m:t>
          </m:r>
          <m:d>
            <m:dPr>
              <m:begChr m:val="("/>
              <m:endChr m:val=")"/>
              <m:sepChr m:val=""/>
              <m:grow/>
            </m:dPr>
            <m:e>
              <m:r>
                <m:t>740</m:t>
              </m:r>
            </m:e>
          </m:d>
          <m:r>
            <m:t>  </m:t>
          </m:r>
          <m:d>
            <m:dPr>
              <m:begChr m:val="("/>
              <m:endChr m:val=")"/>
              <m:sepChr m:val=""/>
              <m:grow/>
            </m:dPr>
            <m:e>
              <m:r>
                <m:t>4</m:t>
              </m:r>
            </m:e>
          </m:d>
        </m:oMath>
      </m:oMathPara>
      <w:bookmarkEnd w:id="79"/>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Start w:id="84" w:name="cell-fig-SDI_exp"/>
    <w:bookmarkStart w:id="83" w:name="fig-SDI_exp"/>
    <w:p>
      <w:pPr>
        <w:pStyle w:val="FigureTitle"/>
      </w:pPr>
      <w:r>
        <w:t xml:space="preserve">Figure 8</w:t>
      </w:r>
    </w:p>
    <w:p>
      <w:pPr>
        <w:pStyle w:val="Caption"/>
      </w:pPr>
      <w:r>
        <w:t xml:space="preserve">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pPr>
        <w:pStyle w:val="FigureWithoutNote"/>
      </w:pPr>
      <w:r>
        <w:drawing>
          <wp:inline>
            <wp:extent cx="5943600" cy="2971800"/>
            <wp:effectExtent b="0" l="0" r="0" t="0"/>
            <wp:docPr descr="" title="" id="81" name="Picture"/>
            <a:graphic>
              <a:graphicData uri="http://schemas.openxmlformats.org/drawingml/2006/picture">
                <pic:pic>
                  <pic:nvPicPr>
                    <pic:cNvPr descr="Figs/Low_res/PLOT_SDI_exp.png" id="82" name="Picture"/>
                    <pic:cNvPicPr>
                      <a:picLocks noChangeArrowheads="1" noChangeAspect="1"/>
                    </pic:cNvPicPr>
                  </pic:nvPicPr>
                  <pic:blipFill>
                    <a:blip r:embed="rId80"/>
                    <a:stretch>
                      <a:fillRect/>
                    </a:stretch>
                  </pic:blipFill>
                  <pic:spPr bwMode="auto">
                    <a:xfrm>
                      <a:off x="0" y="0"/>
                      <a:ext cx="5943600" cy="2971800"/>
                    </a:xfrm>
                    <a:prstGeom prst="rect">
                      <a:avLst/>
                    </a:prstGeom>
                    <a:noFill/>
                    <a:ln w="9525">
                      <a:noFill/>
                      <a:headEnd/>
                      <a:tailEnd/>
                    </a:ln>
                  </pic:spPr>
                </pic:pic>
              </a:graphicData>
            </a:graphic>
          </wp:inline>
        </w:drawing>
      </w:r>
    </w:p>
    <w:bookmarkEnd w:id="83"/>
    <w:bookmarkEnd w:id="84"/>
    <w:p>
      <w:pPr>
        <w:pStyle w:val="AfterWithoutNote"/>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8</w:t>
        </w:r>
      </w:hyperlink>
      <w:r>
        <w:t xml:space="preserve">, right).</w:t>
      </w:r>
    </w:p>
    <w:bookmarkEnd w:id="85"/>
    <w:bookmarkStart w:id="86" w:name="X03f1f92316c3f266276e7acc4c55e66c6a0add8"/>
    <w:p>
      <w:pPr>
        <w:pStyle w:val="Heading3"/>
      </w:pPr>
      <w:r>
        <w:t xml:space="preserve">3.1.4 Pigment composition evolution along the experiment</w:t>
      </w:r>
    </w:p>
    <w:p>
      <w:pPr>
        <w:pStyle w:val="FirstParagraph"/>
      </w:pPr>
      <w:r>
        <w:t xml:space="preserve">bla bla bla bla</w:t>
      </w:r>
    </w:p>
    <w:bookmarkEnd w:id="86"/>
    <w:bookmarkEnd w:id="87"/>
    <w:bookmarkStart w:id="111" w:name="heatwaves-of-quiberon"/>
    <w:p>
      <w:pPr>
        <w:pStyle w:val="Heading2"/>
      </w:pPr>
      <w:r>
        <w:t xml:space="preserve">3.2 Heatwaves of Quiberon</w:t>
      </w:r>
    </w:p>
    <w:bookmarkStart w:id="9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2" w:name="cell-fig-S2_comparison"/>
    <w:bookmarkStart w:id="91" w:name="fig-S2_comparison"/>
    <w:p>
      <w:pPr>
        <w:pStyle w:val="FigureTitle"/>
      </w:pPr>
      <w:r>
        <w:t xml:space="preserve">Figure 9</w:t>
      </w:r>
    </w:p>
    <w:p>
      <w:pPr>
        <w:pStyle w:val="Caption"/>
      </w:pPr>
      <w:r>
        <w:t xml:space="preserve">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p>
      <w:pPr>
        <w:pStyle w:val="FigureWithoutNote"/>
      </w:pPr>
      <w:r>
        <w:drawing>
          <wp:inline>
            <wp:extent cx="5943600" cy="5054600"/>
            <wp:effectExtent b="0" l="0" r="0" t="0"/>
            <wp:docPr descr="" title="" id="89" name="Picture"/>
            <a:graphic>
              <a:graphicData uri="http://schemas.openxmlformats.org/drawingml/2006/picture">
                <pic:pic>
                  <pic:nvPicPr>
                    <pic:cNvPr descr="Figs/Low_res/Heatwaves_S2_plot.png" id="90" name="Picture"/>
                    <pic:cNvPicPr>
                      <a:picLocks noChangeArrowheads="1" noChangeAspect="1"/>
                    </pic:cNvPicPr>
                  </pic:nvPicPr>
                  <pic:blipFill>
                    <a:blip r:embed="rId88"/>
                    <a:stretch>
                      <a:fillRect/>
                    </a:stretch>
                  </pic:blipFill>
                  <pic:spPr bwMode="auto">
                    <a:xfrm>
                      <a:off x="0" y="0"/>
                      <a:ext cx="5943600" cy="5054600"/>
                    </a:xfrm>
                    <a:prstGeom prst="rect">
                      <a:avLst/>
                    </a:prstGeom>
                    <a:noFill/>
                    <a:ln w="9525">
                      <a:noFill/>
                      <a:headEnd/>
                      <a:tailEnd/>
                    </a:ln>
                  </pic:spPr>
                </pic:pic>
              </a:graphicData>
            </a:graphic>
          </wp:inline>
        </w:drawing>
      </w:r>
    </w:p>
    <w:bookmarkEnd w:id="91"/>
    <w:bookmarkEnd w:id="92"/>
    <w:bookmarkEnd w:id="93"/>
    <w:bookmarkStart w:id="99"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10</w:t>
        </w:r>
      </w:hyperlink>
      <w:r>
        <w:t xml:space="preserve"> </w:t>
      </w:r>
      <w:r>
        <w:t xml:space="preserve">D green) were denser than the those remained unchanged (median SPC = 65%;</w:t>
      </w:r>
      <w:r>
        <w:t xml:space="preserve"> </w:t>
      </w:r>
      <w:hyperlink w:anchor="fig-NDVI_GLI_SPC">
        <w:r>
          <w:rPr>
            <w:rStyle w:val="Hyperlink"/>
          </w:rPr>
          <w:t xml:space="preserve">Figure 10</w:t>
        </w:r>
      </w:hyperlink>
      <w:r>
        <w:t xml:space="preserve"> </w:t>
      </w:r>
      <w:r>
        <w:t xml:space="preserve">C green).</w:t>
      </w:r>
    </w:p>
    <w:bookmarkStart w:id="98" w:name="cell-fig-NDVI_GLI_SPC"/>
    <w:bookmarkStart w:id="97" w:name="fig-NDVI_GLI_SPC"/>
    <w:p>
      <w:pPr>
        <w:pStyle w:val="FigureTitle"/>
      </w:pPr>
      <w:r>
        <w:t xml:space="preserve">Figure 10</w:t>
      </w:r>
    </w:p>
    <w:p>
      <w:pPr>
        <w:pStyle w:val="Caption"/>
      </w:pPr>
      <w:r>
        <w:t xml:space="preserve">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p>
      <w:pPr>
        <w:pStyle w:val="FigureWithoutNote"/>
      </w:pPr>
      <w:r>
        <w:drawing>
          <wp:inline>
            <wp:extent cx="4754880" cy="6792685"/>
            <wp:effectExtent b="0" l="0" r="0" t="0"/>
            <wp:docPr descr="" title="" id="95" name="Picture"/>
            <a:graphic>
              <a:graphicData uri="http://schemas.openxmlformats.org/drawingml/2006/picture">
                <pic:pic>
                  <pic:nvPicPr>
                    <pic:cNvPr descr="Figs/Low_res/Compares_Indices_S2.png" id="96" name="Picture"/>
                    <pic:cNvPicPr>
                      <a:picLocks noChangeArrowheads="1" noChangeAspect="1"/>
                    </pic:cNvPicPr>
                  </pic:nvPicPr>
                  <pic:blipFill>
                    <a:blip r:embed="rId94"/>
                    <a:stretch>
                      <a:fillRect/>
                    </a:stretch>
                  </pic:blipFill>
                  <pic:spPr bwMode="auto">
                    <a:xfrm>
                      <a:off x="0" y="0"/>
                      <a:ext cx="4754880" cy="6792685"/>
                    </a:xfrm>
                    <a:prstGeom prst="rect">
                      <a:avLst/>
                    </a:prstGeom>
                    <a:noFill/>
                    <a:ln w="9525">
                      <a:noFill/>
                      <a:headEnd/>
                      <a:tailEnd/>
                    </a:ln>
                  </pic:spPr>
                </pic:pic>
              </a:graphicData>
            </a:graphic>
          </wp:inline>
        </w:drawing>
      </w:r>
    </w:p>
    <w:bookmarkEnd w:id="97"/>
    <w:bookmarkEnd w:id="98"/>
    <w:bookmarkEnd w:id="99"/>
    <w:bookmarkStart w:id="110"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25 %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4" w:name="cell-fig-Map_darkening_Bathy"/>
    <w:bookmarkStart w:id="103" w:name="fig-Map_darkening_Bathy"/>
    <w:p>
      <w:pPr>
        <w:pStyle w:val="FigureTitle"/>
      </w:pPr>
      <w:r>
        <w:t xml:space="preserve">Figure 11</w:t>
      </w:r>
    </w:p>
    <w:p>
      <w:pPr>
        <w:pStyle w:val="Caption"/>
      </w:pPr>
      <w:r>
        <w:t xml:space="preserve">Map of the Darkening of seagrasses during the heatwave events of September 2021 in Quiberon. A: 3.9 m bathymetry isobar (golden line); B: Result of the detection of darkened seagrass patches (Blue plolygons)</w:t>
      </w:r>
    </w:p>
    <w:p>
      <w:pPr>
        <w:pStyle w:val="FigureWithoutNote"/>
      </w:pPr>
      <w:r>
        <w:drawing>
          <wp:inline>
            <wp:extent cx="5943600" cy="5557266"/>
            <wp:effectExtent b="0" l="0" r="0" t="0"/>
            <wp:docPr descr="" title="" id="101" name="Picture"/>
            <a:graphic>
              <a:graphicData uri="http://schemas.openxmlformats.org/drawingml/2006/picture">
                <pic:pic>
                  <pic:nvPicPr>
                    <pic:cNvPr descr="Figs/Low_res/Map_darkening_Bathy.png" id="102" name="Picture"/>
                    <pic:cNvPicPr>
                      <a:picLocks noChangeArrowheads="1" noChangeAspect="1"/>
                    </pic:cNvPicPr>
                  </pic:nvPicPr>
                  <pic:blipFill>
                    <a:blip r:embed="rId100"/>
                    <a:stretch>
                      <a:fillRect/>
                    </a:stretch>
                  </pic:blipFill>
                  <pic:spPr bwMode="auto">
                    <a:xfrm>
                      <a:off x="0" y="0"/>
                      <a:ext cx="5943600" cy="5557266"/>
                    </a:xfrm>
                    <a:prstGeom prst="rect">
                      <a:avLst/>
                    </a:prstGeom>
                    <a:noFill/>
                    <a:ln w="9525">
                      <a:noFill/>
                      <a:headEnd/>
                      <a:tailEnd/>
                    </a:ln>
                  </pic:spPr>
                </pic:pic>
              </a:graphicData>
            </a:graphic>
          </wp:inline>
        </w:drawing>
      </w:r>
    </w:p>
    <w:bookmarkEnd w:id="103"/>
    <w:bookmarkEnd w:id="104"/>
    <w:p>
      <w:pPr>
        <w:pStyle w:val="AfterWithoutNote"/>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09" w:name="cell-fig-GAM_Emersion"/>
    <w:bookmarkStart w:id="108" w:name="fig-GAM_Emersion"/>
    <w:p>
      <w:pPr>
        <w:pStyle w:val="FigureTitle"/>
      </w:pPr>
      <w:r>
        <w:t xml:space="preserve">Figure 12</w:t>
      </w:r>
    </w:p>
    <w:p>
      <w:pPr>
        <w:pStyle w:val="Caption"/>
      </w:pPr>
      <w:r>
        <w:t xml:space="preserve">Seagrass Darkening Index as a function of the daily emergence time of seagrasses. The line represents a Generalized Additive Model (GAM) prediction, and the shaded area indicates the standard error. Shaded points represent raw data, with each point corresponding to a single pixel of the meadow.</w:t>
      </w:r>
    </w:p>
    <w:p>
      <w:pPr>
        <w:pStyle w:val="FigureWithoutNote"/>
      </w:pPr>
      <w:r>
        <w:drawing>
          <wp:inline>
            <wp:extent cx="5943600" cy="2971800"/>
            <wp:effectExtent b="0" l="0" r="0" t="0"/>
            <wp:docPr descr="" title="" id="106" name="Picture"/>
            <a:graphic>
              <a:graphicData uri="http://schemas.openxmlformats.org/drawingml/2006/picture">
                <pic:pic>
                  <pic:nvPicPr>
                    <pic:cNvPr descr="Figs/Low_res/GAM_emersion.png" id="107" name="Picture"/>
                    <pic:cNvPicPr>
                      <a:picLocks noChangeArrowheads="1" noChangeAspect="1"/>
                    </pic:cNvPicPr>
                  </pic:nvPicPr>
                  <pic:blipFill>
                    <a:blip r:embed="rId105"/>
                    <a:stretch>
                      <a:fillRect/>
                    </a:stretch>
                  </pic:blipFill>
                  <pic:spPr bwMode="auto">
                    <a:xfrm>
                      <a:off x="0" y="0"/>
                      <a:ext cx="5943600" cy="2971800"/>
                    </a:xfrm>
                    <a:prstGeom prst="rect">
                      <a:avLst/>
                    </a:prstGeom>
                    <a:noFill/>
                    <a:ln w="9525">
                      <a:noFill/>
                      <a:headEnd/>
                      <a:tailEnd/>
                    </a:ln>
                  </pic:spPr>
                </pic:pic>
              </a:graphicData>
            </a:graphic>
          </wp:inline>
        </w:drawing>
      </w:r>
    </w:p>
    <w:bookmarkEnd w:id="108"/>
    <w:bookmarkEnd w:id="109"/>
    <w:bookmarkEnd w:id="110"/>
    <w:bookmarkEnd w:id="111"/>
    <w:bookmarkEnd w:id="112"/>
    <w:bookmarkStart w:id="125" w:name="discussion"/>
    <w:p>
      <w:pPr>
        <w:pStyle w:val="Heading1"/>
      </w:pPr>
      <w:r>
        <w:t xml:space="preserve">4. Discussion</w:t>
      </w:r>
    </w:p>
    <w:p>
      <w:pPr>
        <w:pStyle w:val="Compact"/>
        <w:numPr>
          <w:ilvl w:val="0"/>
          <w:numId w:val="1004"/>
        </w:numPr>
      </w:pPr>
      <w:r>
        <w:t xml:space="preserve">lack of literature about atmospheric heatwaves and intertidal seagrasses</w:t>
      </w:r>
    </w:p>
    <w:p>
      <w:pPr>
        <w:pStyle w:val="Compact"/>
        <w:numPr>
          <w:ilvl w:val="0"/>
          <w:numId w:val="1004"/>
        </w:numPr>
      </w:pPr>
      <w:r>
        <w:t xml:space="preserve">Relation between the exposure time and the impact of the heatwave</w:t>
      </w:r>
    </w:p>
    <w:p>
      <w:pPr>
        <w:pStyle w:val="FirstParagraph"/>
      </w:pPr>
      <w:r>
        <w:t xml:space="preserve">Although extensive research exists on marine heatwaves’ effects on subtidal seagrasses, little attention has been given to intertidal regions. This study initiates an exploration of how intertidal seagrasses respond to the dual influence of marine and atmospheric heatwaves, underscoring the need for further investigation in this underexplored area.</w:t>
      </w:r>
    </w:p>
    <w:bookmarkStart w:id="118" w:name="X2c328b03b870233a3a7cd28599f5af51ebba25a"/>
    <w:p>
      <w:pPr>
        <w:pStyle w:val="Heading2"/>
      </w:pPr>
      <w:r>
        <w:t xml:space="preserve">4.1 Frequency Intensity of Heatwaves and implication for seagrasses</w:t>
      </w:r>
    </w:p>
    <w:bookmarkStart w:id="117" w:name="cell-fig-Freq_Int_HW_CS"/>
    <w:bookmarkStart w:id="116" w:name="fig-Freq_Int_HW_CS"/>
    <w:p>
      <w:pPr>
        <w:pStyle w:val="FigureTitle"/>
      </w:pPr>
      <w:r>
        <w:t xml:space="preserve">Figure 13</w:t>
      </w:r>
    </w:p>
    <w:p>
      <w:pPr>
        <w:pStyle w:val="Caption"/>
      </w:pPr>
      <w:r>
        <w:t xml:space="preserve">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p>
      <w:pPr>
        <w:pStyle w:val="FigureWithoutNote"/>
      </w:pPr>
      <w:r>
        <w:drawing>
          <wp:inline>
            <wp:extent cx="4754880" cy="4754880"/>
            <wp:effectExtent b="0" l="0" r="0" t="0"/>
            <wp:docPr descr="" title="" id="114" name="Picture"/>
            <a:graphic>
              <a:graphicData uri="http://schemas.openxmlformats.org/drawingml/2006/picture">
                <pic:pic>
                  <pic:nvPicPr>
                    <pic:cNvPr descr="Figs/Low_res/plot_HW_CS.png" id="115" name="Picture"/>
                    <pic:cNvPicPr>
                      <a:picLocks noChangeArrowheads="1" noChangeAspect="1"/>
                    </pic:cNvPicPr>
                  </pic:nvPicPr>
                  <pic:blipFill>
                    <a:blip r:embed="rId113"/>
                    <a:stretch>
                      <a:fillRect/>
                    </a:stretch>
                  </pic:blipFill>
                  <pic:spPr bwMode="auto">
                    <a:xfrm>
                      <a:off x="0" y="0"/>
                      <a:ext cx="4754880" cy="4754880"/>
                    </a:xfrm>
                    <a:prstGeom prst="rect">
                      <a:avLst/>
                    </a:prstGeom>
                    <a:noFill/>
                    <a:ln w="9525">
                      <a:noFill/>
                      <a:headEnd/>
                      <a:tailEnd/>
                    </a:ln>
                  </pic:spPr>
                </pic:pic>
              </a:graphicData>
            </a:graphic>
          </wp:inline>
        </w:drawing>
      </w:r>
    </w:p>
    <w:bookmarkEnd w:id="116"/>
    <w:bookmarkEnd w:id="117"/>
    <w:bookmarkEnd w:id="118"/>
    <w:bookmarkStart w:id="124" w:name="X0e9b58be598f45d3bdfc94bf53c1af6486e1d29"/>
    <w:p>
      <w:pPr>
        <w:pStyle w:val="Heading2"/>
      </w:pPr>
      <w:r>
        <w:t xml:space="preserve">4.2 WORK IN PROGRESS – Resilation of seagrasses to extrem events</w:t>
      </w:r>
    </w:p>
    <w:bookmarkStart w:id="123" w:name="cell-fig-Resilience_of_seagrasses"/>
    <w:bookmarkStart w:id="122" w:name="fig-Resilience_of_seagrasses"/>
    <w:p>
      <w:pPr>
        <w:pStyle w:val="FigureTitle"/>
      </w:pPr>
      <w:r>
        <w:t xml:space="preserve">Figure 14</w:t>
      </w:r>
    </w:p>
    <w:p>
      <w:pPr>
        <w:pStyle w:val="Caption"/>
      </w:pPr>
      <w:r>
        <w:t xml:space="preserve">Comparison of the seagrass percent cover before (left), during (center) and after (right) the heatwaves for seagrasses that have not been impacted by heatwaves (i.e. remains green) and seagrasses that have been impacted by the events (i.e. seagrasses that darkened).</w:t>
      </w:r>
    </w:p>
    <w:p>
      <w:pPr>
        <w:pStyle w:val="FigureWithoutNote"/>
      </w:pPr>
      <w:r>
        <w:drawing>
          <wp:inline>
            <wp:extent cx="5943600" cy="2971800"/>
            <wp:effectExtent b="0" l="0" r="0" t="0"/>
            <wp:docPr descr="" title="" id="120" name="Picture"/>
            <a:graphic>
              <a:graphicData uri="http://schemas.openxmlformats.org/drawingml/2006/picture">
                <pic:pic>
                  <pic:nvPicPr>
                    <pic:cNvPr descr="Figs/Low_res/plot_resilience.png" id="121" name="Picture"/>
                    <pic:cNvPicPr>
                      <a:picLocks noChangeArrowheads="1" noChangeAspect="1"/>
                    </pic:cNvPicPr>
                  </pic:nvPicPr>
                  <pic:blipFill>
                    <a:blip r:embed="rId119"/>
                    <a:stretch>
                      <a:fillRect/>
                    </a:stretch>
                  </pic:blipFill>
                  <pic:spPr bwMode="auto">
                    <a:xfrm>
                      <a:off x="0" y="0"/>
                      <a:ext cx="5943600" cy="2971800"/>
                    </a:xfrm>
                    <a:prstGeom prst="rect">
                      <a:avLst/>
                    </a:prstGeom>
                    <a:noFill/>
                    <a:ln w="9525">
                      <a:noFill/>
                      <a:headEnd/>
                      <a:tailEnd/>
                    </a:ln>
                  </pic:spPr>
                </pic:pic>
              </a:graphicData>
            </a:graphic>
          </wp:inline>
        </w:drawing>
      </w:r>
    </w:p>
    <w:bookmarkEnd w:id="122"/>
    <w:bookmarkEnd w:id="123"/>
    <w:p>
      <w:pPr>
        <w:pStyle w:val="AfterWithoutNote"/>
      </w:pPr>
      <w:r>
        <w:t xml:space="preserve">Seagrass resilience to heatwaves is a multifaceted issue influenced by species-specific traits, geographical location, and the presence of concurrent environmental stressors</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w:t>
      </w:r>
      <w:hyperlink w:anchor="ref-hatum2024predicting">
        <w:r>
          <w:rPr>
            <w:rStyle w:val="Hyperlink"/>
          </w:rPr>
          <w:t xml:space="preserve">Hatum et al., 2024</w:t>
        </w:r>
      </w:hyperlink>
      <w:r>
        <w:t xml:space="preserve">)</w:t>
      </w:r>
      <w:r>
        <w:t xml:space="preserve">. Temperate meadows composed of slow-growing, long-lived species, such as</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exhibit high vulnerability to climate change-related disturbances. In contrast, smaller, colonizing species typical of tropical regions, including</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w:t>
      </w:r>
      <w:r>
        <w:t xml:space="preserve"> </w:t>
      </w:r>
      <w:r>
        <w:t xml:space="preserve">(</w:t>
      </w:r>
      <w:hyperlink w:anchor="ref-o2018seagrass">
        <w:r>
          <w:rPr>
            <w:rStyle w:val="Hyperlink"/>
          </w:rPr>
          <w:t xml:space="preserve">O’Brien et al., 2018</w:t>
        </w:r>
      </w:hyperlink>
      <w:r>
        <w:t xml:space="preserve">)</w:t>
      </w:r>
      <w:r>
        <w:t xml:space="preserve">.</w:t>
      </w:r>
    </w:p>
    <w:p>
      <w:pPr>
        <w:pStyle w:val="BodyText"/>
      </w:pPr>
      <w:r>
        <w:t xml:space="preserve">Furthermore, tidal ranges in temperate regions are generally more pronounced than in tropical areas, reaching over 10 meters in Mont Saint Michel Bay, France. This variation is a key factor for intertidal seagrasses, which are exposed to air for varying durations depending on their position within the intertidal zone and the tidal amplitude. During neap tides, seagrasses in the upper intertidal zone may have only brief periods of submersion or, in some cases, remain emerged, increasing their susceptibility to extreme atmospheric events. Conversely, seagrasses in the lower intertidal zone may experience extended emersion periods, making them more exposed to extreme marine events. Effects of both marine and atmospheric heatwaves can therefore be amplified by the tidal amplitude at the moment the event occurred.</w:t>
      </w:r>
      <w:r>
        <w:t xml:space="preserve"> </w:t>
      </w:r>
      <w:r>
        <w:t xml:space="preserve">Intertidal seagrass species, such as</w:t>
      </w:r>
      <w:r>
        <w:t xml:space="preserve"> </w:t>
      </w:r>
      <w:r>
        <w:rPr>
          <w:i/>
          <w:iCs/>
        </w:rPr>
        <w:t xml:space="preserve">Nanozostera noltei</w:t>
      </w:r>
      <w:r>
        <w:t xml:space="preserve">, also exhibit distinct phenological patterns throughout the year, which become more pronounced at higher latitudes</w:t>
      </w:r>
      <w:r>
        <w:t xml:space="preserve"> </w:t>
      </w:r>
      <w:r>
        <w:t xml:space="preserve">(</w:t>
      </w:r>
      <w:hyperlink w:anchor="ref-davies2024sentinel">
        <w:r>
          <w:rPr>
            <w:rStyle w:val="Hyperlink"/>
          </w:rPr>
          <w:t xml:space="preserve">Davies et al., 2024a</w:t>
        </w:r>
      </w:hyperlink>
      <w:r>
        <w:t xml:space="preserve">,</w:t>
      </w:r>
      <w:r>
        <w:t xml:space="preserve"> </w:t>
      </w:r>
      <w:hyperlink w:anchor="ref-davies2024intertidal">
        <w:r>
          <w:rPr>
            <w:rStyle w:val="Hyperlink"/>
          </w:rPr>
          <w:t xml:space="preserve">2024b</w:t>
        </w:r>
      </w:hyperlink>
      <w:r>
        <w:t xml:space="preserve">)</w:t>
      </w:r>
      <w:r>
        <w:t xml:space="preserve">. The timing of extreme events can significantly impact meadow resilience, particularly if they occur during early developmental stages or after the biomass peak has been reached and leaf senescence has begun.</w:t>
      </w:r>
    </w:p>
    <w:p>
      <w:pPr>
        <w:pStyle w:val="Compact"/>
        <w:numPr>
          <w:ilvl w:val="0"/>
          <w:numId w:val="1005"/>
        </w:numPr>
      </w:pPr>
      <w:r>
        <w:t xml:space="preserve">Sediment Heatwaves</w:t>
      </w:r>
    </w:p>
    <w:p>
      <w:pPr>
        <w:pStyle w:val="FirstParagraph"/>
      </w:pPr>
      <w:r>
        <w:t xml:space="preserve">This differential resilience is further shaped by environmental factors; seagrass meadows in regions benefiting from tidal cooling or located away from the warmer edges of their geographical ranges tend to experience less heat stress and demonstrate higher shoot densities</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Additionally, the frequency, duration, and intervals between heatwaves significantly affect seagrass biomass and recovery, with extended and frequent heatwaves reducing resilience and complicating recovery processes</w:t>
      </w:r>
      <w:r>
        <w:t xml:space="preserve"> </w:t>
      </w:r>
      <w:r>
        <w:t xml:space="preserve">(</w:t>
      </w:r>
      <w:hyperlink w:anchor="ref-hatum2024predicting">
        <w:r>
          <w:rPr>
            <w:rStyle w:val="Hyperlink"/>
          </w:rPr>
          <w:t xml:space="preserve">Hatum et al., 2024</w:t>
        </w:r>
      </w:hyperlink>
      <w:r>
        <w:t xml:space="preserve">)</w:t>
      </w:r>
      <w:r>
        <w:t xml:space="preserve">. Seagrasses possess inherent coping mechanisms, including genetic adaptations and physiological acclimation, such as the rapid activation of photo-protective mechanisms and heat-responsive gene expression</w:t>
      </w:r>
      <w:r>
        <w:t xml:space="preserve"> </w:t>
      </w:r>
      <w:r>
        <w:t xml:space="preserve">(</w:t>
      </w:r>
      <w:hyperlink w:anchor="ref-hughes2004genetic">
        <w:r>
          <w:rPr>
            <w:rStyle w:val="Hyperlink"/>
          </w:rPr>
          <w:t xml:space="preserve">Hughes and Stachowicz, 2004</w:t>
        </w:r>
      </w:hyperlink>
      <w:r>
        <w:t xml:space="preserve">;</w:t>
      </w:r>
      <w:r>
        <w:t xml:space="preserve"> </w:t>
      </w:r>
      <w:hyperlink w:anchor="ref-reusch2005ecosystem">
        <w:r>
          <w:rPr>
            <w:rStyle w:val="Hyperlink"/>
          </w:rPr>
          <w:t xml:space="preserve">Reusch et al., 2005</w:t>
        </w:r>
      </w:hyperlink>
      <w:r>
        <w:t xml:space="preserve">)</w:t>
      </w:r>
      <w:r>
        <w:t xml:space="preserve"> </w:t>
      </w:r>
      <w:r>
        <w:t xml:space="preserve">. However, the accelerated pace of climate change raises concerns about the capacity of these adaptations to keep up with escalating temperatures</w:t>
      </w:r>
      <w:r>
        <w:t xml:space="preserve"> </w:t>
      </w:r>
      <w:r>
        <w:t xml:space="preserve">(</w:t>
      </w:r>
      <w:hyperlink w:anchor="ref-loarie2009velocity">
        <w:r>
          <w:rPr>
            <w:rStyle w:val="Hyperlink"/>
          </w:rPr>
          <w:t xml:space="preserve">Loarie et al., 2009</w:t>
        </w:r>
      </w:hyperlink>
      <w:r>
        <w:t xml:space="preserve">)</w:t>
      </w:r>
      <w:r>
        <w:t xml:space="preserve">. Management strategies focused on mitigating local stressors, utilizing heatwave-resistant genotypes, and implementing restoration efforts are critical to bolstering seagrass resilience. Despite these challenges, emerging evidence suggests that some seagrass species may adapt to evolving ecological conditions, providing a measure of hope for their persistence in an increasingly warm climate</w:t>
      </w:r>
      <w:r>
        <w:t xml:space="preserve"> </w:t>
      </w:r>
      <w:r>
        <w:t xml:space="preserve">(</w:t>
      </w:r>
      <w:hyperlink w:anchor="ref-canadell2021ecosystem">
        <w:r>
          <w:rPr>
            <w:rStyle w:val="Hyperlink"/>
          </w:rPr>
          <w:t xml:space="preserve">Canadell and Jackson, 2021</w:t>
        </w:r>
      </w:hyperlink>
      <w:r>
        <w:t xml:space="preserve">)</w:t>
      </w:r>
      <w:r>
        <w:t xml:space="preserve">.</w:t>
      </w:r>
    </w:p>
    <w:bookmarkEnd w:id="124"/>
    <w:bookmarkEnd w:id="125"/>
    <w:bookmarkStart w:id="182" w:name="bibliography"/>
    <w:p>
      <w:pPr>
        <w:pStyle w:val="Heading1"/>
      </w:pPr>
      <w:r>
        <w:t xml:space="preserve">5. Bibliography</w:t>
      </w:r>
    </w:p>
    <w:bookmarkStart w:id="181" w:name="refs"/>
    <w:bookmarkStart w:id="126"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6"/>
    <w:bookmarkStart w:id="128"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7">
        <w:r>
          <w:rPr>
            <w:rStyle w:val="Hyperlink"/>
          </w:rPr>
          <w:t xml:space="preserve">https://doi.org/10.3354/meps14588</w:t>
        </w:r>
      </w:hyperlink>
    </w:p>
    <w:bookmarkEnd w:id="128"/>
    <w:bookmarkStart w:id="129" w:name="ref-canadell2021ecosystem"/>
    <w:p>
      <w:pPr>
        <w:pStyle w:val="Bibliography"/>
      </w:pPr>
      <w:r>
        <w:t xml:space="preserve">Canadell, J.G., Jackson, R.B., 2021. Ecosystem collapse and climate change. Springer.</w:t>
      </w:r>
    </w:p>
    <w:bookmarkEnd w:id="129"/>
    <w:bookmarkStart w:id="130"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30"/>
    <w:bookmarkStart w:id="132"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1">
        <w:r>
          <w:rPr>
            <w:rStyle w:val="Hyperlink"/>
          </w:rPr>
          <w:t xml:space="preserve">https://doi.org/10.48670/moi-00311</w:t>
        </w:r>
      </w:hyperlink>
    </w:p>
    <w:bookmarkEnd w:id="132"/>
    <w:bookmarkStart w:id="134"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3">
        <w:r>
          <w:rPr>
            <w:rStyle w:val="Hyperlink"/>
          </w:rPr>
          <w:t xml:space="preserve">https://doi.org/10.1038/s43247-024-01543-z</w:t>
        </w:r>
      </w:hyperlink>
    </w:p>
    <w:bookmarkEnd w:id="134"/>
    <w:bookmarkStart w:id="136"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35">
        <w:r>
          <w:rPr>
            <w:rStyle w:val="Hyperlink"/>
          </w:rPr>
          <w:t xml:space="preserve">https://doi.org/10.1016/j.rse.2024.114340</w:t>
        </w:r>
      </w:hyperlink>
    </w:p>
    <w:bookmarkEnd w:id="136"/>
    <w:bookmarkStart w:id="137" w:name="ref-deguette2022physiological"/>
    <w:p>
      <w:pPr>
        <w:pStyle w:val="Bibliography"/>
      </w:pPr>
      <w:r>
        <w:t xml:space="preserve">Deguette, A., Barrote, I., Silva, J., 2022. Physiological and morphological effects of a marine heatwave on the seagrass cymodocea nodosa. Scientific Reports 12, 7950.</w:t>
      </w:r>
    </w:p>
    <w:bookmarkEnd w:id="137"/>
    <w:bookmarkStart w:id="138" w:name="ref-sen2cor"/>
    <w:p>
      <w:pPr>
        <w:pStyle w:val="Bibliography"/>
      </w:pPr>
      <w:r>
        <w:t xml:space="preserve">European Space Agency, 2024b. Sen2Cor: Sentinel-2 atmospheric correction processor.</w:t>
      </w:r>
    </w:p>
    <w:bookmarkEnd w:id="138"/>
    <w:bookmarkStart w:id="139" w:name="ref-copernicus_sentinel2"/>
    <w:p>
      <w:pPr>
        <w:pStyle w:val="Bibliography"/>
      </w:pPr>
      <w:r>
        <w:t xml:space="preserve">European Space Agency, 2024a. Copernicus open access hub.</w:t>
      </w:r>
    </w:p>
    <w:bookmarkEnd w:id="139"/>
    <w:bookmarkStart w:id="140" w:name="ref-gardner2018global"/>
    <w:p>
      <w:pPr>
        <w:pStyle w:val="Bibliography"/>
      </w:pPr>
      <w:r>
        <w:t xml:space="preserve">Gardner, R.C., Finlayson, C., 2018. Global wetland outlook: State of the world’s wetlands and their services to people, in: Ramsar Convention Secretariat. pp. 2020–5.</w:t>
      </w:r>
    </w:p>
    <w:bookmarkEnd w:id="140"/>
    <w:bookmarkStart w:id="141"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41"/>
    <w:bookmarkStart w:id="143"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42">
        <w:r>
          <w:rPr>
            <w:rStyle w:val="Hyperlink"/>
          </w:rPr>
          <w:t xml:space="preserve">https://doi.org/10.1002/aqc.4210</w:t>
        </w:r>
      </w:hyperlink>
    </w:p>
    <w:bookmarkEnd w:id="143"/>
    <w:bookmarkStart w:id="144"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44"/>
    <w:bookmarkStart w:id="145"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45"/>
    <w:bookmarkStart w:id="146" w:name="ref-huete2012vegetation"/>
    <w:p>
      <w:pPr>
        <w:pStyle w:val="Bibliography"/>
      </w:pPr>
      <w:r>
        <w:t xml:space="preserve">Huete, A.R., 2012. Vegetation indices, remote sensing and forest monitoring. Geography Compass 6, 513–532.</w:t>
      </w:r>
    </w:p>
    <w:bookmarkEnd w:id="146"/>
    <w:bookmarkStart w:id="148"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47">
        <w:r>
          <w:rPr>
            <w:rStyle w:val="Hyperlink"/>
          </w:rPr>
          <w:t xml:space="preserve">https://doi.org/10.1073/pnas.0402642101</w:t>
        </w:r>
      </w:hyperlink>
    </w:p>
    <w:bookmarkEnd w:id="148"/>
    <w:bookmarkStart w:id="150" w:name="ref-ioc_sea_level_lecy"/>
    <w:p>
      <w:pPr>
        <w:pStyle w:val="Bibliography"/>
      </w:pPr>
      <w:r>
        <w:t xml:space="preserve">IOC, 2024.</w:t>
      </w:r>
      <w:r>
        <w:t xml:space="preserve"> </w:t>
      </w:r>
      <w:hyperlink r:id="rId149">
        <w:r>
          <w:rPr>
            <w:rStyle w:val="Hyperlink"/>
          </w:rPr>
          <w:t xml:space="preserve">Intergovernmental oceanographic commission ; sea level monitoring station - le conquet, france (LECY)</w:t>
        </w:r>
      </w:hyperlink>
      <w:r>
        <w:t xml:space="preserve">.</w:t>
      </w:r>
    </w:p>
    <w:bookmarkEnd w:id="150"/>
    <w:bookmarkStart w:id="151"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51"/>
    <w:bookmarkStart w:id="152" w:name="ref-kloos2021agricultural"/>
    <w:p>
      <w:pPr>
        <w:pStyle w:val="Bibliography"/>
      </w:pPr>
      <w:r>
        <w:t xml:space="preserve">Kloos, S., Yuan, Y., Castelli, M., Menzel, A., 2021. Agricultural drought detection with MODIS based vegetation health indices in southeast germany. Remote Sensing 13, 3907.</w:t>
      </w:r>
    </w:p>
    <w:bookmarkEnd w:id="152"/>
    <w:bookmarkStart w:id="153" w:name="ref-loarie2009velocity"/>
    <w:p>
      <w:pPr>
        <w:pStyle w:val="Bibliography"/>
      </w:pPr>
      <w:r>
        <w:t xml:space="preserve">Loarie, S.R., Duffy, P.B., Hamilton, H., Asner, G.P., Field, C.B., Ackerly, D.D., 2009. The velocity of climate change. Nature 462, 1052–1055.</w:t>
      </w:r>
    </w:p>
    <w:bookmarkEnd w:id="153"/>
    <w:bookmarkStart w:id="154"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54"/>
    <w:bookmarkStart w:id="155"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55"/>
    <w:bookmarkStart w:id="156"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56"/>
    <w:bookmarkStart w:id="157" w:name="ref-perkins2013measurement"/>
    <w:p>
      <w:pPr>
        <w:pStyle w:val="Bibliography"/>
      </w:pPr>
      <w:r>
        <w:t xml:space="preserve">Perkins, S.E., Alexander, L.V., 2013. On the measurement of heat waves. Journal of climate 26, 4500–4517.</w:t>
      </w:r>
    </w:p>
    <w:bookmarkEnd w:id="157"/>
    <w:bookmarkStart w:id="158" w:name="ref-ramesh2020seagrass"/>
    <w:p>
      <w:pPr>
        <w:pStyle w:val="Bibliography"/>
      </w:pPr>
      <w:r>
        <w:t xml:space="preserve">Ramesh, C., Mohanraju, R., 2020. Seagrass ecosystems of andaman and nicobar islands: Status and future perspective. Environmental &amp; Earth Sciences Research Journal 7.</w:t>
      </w:r>
    </w:p>
    <w:bookmarkEnd w:id="158"/>
    <w:bookmarkStart w:id="160"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59">
        <w:r>
          <w:rPr>
            <w:rStyle w:val="Hyperlink"/>
          </w:rPr>
          <w:t xml:space="preserve">https://doi.org/10.1073/pnas.0500008102</w:t>
        </w:r>
      </w:hyperlink>
    </w:p>
    <w:bookmarkEnd w:id="160"/>
    <w:bookmarkStart w:id="161" w:name="ref-rouse1974monitoring"/>
    <w:p>
      <w:pPr>
        <w:pStyle w:val="Bibliography"/>
      </w:pPr>
      <w:r>
        <w:t xml:space="preserve">Rouse, J.W., Haas, R.H., Schell, J.A., Deering, D.W., others, 1974. Monitoring vegetation systems in the great plains with ERTS. NASA Spec. Publ 351, 309.</w:t>
      </w:r>
    </w:p>
    <w:bookmarkEnd w:id="161"/>
    <w:bookmarkStart w:id="162"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62"/>
    <w:bookmarkStart w:id="163" w:name="ref-schlegel2017nearshore"/>
    <w:p>
      <w:pPr>
        <w:pStyle w:val="Bibliography"/>
      </w:pPr>
      <w:r>
        <w:t xml:space="preserve">Schlegel, R.W., Oliver, E.C., Wernberg, T., Smit, A.J., 2017. Nearshore and offshore co-occurrence of marine heatwaves and cold-spells. Progress in Oceanography 151, 189–205.</w:t>
      </w:r>
    </w:p>
    <w:bookmarkEnd w:id="163"/>
    <w:bookmarkStart w:id="165"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64">
        <w:r>
          <w:rPr>
            <w:rStyle w:val="Hyperlink"/>
          </w:rPr>
          <w:t xml:space="preserve">https://doi.org/10.21105/joss.00821</w:t>
        </w:r>
      </w:hyperlink>
    </w:p>
    <w:bookmarkEnd w:id="165"/>
    <w:bookmarkStart w:id="166"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66"/>
    <w:bookmarkStart w:id="167"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67"/>
    <w:bookmarkStart w:id="169" w:name="ref-shom_ram_2022"/>
    <w:p>
      <w:pPr>
        <w:pStyle w:val="Bibliography"/>
      </w:pPr>
      <w:r>
        <w:t xml:space="preserve">Shom, 2022.</w:t>
      </w:r>
      <w:r>
        <w:t xml:space="preserve"> </w:t>
      </w:r>
      <w:hyperlink r:id="rId168">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69"/>
    <w:bookmarkStart w:id="171" w:name="Xbef41143b4d4042e58f11cfc27e216202646012"/>
    <w:p>
      <w:pPr>
        <w:pStyle w:val="Bibliography"/>
      </w:pPr>
      <w:r>
        <w:t xml:space="preserve">SHOM, 2021.</w:t>
      </w:r>
      <w:r>
        <w:t xml:space="preserve"> </w:t>
      </w:r>
      <w:hyperlink r:id="rId170">
        <w:r>
          <w:rPr>
            <w:rStyle w:val="Hyperlink"/>
          </w:rPr>
          <w:t xml:space="preserve">Service hydrographique et océanographique de la marine ; bathymétrie Litto3D® bretagne 2018-2021</w:t>
        </w:r>
      </w:hyperlink>
      <w:r>
        <w:t xml:space="preserve">.</w:t>
      </w:r>
    </w:p>
    <w:bookmarkEnd w:id="171"/>
    <w:bookmarkStart w:id="172"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72"/>
    <w:bookmarkStart w:id="173"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73"/>
    <w:bookmarkStart w:id="174"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74"/>
    <w:bookmarkStart w:id="175" w:name="ref-unsworth2022planetary"/>
    <w:p>
      <w:pPr>
        <w:pStyle w:val="Bibliography"/>
      </w:pPr>
      <w:r>
        <w:t xml:space="preserve">Unsworth, R.K., Cullen-Unsworth, L.C., Jones, B.L., Lilley, R.J., 2022. The planetary role of seagrass conservation. Science 377, 609–613.</w:t>
      </w:r>
    </w:p>
    <w:bookmarkEnd w:id="175"/>
    <w:bookmarkStart w:id="176"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76"/>
    <w:bookmarkStart w:id="177"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77"/>
    <w:bookmarkStart w:id="178"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78"/>
    <w:bookmarkStart w:id="179"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79"/>
    <w:bookmarkStart w:id="180"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80"/>
    <w:bookmarkEnd w:id="181"/>
    <w:sectPr>
      <w:lnNumType w:countBy="1" w:restart="continuous"/>
    </w:sectPr>
    <w:bookmarkEnd w:id="18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94" Target="media/rId94.png" /><Relationship Type="http://schemas.openxmlformats.org/officeDocument/2006/relationships/image" Id="rId25" Target="media/rId25.png" /><Relationship Type="http://schemas.openxmlformats.org/officeDocument/2006/relationships/image" Id="rId105" Target="media/rId105.png" /><Relationship Type="http://schemas.openxmlformats.org/officeDocument/2006/relationships/image" Id="rId88" Target="media/rId88.png" /><Relationship Type="http://schemas.openxmlformats.org/officeDocument/2006/relationships/image" Id="rId100" Target="media/rId100.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113" Target="media/rId113.png" /><Relationship Type="http://schemas.openxmlformats.org/officeDocument/2006/relationships/image" Id="rId67" Target="media/rId67.png" /><Relationship Type="http://schemas.openxmlformats.org/officeDocument/2006/relationships/image" Id="rId119" Target="media/rId119.png" /><Relationship Type="http://schemas.openxmlformats.org/officeDocument/2006/relationships/hyperlink" Id="rId168" Target="https://diffusion.shom.fr/references-altimetriques-maritimes-ram.html" TargetMode="External" /><Relationship Type="http://schemas.openxmlformats.org/officeDocument/2006/relationships/hyperlink" Id="rId142" Target="https://doi.org/10.1002/aqc.4210" TargetMode="External" /><Relationship Type="http://schemas.openxmlformats.org/officeDocument/2006/relationships/hyperlink" Id="rId135" Target="https://doi.org/10.1016/j.rse.2024.114340" TargetMode="External" /><Relationship Type="http://schemas.openxmlformats.org/officeDocument/2006/relationships/hyperlink" Id="rId133" Target="https://doi.org/10.1038/s43247-024-01543-z" TargetMode="External" /><Relationship Type="http://schemas.openxmlformats.org/officeDocument/2006/relationships/hyperlink" Id="rId147" Target="https://doi.org/10.1073/pnas.0402642101" TargetMode="External" /><Relationship Type="http://schemas.openxmlformats.org/officeDocument/2006/relationships/hyperlink" Id="rId159" Target="https://doi.org/10.1073/pnas.0500008102" TargetMode="External" /><Relationship Type="http://schemas.openxmlformats.org/officeDocument/2006/relationships/hyperlink" Id="rId164" Target="https://doi.org/10.21105/joss.00821" TargetMode="External" /><Relationship Type="http://schemas.openxmlformats.org/officeDocument/2006/relationships/hyperlink" Id="rId127" Target="https://doi.org/10.3354/meps14588" TargetMode="External" /><Relationship Type="http://schemas.openxmlformats.org/officeDocument/2006/relationships/hyperlink" Id="rId131"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70"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49"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68" Target="https://diffusion.shom.fr/references-altimetriques-maritimes-ram.html" TargetMode="External" /><Relationship Type="http://schemas.openxmlformats.org/officeDocument/2006/relationships/hyperlink" Id="rId142" Target="https://doi.org/10.1002/aqc.4210" TargetMode="External" /><Relationship Type="http://schemas.openxmlformats.org/officeDocument/2006/relationships/hyperlink" Id="rId135" Target="https://doi.org/10.1016/j.rse.2024.114340" TargetMode="External" /><Relationship Type="http://schemas.openxmlformats.org/officeDocument/2006/relationships/hyperlink" Id="rId133" Target="https://doi.org/10.1038/s43247-024-01543-z" TargetMode="External" /><Relationship Type="http://schemas.openxmlformats.org/officeDocument/2006/relationships/hyperlink" Id="rId147" Target="https://doi.org/10.1073/pnas.0402642101" TargetMode="External" /><Relationship Type="http://schemas.openxmlformats.org/officeDocument/2006/relationships/hyperlink" Id="rId159" Target="https://doi.org/10.1073/pnas.0500008102" TargetMode="External" /><Relationship Type="http://schemas.openxmlformats.org/officeDocument/2006/relationships/hyperlink" Id="rId164" Target="https://doi.org/10.21105/joss.00821" TargetMode="External" /><Relationship Type="http://schemas.openxmlformats.org/officeDocument/2006/relationships/hyperlink" Id="rId127" Target="https://doi.org/10.3354/meps14588" TargetMode="External" /><Relationship Type="http://schemas.openxmlformats.org/officeDocument/2006/relationships/hyperlink" Id="rId131"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70"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49"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EFFECT OF HEATWAVES ON SEAGRASSES</dc:description>
  <cp:keywords>Remote Sensing, Pigment Composition, Seagrass, Coastal Ecosystems, Heatwaves</cp:keywords>
  <dcterms:created xsi:type="dcterms:W3CDTF">2024-11-01T17:16:39Z</dcterms:created>
  <dcterms:modified xsi:type="dcterms:W3CDTF">2024-11-01T17:16:39Z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5" name="apaauthor">
    <vt:lpwstr/>
  </property>
  <property fmtid="{D5CDD505-2E9C-101B-9397-08002B2CF9AE}" pid="6" name="apadate">
    <vt:lpwstr>2024-11-01</vt:lpwstr>
  </property>
  <property fmtid="{D5CDD505-2E9C-101B-9397-08002B2CF9AE}" pid="7" name="apatitle">
    <vt:lpwstr>Effect of Marine and Atmospheric Heatwaves on Reflectance and Pigment Composition of Intertidal Nanozostera noltei</vt:lpwstr>
  </property>
  <property fmtid="{D5CDD505-2E9C-101B-9397-08002B2CF9AE}" pid="8" name="apatitledisplay">
    <vt:lpwstr>Effect of Marine and Atmospheric Heatwaves on Reflectance and Pigment Composition of Intertidal Nanozostera noltei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itation">
    <vt:lpwstr/>
  </property>
  <property fmtid="{D5CDD505-2E9C-101B-9397-08002B2CF9AE}" pid="15" name="clear-hidden-classes">
    <vt:lpwstr>none</vt:lpwstr>
  </property>
  <property fmtid="{D5CDD505-2E9C-101B-9397-08002B2CF9AE}" pid="16" name="csl">
    <vt:lpwstr>RSE.csl</vt:lpwstr>
  </property>
  <property fmtid="{D5CDD505-2E9C-101B-9397-08002B2CF9AE}" pid="17" name="documentmode">
    <vt:lpwstr>man</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ey-points">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ghtbox">
    <vt:lpwstr>auto</vt:lpwstr>
  </property>
  <property fmtid="{D5CDD505-2E9C-101B-9397-08002B2CF9AE}" pid="30" name="link-citations">
    <vt:lpwstr>True</vt:lpwstr>
  </property>
  <property fmtid="{D5CDD505-2E9C-101B-9397-08002B2CF9AE}" pid="31" name="manuscript">
    <vt:lpwstr/>
  </property>
  <property fmtid="{D5CDD505-2E9C-101B-9397-08002B2CF9AE}" pid="32" name="no-ampersand-parenthetical">
    <vt:lpwstr>False</vt:lpwstr>
  </property>
  <property fmtid="{D5CDD505-2E9C-101B-9397-08002B2CF9AE}" pid="33" name="notebook-preview-options">
    <vt:lpwstr/>
  </property>
  <property fmtid="{D5CDD505-2E9C-101B-9397-08002B2CF9AE}" pid="34" name="numbered-lines">
    <vt:lpwstr>True</vt:lpwstr>
  </property>
  <property fmtid="{D5CDD505-2E9C-101B-9397-08002B2CF9AE}" pid="35" name="oneaffiliation">
    <vt:lpwstr>False</vt:lpwstr>
  </property>
  <property fmtid="{D5CDD505-2E9C-101B-9397-08002B2CF9AE}" pid="36" name="oneauthor">
    <vt:lpwstr>False</vt:lpwstr>
  </property>
  <property fmtid="{D5CDD505-2E9C-101B-9397-08002B2CF9AE}" pid="37" name="plain-language-summary">
    <vt:lpwstr>To be written</vt:lpwstr>
  </property>
  <property fmtid="{D5CDD505-2E9C-101B-9397-08002B2CF9AE}" pid="38" name="quarto-internal">
    <vt:lpwstr/>
  </property>
  <property fmtid="{D5CDD505-2E9C-101B-9397-08002B2CF9AE}" pid="39" name="references">
    <vt:lpwstr/>
  </property>
  <property fmtid="{D5CDD505-2E9C-101B-9397-08002B2CF9AE}" pid="40" name="remove-hidden">
    <vt:lpwstr>all</vt:lpwstr>
  </property>
  <property fmtid="{D5CDD505-2E9C-101B-9397-08002B2CF9AE}" pid="41" name="resources">
    <vt:lpwstr/>
  </property>
  <property fmtid="{D5CDD505-2E9C-101B-9397-08002B2CF9AE}" pid="42" name="revealjs-plugins">
    <vt:lpwstr/>
  </property>
  <property fmtid="{D5CDD505-2E9C-101B-9397-08002B2CF9AE}" pid="43" name="shorttitle">
    <vt:lpwstr>EFFECT OF HEATWAVES ON SEAGRASSES</vt:lpwstr>
  </property>
  <property fmtid="{D5CDD505-2E9C-101B-9397-08002B2CF9AE}" pid="44" name="suppress-abstract">
    <vt:lpwstr>False</vt:lpwstr>
  </property>
  <property fmtid="{D5CDD505-2E9C-101B-9397-08002B2CF9AE}" pid="45" name="suppress-affiliation">
    <vt:lpwstr>False</vt:lpwstr>
  </property>
  <property fmtid="{D5CDD505-2E9C-101B-9397-08002B2CF9AE}" pid="46" name="suppress-author">
    <vt:lpwstr>False</vt:lpwstr>
  </property>
  <property fmtid="{D5CDD505-2E9C-101B-9397-08002B2CF9AE}" pid="47" name="suppress-author-note">
    <vt:lpwstr>False</vt:lpwstr>
  </property>
  <property fmtid="{D5CDD505-2E9C-101B-9397-08002B2CF9AE}" pid="48" name="suppress-corresponding-address">
    <vt:lpwstr>False</vt:lpwstr>
  </property>
  <property fmtid="{D5CDD505-2E9C-101B-9397-08002B2CF9AE}" pid="49" name="suppress-corresponding-affiliation-name">
    <vt:lpwstr>False</vt:lpwstr>
  </property>
  <property fmtid="{D5CDD505-2E9C-101B-9397-08002B2CF9AE}" pid="50" name="suppress-corresponding-city">
    <vt:lpwstr>False</vt:lpwstr>
  </property>
  <property fmtid="{D5CDD505-2E9C-101B-9397-08002B2CF9AE}" pid="51" name="suppress-corresponding-department">
    <vt:lpwstr>False</vt:lpwstr>
  </property>
  <property fmtid="{D5CDD505-2E9C-101B-9397-08002B2CF9AE}" pid="52" name="suppress-corresponding-email">
    <vt:lpwstr>False</vt:lpwstr>
  </property>
  <property fmtid="{D5CDD505-2E9C-101B-9397-08002B2CF9AE}" pid="53" name="suppress-corresponding-group">
    <vt:lpwstr>False</vt:lpwstr>
  </property>
  <property fmtid="{D5CDD505-2E9C-101B-9397-08002B2CF9AE}" pid="54" name="suppress-corresponding-paragraph">
    <vt:lpwstr>False</vt:lpwstr>
  </property>
  <property fmtid="{D5CDD505-2E9C-101B-9397-08002B2CF9AE}" pid="55" name="suppress-corresponding-postal-code">
    <vt:lpwstr>False</vt:lpwstr>
  </property>
  <property fmtid="{D5CDD505-2E9C-101B-9397-08002B2CF9AE}" pid="56" name="suppress-corresponding-region">
    <vt:lpwstr>False</vt:lpwstr>
  </property>
  <property fmtid="{D5CDD505-2E9C-101B-9397-08002B2CF9AE}" pid="57" name="suppress-credit-statement">
    <vt:lpwstr>False</vt:lpwstr>
  </property>
  <property fmtid="{D5CDD505-2E9C-101B-9397-08002B2CF9AE}" pid="58" name="suppress-disclosures-paragraph">
    <vt:lpwstr>False</vt:lpwstr>
  </property>
  <property fmtid="{D5CDD505-2E9C-101B-9397-08002B2CF9AE}" pid="59" name="suppress-keywords">
    <vt:lpwstr>False</vt:lpwstr>
  </property>
  <property fmtid="{D5CDD505-2E9C-101B-9397-08002B2CF9AE}" pid="60" name="suppress-orcid">
    <vt:lpwstr>False</vt:lpwstr>
  </property>
  <property fmtid="{D5CDD505-2E9C-101B-9397-08002B2CF9AE}" pid="61" name="suppress-short-title">
    <vt:lpwstr>False</vt:lpwstr>
  </property>
  <property fmtid="{D5CDD505-2E9C-101B-9397-08002B2CF9AE}" pid="62" name="suppress-status-change-paragraph">
    <vt:lpwstr>False</vt:lpwstr>
  </property>
  <property fmtid="{D5CDD505-2E9C-101B-9397-08002B2CF9AE}" pid="63" name="suppress-title">
    <vt:lpwstr>False</vt:lpwstr>
  </property>
  <property fmtid="{D5CDD505-2E9C-101B-9397-08002B2CF9AE}" pid="64" name="suppress-title-introduction">
    <vt:lpwstr>False</vt:lpwstr>
  </property>
  <property fmtid="{D5CDD505-2E9C-101B-9397-08002B2CF9AE}" pid="65" name="suppress-title-page">
    <vt:lpwstr>False</vt:lpwstr>
  </property>
  <property fmtid="{D5CDD505-2E9C-101B-9397-08002B2CF9AE}" pid="66" name="suppress-title-page-number">
    <vt:lpwstr>False</vt:lpwstr>
  </property>
  <property fmtid="{D5CDD505-2E9C-101B-9397-08002B2CF9AE}" pid="67" name="tbl-cap-location">
    <vt:lpwstr>top</vt:lpwstr>
  </property>
  <property fmtid="{D5CDD505-2E9C-101B-9397-08002B2CF9AE}" pid="68" name="template-partials">
    <vt:lpwstr/>
  </property>
  <property fmtid="{D5CDD505-2E9C-101B-9397-08002B2CF9AE}" pid="69" name="theme">
    <vt:lpwstr>cosmo</vt:lpwstr>
  </property>
  <property fmtid="{D5CDD505-2E9C-101B-9397-08002B2CF9AE}" pid="70" name="title-block-style">
    <vt:lpwstr>manuscript</vt:lpwstr>
  </property>
  <property fmtid="{D5CDD505-2E9C-101B-9397-08002B2CF9AE}" pid="71" name="toc-title">
    <vt:lpwstr>Table of contents</vt:lpwstr>
  </property>
  <property fmtid="{D5CDD505-2E9C-101B-9397-08002B2CF9AE}" pid="72" name="unroll-markdown-cells">
    <vt:lpwstr>True</vt:lpwstr>
  </property>
  <property fmtid="{D5CDD505-2E9C-101B-9397-08002B2CF9AE}" pid="73" name="zerocitations">
    <vt:lpwstr>False</vt:lpwstr>
  </property>
</Properties>
</file>