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76403" w14:textId="77777777" w:rsidR="00326662" w:rsidRDefault="00000000">
      <w:pPr>
        <w:pStyle w:val="Title"/>
      </w:pPr>
      <w:r>
        <w:t xml:space="preserve">Effect of Marine and Atmospheric Heatwaves on Reflectance and Pigment Composition of Intertidal </w:t>
      </w:r>
      <w:r>
        <w:rPr>
          <w:i/>
          <w:iCs/>
        </w:rPr>
        <w:t>Zostera noltei</w:t>
      </w:r>
    </w:p>
    <w:p w14:paraId="67C4808F" w14:textId="77777777" w:rsidR="00326662" w:rsidRDefault="00000000">
      <w:pPr>
        <w:pStyle w:val="Author"/>
      </w:pPr>
      <w:r>
        <w:t>Simon Oiry</w:t>
      </w:r>
      <w:r>
        <w:rPr>
          <w:rStyle w:val="FootnoteReference"/>
        </w:rPr>
        <w:footnoteReference w:id="1"/>
      </w:r>
    </w:p>
    <w:p w14:paraId="7884D400" w14:textId="77777777" w:rsidR="00326662" w:rsidRDefault="00000000">
      <w:pPr>
        <w:pStyle w:val="Author"/>
      </w:pPr>
      <w:r>
        <w:t>Bede Ffinian Rowe Davies¹</w:t>
      </w:r>
    </w:p>
    <w:p w14:paraId="1AC603FB" w14:textId="77777777" w:rsidR="00326662" w:rsidRPr="001C485E" w:rsidRDefault="00000000">
      <w:pPr>
        <w:pStyle w:val="Author"/>
        <w:rPr>
          <w:lang w:val="fr-FR"/>
        </w:rPr>
      </w:pPr>
      <w:r w:rsidRPr="001C485E">
        <w:rPr>
          <w:lang w:val="fr-FR"/>
        </w:rPr>
        <w:t>Philippe Rosa¹</w:t>
      </w:r>
    </w:p>
    <w:p w14:paraId="399370F3" w14:textId="77777777" w:rsidR="00326662" w:rsidRPr="001C485E" w:rsidRDefault="00000000">
      <w:pPr>
        <w:pStyle w:val="Author"/>
        <w:rPr>
          <w:lang w:val="fr-FR"/>
        </w:rPr>
      </w:pPr>
      <w:r w:rsidRPr="001C485E">
        <w:rPr>
          <w:lang w:val="fr-FR"/>
        </w:rPr>
        <w:t>Augustin Debly¹</w:t>
      </w:r>
    </w:p>
    <w:p w14:paraId="68610007" w14:textId="77777777" w:rsidR="00326662" w:rsidRPr="001C485E" w:rsidRDefault="00000000">
      <w:pPr>
        <w:pStyle w:val="Author"/>
        <w:rPr>
          <w:lang w:val="fr-FR"/>
        </w:rPr>
      </w:pPr>
      <w:r w:rsidRPr="001C485E">
        <w:rPr>
          <w:lang w:val="fr-FR"/>
        </w:rPr>
        <w:t>Maria Laura Zoffoli</w:t>
      </w:r>
      <w:r>
        <w:rPr>
          <w:rStyle w:val="FootnoteReference"/>
        </w:rPr>
        <w:footnoteReference w:id="2"/>
      </w:r>
    </w:p>
    <w:p w14:paraId="6C4B0001" w14:textId="77777777" w:rsidR="00326662" w:rsidRPr="001C485E" w:rsidRDefault="00000000">
      <w:pPr>
        <w:pStyle w:val="Author"/>
        <w:rPr>
          <w:lang w:val="fr-FR"/>
        </w:rPr>
      </w:pPr>
      <w:r w:rsidRPr="001C485E">
        <w:rPr>
          <w:lang w:val="fr-FR"/>
        </w:rPr>
        <w:t>Anne-Laure Barillé</w:t>
      </w:r>
      <w:r>
        <w:rPr>
          <w:rStyle w:val="FootnoteReference"/>
        </w:rPr>
        <w:footnoteReference w:id="3"/>
      </w:r>
    </w:p>
    <w:p w14:paraId="144C230C" w14:textId="77777777" w:rsidR="00326662" w:rsidRPr="001C485E" w:rsidRDefault="00000000">
      <w:pPr>
        <w:pStyle w:val="Author"/>
        <w:rPr>
          <w:lang w:val="fr-FR"/>
        </w:rPr>
      </w:pPr>
      <w:r w:rsidRPr="001C485E">
        <w:rPr>
          <w:lang w:val="fr-FR"/>
        </w:rPr>
        <w:t>Nicolas Harin³</w:t>
      </w:r>
    </w:p>
    <w:p w14:paraId="47E9406D" w14:textId="77777777" w:rsidR="00326662" w:rsidRPr="001C485E" w:rsidRDefault="00000000">
      <w:pPr>
        <w:pStyle w:val="Author"/>
        <w:rPr>
          <w:lang w:val="fr-FR"/>
        </w:rPr>
      </w:pPr>
      <w:r w:rsidRPr="001C485E">
        <w:rPr>
          <w:lang w:val="fr-FR"/>
        </w:rPr>
        <w:t>Pierre Gernez¹</w:t>
      </w:r>
    </w:p>
    <w:p w14:paraId="5A5970DC" w14:textId="77777777" w:rsidR="00326662" w:rsidRDefault="00000000">
      <w:pPr>
        <w:pStyle w:val="Author"/>
      </w:pPr>
      <w:r>
        <w:t>Laurent Barillé¹</w:t>
      </w:r>
    </w:p>
    <w:p w14:paraId="344B8AE7" w14:textId="77777777" w:rsidR="00326662" w:rsidRDefault="00000000">
      <w:pPr>
        <w:pStyle w:val="Date"/>
      </w:pPr>
      <w:r>
        <w:t>2024-11-13</w:t>
      </w:r>
    </w:p>
    <w:p w14:paraId="511C97BC" w14:textId="77777777" w:rsidR="00326662" w:rsidRDefault="00000000">
      <w:r>
        <w:t>Abstract</w:t>
      </w:r>
    </w:p>
    <w:p w14:paraId="50F5DCA4" w14:textId="066328F4" w:rsidR="00326662" w:rsidRDefault="00000000">
      <w:pPr>
        <w:pStyle w:val="Abstract"/>
      </w:pPr>
      <w:r>
        <w:lastRenderedPageBreak/>
        <w:t xml:space="preserve">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w:t>
      </w:r>
      <w:del w:id="0" w:author="Bede Davies" w:date="2024-11-13T16:04:00Z" w16du:dateUtc="2024-11-13T15:04:00Z">
        <w:r w:rsidR="00E90558" w:rsidDel="00E90558">
          <w:delText>.</w:delText>
        </w:r>
        <w:r w:rsidDel="00E90558">
          <w:delText xml:space="preserve"> and</w:delText>
        </w:r>
      </w:del>
      <w:r>
        <w:t xml:space="preserve"> reflectance of the intertidal seagrass Zostera noltei. We performed laboratory experiments, exposing N. noltei samples to controlled heatwave conditions while measuring hyperspectral reflectance and pigment concentration to assess impact over time. We found that heatwaves induced significant declines in seagrass reflectance, particularly in the green and near-infrared regions, most likely due to pigment degradation. Furthemore, key vegetation indices, such as the Normalized Difference Vegetation Index (NDVI) and Green Leaf Index (GLI), displayed marked reductions under heatwave stress, with NDVI values decreasing by up to 34% and GLI by 57%. A novel Seagrass Darkening Index (SDI) was developed to identify seagrass darkening, showing a strong correlation with heatwave exposure. This research suggests that spectral monitoring can effectively track the early impacts of heatwaves on seagrasses, providing a valuable tool for remote sensing-based habitat assessment. Multispectral satellite observations confirmed these findings, showing widespread seagrass darkening during atmospheric and marine heatwave events in Quiberon, France. Darkened seagrasses were observed in areas within the intertidal zone that were exposed to</w:t>
      </w:r>
      <w:ins w:id="1" w:author="Bede Davies" w:date="2024-11-13T16:03:00Z" w16du:dateUtc="2024-11-13T15:03:00Z">
        <w:r w:rsidR="00E90558">
          <w:t xml:space="preserve"> the</w:t>
        </w:r>
      </w:ins>
      <w:r>
        <w:t xml:space="preserve"> atmospheric heatwave </w:t>
      </w:r>
      <w:ins w:id="2" w:author="Bede Davies" w:date="2024-11-13T16:03:00Z" w16du:dateUtc="2024-11-13T15:03:00Z">
        <w:r w:rsidR="00E90558">
          <w:t xml:space="preserve">for </w:t>
        </w:r>
      </w:ins>
      <w:r>
        <w:t>more than 13.5 hours a day. This work highlights the need for continuous monitoring of seagrass meadows under the current and futur</w:t>
      </w:r>
      <w:ins w:id="3" w:author="Bede Davies" w:date="2024-11-13T16:03:00Z" w16du:dateUtc="2024-11-13T15:03:00Z">
        <w:r w:rsidR="00E90558">
          <w:t>e</w:t>
        </w:r>
      </w:ins>
      <w:r>
        <w:t xml:space="preserve"> climate regimes, underscoring the potential of remote sensing to capture rapid environmental changes in intertidal zones.</w:t>
      </w:r>
    </w:p>
    <w:p w14:paraId="031E5526" w14:textId="77777777" w:rsidR="00326662" w:rsidRDefault="00000000">
      <w:pPr>
        <w:pStyle w:val="Heading1"/>
      </w:pPr>
      <w:bookmarkStart w:id="4" w:name="introduction"/>
      <w:r>
        <w:t>1. Introduction</w:t>
      </w:r>
    </w:p>
    <w:p w14:paraId="3DB556EA" w14:textId="476CEDF2" w:rsidR="00326662" w:rsidRDefault="00000000">
      <w:pPr>
        <w:pStyle w:val="FirstParagraph"/>
      </w:pPr>
      <w:r>
        <w:t xml:space="preserve">Intertidal seagrasses play a crucial role in the ecosystem by providing habitats and feeding grounds for various marine species, supporting rich marine biodiversity, and contributing significantly to primary production and carbon sequestration (Sousa et al., 2019; Unsworth et al., 2022). These seagrasses are essential in maintaining the health of coastal ecosystems by stabilizing sediments, filtering water, and serving as indicators of environmental changes due to their sensitivity to water quality variations (Zoffoli et al., 2021). The interactions between seagrass meadows and their associated herbivores further enhance the delivery of ecosystem services, including coastal protection and fisheries support (Gardner and Finlayson, 2018; Jankowska et al., 2019; Zoffoli et al., 2023). Understanding and preserving these ecosystems </w:t>
      </w:r>
      <w:del w:id="5" w:author="Bede Davies" w:date="2024-11-13T16:05:00Z" w16du:dateUtc="2024-11-13T15:05:00Z">
        <w:r w:rsidDel="00E90558">
          <w:delText xml:space="preserve">are </w:delText>
        </w:r>
      </w:del>
      <w:ins w:id="6" w:author="Bede Davies" w:date="2024-11-13T16:05:00Z" w16du:dateUtc="2024-11-13T15:05:00Z">
        <w:r w:rsidR="00E90558">
          <w:t xml:space="preserve">is </w:t>
        </w:r>
      </w:ins>
      <w:r>
        <w:t>vital for maintaining the biodiversity and productivity of coastal regions (Ramesh and Mohanraju, 2020; Scott et al., 2018).</w:t>
      </w:r>
    </w:p>
    <w:p w14:paraId="70D42D1E" w14:textId="77777777" w:rsidR="00326662" w:rsidRDefault="00000000">
      <w:pPr>
        <w:pStyle w:val="BodyText"/>
      </w:pPr>
      <w:r>
        <w:t xml:space="preserve">Despite their crucial role in marine ecosystems, intertidal seagrasses face numerous threats that compromise their health and functionality. Coastal development </w:t>
      </w:r>
      <w:r>
        <w:lastRenderedPageBreak/>
        <w:t xml:space="preserve">and human activities are primary threats, which not only reduce the available habitat for seagrasses but also increase water turbidity, which limits light penetration and photosynthesis (Waycott et al., 2009). Seagrasses are also threatened by nutrient enrichment from agricultural and urban runoff, leading to eutrophication. This condition promotes the rapid growth of algale causing blooms that compete with seagrasses for light and nutrients, further stressing these important plants </w:t>
      </w:r>
      <w:commentRangeStart w:id="7"/>
      <w:r>
        <w:t>(Thomsen et al., 2023) (Oiry et al. 2024)</w:t>
      </w:r>
      <w:commentRangeEnd w:id="7"/>
      <w:r w:rsidR="00E90558">
        <w:rPr>
          <w:rStyle w:val="CommentReference"/>
        </w:rPr>
        <w:commentReference w:id="7"/>
      </w:r>
      <w:r>
        <w:t>. Pollution from industrial and agricultural sources introduce harmful chemicals and heavy metals into coastal waters, posing toxic risks to seagrass health (</w:t>
      </w:r>
      <w:commentRangeStart w:id="8"/>
      <w:r>
        <w:rPr>
          <w:b/>
          <w:bCs/>
        </w:rPr>
        <w:t>Citation</w:t>
      </w:r>
      <w:commentRangeEnd w:id="8"/>
      <w:r w:rsidR="00E90558">
        <w:rPr>
          <w:rStyle w:val="CommentReference"/>
        </w:rPr>
        <w:commentReference w:id="8"/>
      </w:r>
      <w:r>
        <w:t>). These pollutants can affect the physiological processes of seagrasses, reducing their growth and survival rates (Sevgi and Leblebici, 2022).</w:t>
      </w:r>
    </w:p>
    <w:p w14:paraId="16D3CE23" w14:textId="16608FEA" w:rsidR="00326662" w:rsidRDefault="00000000">
      <w:pPr>
        <w:pStyle w:val="BodyText"/>
      </w:pPr>
      <w:r>
        <w:t xml:space="preserve">Heatwaves, exacerbated by climate change, pose a growing threat to seagrasses. Marine Heatwaves (MHW), defined by Hobday et al. (2016) as prolonged discrete anomalously warm water events, and Atmospheric Heatwaves (AHW), defined by Perkins and Alexander (2013) as periods of at least three consecutive days with temperatures exceeding the 90th percentile, cause severe physiological stress </w:t>
      </w:r>
      <w:del w:id="9" w:author="Bede Davies" w:date="2024-11-13T16:07:00Z" w16du:dateUtc="2024-11-13T15:07:00Z">
        <w:r w:rsidDel="00E90558">
          <w:delText xml:space="preserve">on </w:delText>
        </w:r>
      </w:del>
      <w:ins w:id="10" w:author="Bede Davies" w:date="2024-11-13T16:07:00Z" w16du:dateUtc="2024-11-13T15:07:00Z">
        <w:r w:rsidR="00E90558">
          <w:t xml:space="preserve">to </w:t>
        </w:r>
      </w:ins>
      <w:r>
        <w:t>seagrasses (</w:t>
      </w:r>
      <w:proofErr w:type="spellStart"/>
      <w:r>
        <w:t>Deguette</w:t>
      </w:r>
      <w:proofErr w:type="spellEnd"/>
      <w:r>
        <w:t xml:space="preserve"> et al., 2022; Sawall et al., 2021). At the interface between the land and oceans, intertidal seagrasses are exposed to both MHW and AHW. Heatwaves have profound impacts on seagrasses, with their effects varying based on species and geographic location. For instance, the seagrass </w:t>
      </w:r>
      <w:r>
        <w:rPr>
          <w:i/>
          <w:iCs/>
        </w:rPr>
        <w:t>Zostera marina</w:t>
      </w:r>
      <w:r>
        <w:t xml:space="preserve"> exhibits high susceptibility to elevated sea surface temperatures during winter and spring, leading to advanced flowering, high mortality rates, and reduced biomass (Sawall et al., 2021). Similarly, </w:t>
      </w:r>
      <w:r>
        <w:rPr>
          <w:i/>
          <w:iCs/>
        </w:rPr>
        <w:t>Cymodocea nodosa</w:t>
      </w:r>
      <w:r>
        <w:t xml:space="preserve"> shows increased photosynthetic activity during heatwaves but suffers negative effects on photosynthetic performance and leaf biomass during recovery (Deguette et al., 2022). Additionally, different populations of </w:t>
      </w:r>
      <w:r>
        <w:rPr>
          <w:i/>
          <w:iCs/>
        </w:rPr>
        <w:t>Zostera marina</w:t>
      </w:r>
      <w:r>
        <w:t xml:space="preserve"> along the European thermal gradient exhibit varied photophysiological responses during the recovery phase of heatwaves, indicating differential adaptation capabilities among populations (Winters et al., 2011). These events intensify other stressors, such as </w:t>
      </w:r>
      <w:r>
        <w:lastRenderedPageBreak/>
        <w:t>overgrazing and seed burial, compromising recruitment (Guerrero-Meseguer et al., 2020).</w:t>
      </w:r>
    </w:p>
    <w:p w14:paraId="5697E051" w14:textId="77777777" w:rsidR="00326662" w:rsidRDefault="00000000">
      <w:pPr>
        <w:pStyle w:val="BodyText"/>
      </w:pPr>
      <w:r>
        <w:t>Remote sensing is increasingly being used to monitor marine ecosystems, including intertidal seagrass meadows (Davies et al., 2024a, 2024b). Spectral indices such as the Normalized Difference Vegetation Index (NDVI) and the Green Leaf Index (GLI) are effective for quantifying vegetation health over time (Akbar et al., 2020; Cârlan et al., 2020; Huete, 2012; Kloos et al., 2021). By analyzing specific spectral patterns, remote sensing can track changes in seagrass meadows with high temporal and spatial resolution. The European Union promotes these techniques through frameworks like the Water Framework Directive and the Marine Strategy Framework Directive, which advocate for habitat mapping using remote sensing technologies to cover large areas and detect long-term trends (Papathanasopoulou et al., 2019).</w:t>
      </w:r>
    </w:p>
    <w:p w14:paraId="1B8567D5" w14:textId="77777777" w:rsidR="00326662" w:rsidRDefault="00000000">
      <w:pPr>
        <w:pStyle w:val="BodyText"/>
      </w:pPr>
      <w:r>
        <w:t xml:space="preserve">This study aims to experimentally test the hypothesis that warm events, such as atmospheric heatwaves, alter the reflectance of the intertidal seagrass </w:t>
      </w:r>
      <w:r>
        <w:rPr>
          <w:i/>
          <w:iCs/>
        </w:rPr>
        <w:t>Zostera noltei</w:t>
      </w:r>
      <w:r>
        <w:t>. By linking these changes with satellite remote sensing data, the study seeks to provide insights into how heatwaves affect seagrass meadows and to assess the potential of remote sensing in monitoring these impacts</w:t>
      </w:r>
    </w:p>
    <w:p w14:paraId="67ED1923" w14:textId="77777777" w:rsidR="00326662" w:rsidRDefault="00000000">
      <w:pPr>
        <w:pStyle w:val="Heading1"/>
      </w:pPr>
      <w:bookmarkStart w:id="11" w:name="material-methods"/>
      <w:bookmarkEnd w:id="4"/>
      <w:r>
        <w:t>2. Material &amp; Methods</w:t>
      </w:r>
    </w:p>
    <w:p w14:paraId="0DEA4DDA" w14:textId="77777777" w:rsidR="00326662" w:rsidRDefault="00000000">
      <w:pPr>
        <w:pStyle w:val="Heading2"/>
      </w:pPr>
      <w:bookmarkStart w:id="12" w:name="laboratory-experiment"/>
      <w:r>
        <w:t>2.1 Laboratory Experiment</w:t>
      </w:r>
    </w:p>
    <w:p w14:paraId="70B95A84" w14:textId="77777777" w:rsidR="00326662" w:rsidRDefault="00000000">
      <w:pPr>
        <w:pStyle w:val="Heading3"/>
      </w:pPr>
      <w:bookmarkStart w:id="13" w:name="sampling-and-acclimation-of-seagrasses"/>
      <w:r>
        <w:t>2.1.1 Sampling and acclimation of seagrasses</w:t>
      </w:r>
    </w:p>
    <w:p w14:paraId="11D26E3F" w14:textId="35B5B716" w:rsidR="00326662" w:rsidRDefault="00000000">
      <w:pPr>
        <w:pStyle w:val="FirstParagraph"/>
      </w:pPr>
      <w:r>
        <w:t>Seagrass sample</w:t>
      </w:r>
      <w:ins w:id="14" w:author="Bede Davies" w:date="2024-11-13T16:10:00Z" w16du:dateUtc="2024-11-13T15:10:00Z">
        <w:r w:rsidR="00E90558">
          <w:t>s</w:t>
        </w:r>
      </w:ins>
      <w:del w:id="15" w:author="Bede Davies" w:date="2024-11-13T16:10:00Z" w16du:dateUtc="2024-11-13T15:10:00Z">
        <w:r w:rsidDel="00E90558">
          <w:delText>d</w:delText>
        </w:r>
      </w:del>
      <w:r>
        <w:t xml:space="preserve"> were taken from a </w:t>
      </w:r>
      <w:r>
        <w:rPr>
          <w:i/>
          <w:iCs/>
        </w:rPr>
        <w:t>Zostera noltei</w:t>
      </w:r>
      <w:r>
        <w:t xml:space="preserve"> (dwarf eelgrass) meadow on Noirmoutier Island, France (46°57’32.</w:t>
      </w:r>
      <w:proofErr w:type="gramStart"/>
      <w:r>
        <w:t>0”N</w:t>
      </w:r>
      <w:proofErr w:type="gramEnd"/>
      <w:r>
        <w:t xml:space="preserve">, 2°10’37.0”W) at low tide in June 2024. A </w:t>
      </w:r>
      <w:del w:id="16" w:author="Bede Davies" w:date="2024-11-13T16:10:00Z" w16du:dateUtc="2024-11-13T15:10:00Z">
        <w:r w:rsidDel="009C49A6">
          <w:delText xml:space="preserve">home-made </w:delText>
        </w:r>
      </w:del>
      <w:r>
        <w:t>metal sampling box was used to sample seagrass from an area of 30 cm by 15 cm and 5 cm deep, maintaining the sediment structure and avoiding damage to the rhizomes and the leafs of the seagrass (</w:t>
      </w:r>
      <w:hyperlink w:anchor="fig-design">
        <w:r w:rsidR="00326662">
          <w:rPr>
            <w:rStyle w:val="Hyperlink"/>
          </w:rPr>
          <w:t>Figure 1</w:t>
        </w:r>
      </w:hyperlink>
      <w:r>
        <w:t xml:space="preserve"> A). This sampling box </w:t>
      </w:r>
      <w:proofErr w:type="spellStart"/>
      <w:r>
        <w:t>limitated</w:t>
      </w:r>
      <w:proofErr w:type="spellEnd"/>
      <w:r>
        <w:t xml:space="preserve"> </w:t>
      </w:r>
      <w:del w:id="17" w:author="Bede Davies" w:date="2024-11-13T16:11:00Z" w16du:dateUtc="2024-11-13T15:11:00Z">
        <w:r w:rsidDel="009C49A6">
          <w:lastRenderedPageBreak/>
          <w:delText xml:space="preserve">sampling </w:delText>
        </w:r>
      </w:del>
      <w:r>
        <w:t>variability between replicates. The entire system, including seagrass, sediment, meiofauna, and macrofauna, was placed in plastic trays together. Keeping the entire system allowed for the natural interactions between components to be maintained and reduced stress to the seagrass. To avoid hydric stress</w:t>
      </w:r>
      <w:ins w:id="18" w:author="Bede Davies" w:date="2024-11-13T16:13:00Z" w16du:dateUtc="2024-11-13T15:13:00Z">
        <w:r w:rsidR="009C49A6">
          <w:t>, caused by insufficient moisture</w:t>
        </w:r>
      </w:ins>
      <w:r>
        <w:t xml:space="preserve"> during transportation, seawater was added to each tray. Simultaneously, seawater was sampled from a nearby site and transported to the lab, where it was filtered using a 0.22 µm nitrocellulose filter to remove all suspended particulate matter. This seawater was used in the acclimation tank and the intertidal chambers. The seagrasses were acclimated at high tide for one week</w:t>
      </w:r>
      <w:del w:id="19" w:author="Bede Davies" w:date="2024-11-13T16:18:00Z" w16du:dateUtc="2024-11-13T15:18:00Z">
        <w:r w:rsidDel="009C49A6">
          <w:delText>s</w:delText>
        </w:r>
      </w:del>
      <w:r>
        <w:t xml:space="preserve"> with a water temperature of 17°C, matching the </w:t>
      </w:r>
      <w:r>
        <w:rPr>
          <w:i/>
          <w:iCs/>
        </w:rPr>
        <w:t>in situ</w:t>
      </w:r>
      <w:r>
        <w:t xml:space="preserve"> temperature during sampling, and with light of 150 </w:t>
      </w:r>
      <w:proofErr w:type="gramStart"/>
      <w:r>
        <w:t>µmol.s</w:t>
      </w:r>
      <w:proofErr w:type="gramEnd"/>
      <w:r>
        <w:t>-1.m-2 of PAR photons (Akbar et al., 2020). During high tide, a pump allowed the water to circulate and to re-oxygenate.</w:t>
      </w:r>
    </w:p>
    <w:tbl>
      <w:tblPr>
        <w:tblStyle w:val="Table"/>
        <w:tblW w:w="5000" w:type="pct"/>
        <w:tblLayout w:type="fixed"/>
        <w:tblLook w:val="0000" w:firstRow="0" w:lastRow="0" w:firstColumn="0" w:lastColumn="0" w:noHBand="0" w:noVBand="0"/>
      </w:tblPr>
      <w:tblGrid>
        <w:gridCol w:w="9360"/>
      </w:tblGrid>
      <w:tr w:rsidR="00326662" w14:paraId="214B0E25" w14:textId="77777777">
        <w:tc>
          <w:tcPr>
            <w:tcW w:w="7920" w:type="dxa"/>
          </w:tcPr>
          <w:p w14:paraId="50DC16C4" w14:textId="77777777" w:rsidR="00326662" w:rsidRDefault="00000000">
            <w:pPr>
              <w:pStyle w:val="Compact"/>
              <w:jc w:val="center"/>
            </w:pPr>
            <w:bookmarkStart w:id="20" w:name="fig-design"/>
            <w:bookmarkStart w:id="21" w:name="cell-fig-design"/>
            <w:r>
              <w:rPr>
                <w:noProof/>
              </w:rPr>
              <w:lastRenderedPageBreak/>
              <w:drawing>
                <wp:inline distT="0" distB="0" distL="0" distR="0" wp14:anchorId="3462B454" wp14:editId="49ACBFE6">
                  <wp:extent cx="5646420" cy="5554024"/>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s/Low_res/Experimental_design.png"/>
                          <pic:cNvPicPr>
                            <a:picLocks noChangeAspect="1" noChangeArrowheads="1"/>
                          </pic:cNvPicPr>
                        </pic:nvPicPr>
                        <pic:blipFill>
                          <a:blip r:embed="rId11"/>
                          <a:stretch>
                            <a:fillRect/>
                          </a:stretch>
                        </pic:blipFill>
                        <pic:spPr bwMode="auto">
                          <a:xfrm>
                            <a:off x="0" y="0"/>
                            <a:ext cx="5646420" cy="5554024"/>
                          </a:xfrm>
                          <a:prstGeom prst="rect">
                            <a:avLst/>
                          </a:prstGeom>
                          <a:noFill/>
                          <a:ln w="9525">
                            <a:noFill/>
                            <a:headEnd/>
                            <a:tailEnd/>
                          </a:ln>
                        </pic:spPr>
                      </pic:pic>
                    </a:graphicData>
                  </a:graphic>
                </wp:inline>
              </w:drawing>
            </w:r>
          </w:p>
          <w:p w14:paraId="266239AB" w14:textId="77777777" w:rsidR="00326662" w:rsidRDefault="00000000">
            <w:pPr>
              <w:pStyle w:val="ImageCaption"/>
              <w:spacing w:before="200"/>
            </w:pPr>
            <w:r>
              <w:t>Figure 1: Example of the various steps of the experiment. A: Field sampling of seagrass using a sampling box; B: Intertidal chambers used during the experiment; C: Seagrass sample inside a chamber during the experiment at high tide; D: Photo of the treatment sample at the start of the experiment; E: Photo of the treatment sample at the end of the experiment.</w:t>
            </w:r>
          </w:p>
        </w:tc>
        <w:bookmarkEnd w:id="20"/>
      </w:tr>
    </w:tbl>
    <w:p w14:paraId="576A5DAF" w14:textId="77777777" w:rsidR="00326662" w:rsidRDefault="00000000">
      <w:pPr>
        <w:pStyle w:val="Heading3"/>
      </w:pPr>
      <w:bookmarkStart w:id="22" w:name="experimental-design"/>
      <w:bookmarkEnd w:id="13"/>
      <w:bookmarkEnd w:id="21"/>
      <w:r>
        <w:t>2.1.2 Experimental design</w:t>
      </w:r>
    </w:p>
    <w:p w14:paraId="2698DDEA" w14:textId="6F92C561" w:rsidR="00326662" w:rsidRDefault="00000000">
      <w:pPr>
        <w:pStyle w:val="FirstParagraph"/>
      </w:pPr>
      <w:r>
        <w:t xml:space="preserve">Two intertidal chambers </w:t>
      </w:r>
      <w:del w:id="23" w:author="Bede Davies" w:date="2024-11-13T16:27:00Z" w16du:dateUtc="2024-11-13T15:27:00Z">
        <w:r w:rsidDel="007E6900">
          <w:delText xml:space="preserve">from </w:delText>
        </w:r>
        <w:r w:rsidDel="007E6900">
          <w:fldChar w:fldCharType="begin"/>
        </w:r>
        <w:r w:rsidDel="007E6900">
          <w:delInstrText>HYPERLINK "https://electricblue.eu/intertidal-chamber" \h</w:delInstrText>
        </w:r>
        <w:r w:rsidDel="007E6900">
          <w:fldChar w:fldCharType="separate"/>
        </w:r>
        <w:r w:rsidDel="007E6900">
          <w:rPr>
            <w:rStyle w:val="Hyperlink"/>
          </w:rPr>
          <w:delText>ElectricBlue</w:delText>
        </w:r>
        <w:r w:rsidDel="007E6900">
          <w:rPr>
            <w:rStyle w:val="Hyperlink"/>
          </w:rPr>
          <w:fldChar w:fldCharType="end"/>
        </w:r>
        <w:r w:rsidDel="007E6900">
          <w:delText xml:space="preserve"> </w:delText>
        </w:r>
      </w:del>
      <w:r>
        <w:t>were used to simulate tidal cycles and control water temperature during high tide and air temperature during low tide (</w:t>
      </w:r>
      <w:hyperlink w:anchor="fig-design">
        <w:r w:rsidR="00326662">
          <w:rPr>
            <w:rStyle w:val="Hyperlink"/>
          </w:rPr>
          <w:t>Figure 1</w:t>
        </w:r>
      </w:hyperlink>
      <w:r>
        <w:t xml:space="preserve"> B,C</w:t>
      </w:r>
      <w:ins w:id="24" w:author="Bede Davies" w:date="2024-11-13T16:22:00Z" w16du:dateUtc="2024-11-13T15:22:00Z">
        <w:r w:rsidR="007E6900">
          <w:t xml:space="preserve">, </w:t>
        </w:r>
        <w:proofErr w:type="spellStart"/>
        <w:r w:rsidR="007E6900">
          <w:t>ElectricBlue</w:t>
        </w:r>
      </w:ins>
      <w:proofErr w:type="spellEnd"/>
      <w:r>
        <w:t>). Chambers were utilized in parallel with one chamber serving as the control, while the other was used for the experimental treatment.</w:t>
      </w:r>
    </w:p>
    <w:p w14:paraId="51861D98" w14:textId="77777777" w:rsidR="00326662" w:rsidRDefault="00000000">
      <w:pPr>
        <w:pStyle w:val="BodyText"/>
      </w:pPr>
      <w:r>
        <w:lastRenderedPageBreak/>
        <w:t xml:space="preserve">To closely replicate field temperatures experienced by seagrasses during the experiment, </w:t>
      </w:r>
      <w:r>
        <w:rPr>
          <w:i/>
          <w:iCs/>
        </w:rPr>
        <w:t>in situ</w:t>
      </w:r>
      <w:r>
        <w:t xml:space="preserve"> temperature sensors were installed at the sampling site in Bourgneuf Bay in August 2024. Daily maximum temperatures recorded by these </w:t>
      </w:r>
      <w:r>
        <w:rPr>
          <w:i/>
          <w:iCs/>
        </w:rPr>
        <w:t>in situ</w:t>
      </w:r>
      <w:r>
        <w:t xml:space="preserve"> sensors were compared to measurements from the nearest Meteo France weather station (Annexe A1, </w:t>
      </w:r>
      <w:hyperlink w:anchor="sec-AnnexeA">
        <w:r w:rsidR="00326662">
          <w:rPr>
            <w:rStyle w:val="Hyperlink"/>
          </w:rPr>
          <w:t>Section 6.1</w:t>
        </w:r>
      </w:hyperlink>
      <w:r>
        <w:t xml:space="preserve">). The control chamber was kept at temperatures representing typical seasonal conditions, with water temperatures at 18°C and air temperatures from 19°C to 23°C, following natural daily temperature fluctuations (Annexe A2, </w:t>
      </w:r>
      <w:hyperlink w:anchor="sec-AnnexeA">
        <w:r w:rsidR="00326662">
          <w:rPr>
            <w:rStyle w:val="Hyperlink"/>
          </w:rPr>
          <w:t>Section 6.1</w:t>
        </w:r>
      </w:hyperlink>
      <w:r>
        <w:t xml:space="preserve">). For the experimental treatment, air temperature was adjusted to replicate an atmospheric heatwave that affected the seagrass meadow in Quiberon, France (47°35’40.0”N, 3°07’30.0”W), from September 2 to September 6, 2021. On the first day of the experiment, air temperatures in the experimental chamber were set to range from 23°C at night to 35°C during the day, increasing by 1°C daily. Water temperature in the experimental chamber was also adjusted to mimic heatwave conditions, starting at the seasonal baseline (18°C) and rising incrementally by 0.5°C daily to simulate the increasing temperatures during the heatwave. This aimed to replicate the thermal stress experienced by the seagrass meadow during the actual heatwave event (Annexe A2, </w:t>
      </w:r>
      <w:hyperlink w:anchor="sec-AnnexeA">
        <w:r w:rsidR="00326662">
          <w:rPr>
            <w:rStyle w:val="Hyperlink"/>
          </w:rPr>
          <w:t>Section 6.1</w:t>
        </w:r>
      </w:hyperlink>
      <w:r>
        <w:t>).</w:t>
      </w:r>
    </w:p>
    <w:p w14:paraId="212A23EA" w14:textId="389F2EC0" w:rsidR="00326662" w:rsidRDefault="00000000">
      <w:pPr>
        <w:pStyle w:val="Heading3"/>
      </w:pPr>
      <w:bookmarkStart w:id="25" w:name="bio-optical-measurements"/>
      <w:bookmarkEnd w:id="22"/>
      <w:r>
        <w:t xml:space="preserve">2.1.3 </w:t>
      </w:r>
      <w:del w:id="26" w:author="Bede Davies" w:date="2024-11-13T16:29:00Z" w16du:dateUtc="2024-11-13T15:29:00Z">
        <w:r w:rsidDel="007E6900">
          <w:delText>Bio-optical</w:delText>
        </w:r>
      </w:del>
      <w:ins w:id="27" w:author="Bede Davies" w:date="2024-11-13T16:29:00Z" w16du:dateUtc="2024-11-13T15:29:00Z">
        <w:r w:rsidR="007E6900">
          <w:t>Optical</w:t>
        </w:r>
      </w:ins>
      <w:r>
        <w:t xml:space="preserve"> measurements</w:t>
      </w:r>
    </w:p>
    <w:p w14:paraId="68B09DB9" w14:textId="77777777" w:rsidR="00326662" w:rsidRDefault="00000000">
      <w:pPr>
        <w:pStyle w:val="Heading4"/>
      </w:pPr>
      <w:bookmarkStart w:id="28" w:name="hyperspectral-measurements"/>
      <w:r>
        <w:t>2.1.3.1 Hyperspectral measurements</w:t>
      </w:r>
    </w:p>
    <w:p w14:paraId="5A9FBA9E" w14:textId="05AE1988" w:rsidR="00326662" w:rsidRDefault="00000000">
      <w:pPr>
        <w:pStyle w:val="FirstParagraph"/>
        <w:rPr>
          <w:ins w:id="29" w:author="Bede Davies" w:date="2024-11-13T16:36:00Z" w16du:dateUtc="2024-11-13T15:36:00Z"/>
        </w:rPr>
      </w:pPr>
      <w:r>
        <w:t>Throughout the experiment</w:t>
      </w:r>
      <w:del w:id="30" w:author="Bede Davies" w:date="2024-11-13T16:29:00Z" w16du:dateUtc="2024-11-13T15:29:00Z">
        <w:r w:rsidDel="007E6900">
          <w:delText>,</w:delText>
        </w:r>
      </w:del>
      <w:r>
        <w:t xml:space="preserve"> hyperspectral signatures of both the control and treatment seagrasses were taken using an ASD HandHeld 2 equipped with a fiber optic extension, allowing measurements to be taken directly inside the chamber without opening it</w:t>
      </w:r>
      <w:ins w:id="31" w:author="Bede Davies" w:date="2024-11-13T16:30:00Z" w16du:dateUtc="2024-11-13T15:30:00Z">
        <w:r w:rsidR="007E6900">
          <w:t>, where automatic spectra acquisition was carried out (RS3 Software)</w:t>
        </w:r>
      </w:ins>
      <w:r>
        <w:t xml:space="preserve">. </w:t>
      </w:r>
      <w:del w:id="32" w:author="Bede Davies" w:date="2024-11-13T16:30:00Z" w16du:dateUtc="2024-11-13T15:30:00Z">
        <w:r w:rsidDel="007E6900">
          <w:delText xml:space="preserve">Automatic spectra acquisition was carried out using the </w:delText>
        </w:r>
        <w:r w:rsidDel="007E6900">
          <w:fldChar w:fldCharType="begin"/>
        </w:r>
        <w:r w:rsidDel="007E6900">
          <w:delInstrText>HYPERLINK "https://www.malvernpanalytical.com/en/learn/knowledge-center/user-manuals/rs3-software-user-manual" \h</w:delInstrText>
        </w:r>
        <w:r w:rsidDel="007E6900">
          <w:fldChar w:fldCharType="separate"/>
        </w:r>
        <w:r w:rsidDel="007E6900">
          <w:rPr>
            <w:rStyle w:val="Hyperlink"/>
          </w:rPr>
          <w:delText>RS3 softaware</w:delText>
        </w:r>
        <w:r w:rsidDel="007E6900">
          <w:rPr>
            <w:rStyle w:val="Hyperlink"/>
          </w:rPr>
          <w:fldChar w:fldCharType="end"/>
        </w:r>
        <w:r w:rsidDel="007E6900">
          <w:delText xml:space="preserve">. </w:delText>
        </w:r>
      </w:del>
      <w:r>
        <w:t>An average of five reflectance spectra (</w:t>
      </w:r>
      <m:oMath>
        <m:r>
          <w:rPr>
            <w:rFonts w:ascii="Cambria Math" w:hAnsi="Cambria Math"/>
          </w:rPr>
          <m:t>R</m:t>
        </m:r>
        <m:d>
          <m:dPr>
            <m:ctrlPr>
              <w:rPr>
                <w:rFonts w:ascii="Cambria Math" w:hAnsi="Cambria Math"/>
              </w:rPr>
            </m:ctrlPr>
          </m:dPr>
          <m:e>
            <m:r>
              <w:rPr>
                <w:rFonts w:ascii="Cambria Math" w:hAnsi="Cambria Math"/>
              </w:rPr>
              <m:t>λ</m:t>
            </m:r>
          </m:e>
        </m:d>
      </m:oMath>
      <w:r>
        <w:t xml:space="preserve">), each with an integration time of 544 ms, was taken every minute during daytime. Every 10 minutes, the fiber optic was switched from one benthic chamber to </w:t>
      </w:r>
      <w:r>
        <w:lastRenderedPageBreak/>
        <w:t xml:space="preserve">the other, in order to measure reflectance in both treatment and control. </w:t>
      </w:r>
      <w:del w:id="33" w:author="Bede Davies" w:date="2024-11-13T16:31:00Z" w16du:dateUtc="2024-11-13T15:31:00Z">
        <w:r w:rsidDel="00A37CC9">
          <w:delText>As light</w:delText>
        </w:r>
      </w:del>
      <w:ins w:id="34" w:author="Bede Davies" w:date="2024-11-13T16:31:00Z" w16du:dateUtc="2024-11-13T15:31:00Z">
        <w:r w:rsidR="00A37CC9">
          <w:t>Light</w:t>
        </w:r>
      </w:ins>
      <w:r>
        <w:t xml:space="preserve"> conditions were controlled inside of the chambers, </w:t>
      </w:r>
      <w:ins w:id="35" w:author="Bede Davies" w:date="2024-11-13T16:31:00Z" w16du:dateUtc="2024-11-13T15:31:00Z">
        <w:r w:rsidR="00A37CC9">
          <w:t xml:space="preserve">so </w:t>
        </w:r>
      </w:ins>
      <w:r>
        <w:t>reflectance calibration of the instrument was performed each morning at the very first moment of low tide using a Spectralon white reference with 99% Lambertian reflectivity.</w:t>
      </w:r>
    </w:p>
    <w:p w14:paraId="21952380" w14:textId="13199BEA" w:rsidR="0074479F" w:rsidRPr="0074479F" w:rsidRDefault="0074479F">
      <w:pPr>
        <w:pStyle w:val="Heading4"/>
        <w:pPrChange w:id="36" w:author="Bede Davies" w:date="2024-11-13T16:37:00Z" w16du:dateUtc="2024-11-13T15:37:00Z">
          <w:pPr>
            <w:pStyle w:val="FirstParagraph"/>
          </w:pPr>
        </w:pPrChange>
      </w:pPr>
      <w:ins w:id="37" w:author="Bede Davies" w:date="2024-11-13T16:38:00Z" w16du:dateUtc="2024-11-13T15:38:00Z">
        <w:r>
          <w:t>Spectrum</w:t>
        </w:r>
      </w:ins>
      <w:ins w:id="38" w:author="Bede Davies" w:date="2024-11-13T16:37:00Z" w16du:dateUtc="2024-11-13T15:37:00Z">
        <w:r>
          <w:t xml:space="preserve"> </w:t>
        </w:r>
      </w:ins>
      <w:ins w:id="39" w:author="Bede Davies" w:date="2024-11-13T16:38:00Z" w16du:dateUtc="2024-11-13T15:38:00Z">
        <w:r>
          <w:t>Processing</w:t>
        </w:r>
      </w:ins>
    </w:p>
    <w:p w14:paraId="3CC71544" w14:textId="7B4D8ADC" w:rsidR="00326662" w:rsidRDefault="00000000">
      <w:pPr>
        <w:pStyle w:val="BodyText"/>
      </w:pPr>
      <w:commentRangeStart w:id="40"/>
      <w:r>
        <w:t xml:space="preserve">The second derivative of </w:t>
      </w:r>
      <m:oMath>
        <m:r>
          <w:rPr>
            <w:rFonts w:ascii="Cambria Math" w:hAnsi="Cambria Math"/>
          </w:rPr>
          <m:t>R</m:t>
        </m:r>
        <m:d>
          <m:dPr>
            <m:ctrlPr>
              <w:rPr>
                <w:rFonts w:ascii="Cambria Math" w:hAnsi="Cambria Math"/>
              </w:rPr>
            </m:ctrlPr>
          </m:dPr>
          <m:e>
            <m:r>
              <w:rPr>
                <w:rFonts w:ascii="Cambria Math" w:hAnsi="Cambria Math"/>
              </w:rPr>
              <m:t>λ</m:t>
            </m:r>
          </m:e>
        </m:d>
      </m:oMath>
      <w:r>
        <w:t xml:space="preserve"> was calculated to retrieve absorption features and compare their variability over time</w:t>
      </w:r>
      <w:commentRangeEnd w:id="40"/>
      <w:r w:rsidR="00F309E4">
        <w:rPr>
          <w:rStyle w:val="CommentReference"/>
        </w:rPr>
        <w:commentReference w:id="40"/>
      </w:r>
      <w:ins w:id="41" w:author="Bede Davies" w:date="2024-11-13T16:32:00Z" w16du:dateUtc="2024-11-13T15:32:00Z">
        <w:r w:rsidR="00F309E4">
          <w:t>, using a moving window of X from the “Blah” package in r (Blah et al, 20</w:t>
        </w:r>
      </w:ins>
      <w:ins w:id="42" w:author="Bede Davies" w:date="2024-11-13T16:33:00Z" w16du:dateUtc="2024-11-13T15:33:00Z">
        <w:r w:rsidR="00F309E4">
          <w:t>55</w:t>
        </w:r>
      </w:ins>
      <w:ins w:id="43" w:author="Bede Davies" w:date="2024-11-13T16:32:00Z" w16du:dateUtc="2024-11-13T15:32:00Z">
        <w:r w:rsidR="00F309E4">
          <w:t>)</w:t>
        </w:r>
      </w:ins>
      <w:r>
        <w:t>.</w:t>
      </w:r>
    </w:p>
    <w:p w14:paraId="3C87B1B0" w14:textId="5C82E043" w:rsidR="00326662" w:rsidRDefault="00000000">
      <w:pPr>
        <w:pStyle w:val="BodyText"/>
      </w:pPr>
      <w:r>
        <w:t xml:space="preserve">Two </w:t>
      </w:r>
      <w:ins w:id="44" w:author="Bede Davies" w:date="2024-11-13T16:33:00Z" w16du:dateUtc="2024-11-13T15:33:00Z">
        <w:r w:rsidR="00F309E4">
          <w:t>well esta</w:t>
        </w:r>
      </w:ins>
      <w:ins w:id="45" w:author="Bede Davies" w:date="2024-11-13T16:34:00Z" w16du:dateUtc="2024-11-13T15:34:00Z">
        <w:r w:rsidR="00F309E4">
          <w:t xml:space="preserve">blished </w:t>
        </w:r>
      </w:ins>
      <w:r>
        <w:t xml:space="preserve">radiometric indices were also </w:t>
      </w:r>
      <w:del w:id="46" w:author="Bede Davies" w:date="2024-11-13T16:35:00Z" w16du:dateUtc="2024-11-13T15:35:00Z">
        <w:r w:rsidDel="0074479F">
          <w:delText xml:space="preserve">monitored </w:delText>
        </w:r>
      </w:del>
      <w:ins w:id="47" w:author="Bede Davies" w:date="2024-11-13T16:35:00Z" w16du:dateUtc="2024-11-13T15:35:00Z">
        <w:r w:rsidR="0074479F">
          <w:t xml:space="preserve">calculated </w:t>
        </w:r>
      </w:ins>
      <w:r>
        <w:t xml:space="preserve">throughout the </w:t>
      </w:r>
      <w:proofErr w:type="gramStart"/>
      <w:r>
        <w:t>experiment :</w:t>
      </w:r>
      <w:proofErr w:type="gramEnd"/>
    </w:p>
    <w:p w14:paraId="3CB87A90" w14:textId="77777777" w:rsidR="00326662" w:rsidRDefault="00000000">
      <w:pPr>
        <w:pStyle w:val="Compact"/>
        <w:numPr>
          <w:ilvl w:val="0"/>
          <w:numId w:val="3"/>
        </w:numPr>
      </w:pPr>
      <w:r>
        <w:t>Normalized Difference Vegetation Index (NDVI, Rouse et al. (1974)), a proxy of the concentration of chlorophyll-a (</w:t>
      </w:r>
      <w:hyperlink w:anchor="eq-ndvi">
        <w:r w:rsidR="00326662">
          <w:rPr>
            <w:rStyle w:val="Hyperlink"/>
          </w:rPr>
          <w:t>Equation 1</w:t>
        </w:r>
      </w:hyperlink>
      <w:r>
        <w:t>)</w:t>
      </w:r>
    </w:p>
    <w:p w14:paraId="0C42C70C" w14:textId="77777777" w:rsidR="00326662" w:rsidRDefault="00000000">
      <w:pPr>
        <w:pStyle w:val="FirstParagraph"/>
      </w:pPr>
      <w:bookmarkStart w:id="48"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num>
            <m:den>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den>
          </m:f>
          <m:r>
            <w:rPr>
              <w:rFonts w:ascii="Cambria Math" w:hAnsi="Cambria Math"/>
            </w:rPr>
            <m:t>  </m:t>
          </m:r>
          <m:d>
            <m:dPr>
              <m:ctrlPr>
                <w:rPr>
                  <w:rFonts w:ascii="Cambria Math" w:hAnsi="Cambria Math"/>
                </w:rPr>
              </m:ctrlPr>
            </m:dPr>
            <m:e>
              <m:r>
                <w:rPr>
                  <w:rFonts w:ascii="Cambria Math" w:hAnsi="Cambria Math"/>
                </w:rPr>
                <m:t>1</m:t>
              </m:r>
            </m:e>
          </m:d>
        </m:oMath>
      </m:oMathPara>
      <w:bookmarkEnd w:id="48"/>
    </w:p>
    <w:p w14:paraId="78DADDF0" w14:textId="77777777" w:rsidR="00326662"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nm and 668 nm respectively.</w:t>
      </w:r>
    </w:p>
    <w:p w14:paraId="7F81446F" w14:textId="77777777" w:rsidR="00326662" w:rsidRDefault="00000000">
      <w:pPr>
        <w:pStyle w:val="Compact"/>
        <w:numPr>
          <w:ilvl w:val="0"/>
          <w:numId w:val="4"/>
        </w:numPr>
      </w:pPr>
      <w:r w:rsidRPr="001C485E">
        <w:rPr>
          <w:lang w:val="fr-FR"/>
        </w:rPr>
        <w:t xml:space="preserve">Green </w:t>
      </w:r>
      <w:proofErr w:type="spellStart"/>
      <w:r w:rsidRPr="001C485E">
        <w:rPr>
          <w:lang w:val="fr-FR"/>
        </w:rPr>
        <w:t>Leaf</w:t>
      </w:r>
      <w:proofErr w:type="spellEnd"/>
      <w:r w:rsidRPr="001C485E">
        <w:rPr>
          <w:lang w:val="fr-FR"/>
        </w:rPr>
        <w:t xml:space="preserve"> Index (GLI, </w:t>
      </w:r>
      <w:proofErr w:type="spellStart"/>
      <w:r w:rsidRPr="001C485E">
        <w:rPr>
          <w:lang w:val="fr-FR"/>
        </w:rPr>
        <w:t>Louhaichi</w:t>
      </w:r>
      <w:proofErr w:type="spellEnd"/>
      <w:r w:rsidRPr="001C485E">
        <w:rPr>
          <w:lang w:val="fr-FR"/>
        </w:rPr>
        <w:t xml:space="preserve"> et al. </w:t>
      </w:r>
      <w:r>
        <w:t>(2001)), a measurement of the greenness of seagrass leafs (</w:t>
      </w:r>
      <w:hyperlink w:anchor="eq-gli">
        <w:r w:rsidR="00326662">
          <w:rPr>
            <w:rStyle w:val="Hyperlink"/>
          </w:rPr>
          <w:t>Equation 2</w:t>
        </w:r>
      </w:hyperlink>
      <w:r>
        <w:t>)</w:t>
      </w:r>
    </w:p>
    <w:p w14:paraId="1D2B4718" w14:textId="77777777" w:rsidR="00326662" w:rsidRDefault="00000000">
      <w:pPr>
        <w:pStyle w:val="FirstParagraph"/>
      </w:pPr>
      <w:bookmarkStart w:id="49"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e>
              </m:d>
            </m:num>
            <m:den>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den>
          </m:f>
          <m:r>
            <w:rPr>
              <w:rFonts w:ascii="Cambria Math" w:hAnsi="Cambria Math"/>
            </w:rPr>
            <m:t>  </m:t>
          </m:r>
          <m:d>
            <m:dPr>
              <m:ctrlPr>
                <w:rPr>
                  <w:rFonts w:ascii="Cambria Math" w:hAnsi="Cambria Math"/>
                </w:rPr>
              </m:ctrlPr>
            </m:dPr>
            <m:e>
              <m:r>
                <w:rPr>
                  <w:rFonts w:ascii="Cambria Math" w:hAnsi="Cambria Math"/>
                </w:rPr>
                <m:t>2</m:t>
              </m:r>
            </m:e>
          </m:d>
        </m:oMath>
      </m:oMathPara>
      <w:bookmarkEnd w:id="49"/>
    </w:p>
    <w:p w14:paraId="2053256F" w14:textId="77777777" w:rsidR="00326662"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green at 550 nm and in the blue at 450 nm, respectively.</w:t>
      </w:r>
    </w:p>
    <w:p w14:paraId="30CFD244" w14:textId="008CD7A9" w:rsidR="00326662" w:rsidDel="00191AD6" w:rsidRDefault="00000000">
      <w:pPr>
        <w:pStyle w:val="BodyText"/>
        <w:rPr>
          <w:del w:id="50" w:author="Bede Davies" w:date="2024-11-13T16:42:00Z" w16du:dateUtc="2024-11-13T15:42:00Z"/>
        </w:rPr>
      </w:pPr>
      <w:del w:id="51" w:author="Bede Davies" w:date="2024-11-13T16:42:00Z" w16du:dateUtc="2024-11-13T15:42:00Z">
        <w:r w:rsidDel="00191AD6">
          <w:delText>A remote sensing based seagrass covers estimation equation, the SC developed by Zoffoli et al. (2020), were used to retrieve the proportion of seagrass of Sentinel-2 pixel (</w:delText>
        </w:r>
        <w:r w:rsidDel="00191AD6">
          <w:fldChar w:fldCharType="begin"/>
        </w:r>
        <w:r w:rsidDel="00191AD6">
          <w:delInstrText>HYPERLINK \l "eq-spc" \h</w:delInstrText>
        </w:r>
        <w:r w:rsidDel="00191AD6">
          <w:fldChar w:fldCharType="separate"/>
        </w:r>
        <w:r w:rsidDel="00191AD6">
          <w:rPr>
            <w:rStyle w:val="Hyperlink"/>
          </w:rPr>
          <w:delText>Equation 3</w:delText>
        </w:r>
        <w:r w:rsidDel="00191AD6">
          <w:rPr>
            <w:rStyle w:val="Hyperlink"/>
          </w:rPr>
          <w:fldChar w:fldCharType="end"/>
        </w:r>
        <w:r w:rsidDel="00191AD6">
          <w:delText>):</w:delText>
        </w:r>
      </w:del>
    </w:p>
    <w:p w14:paraId="2FC2445C" w14:textId="740950FF" w:rsidR="00326662" w:rsidDel="00191AD6" w:rsidRDefault="00000000">
      <w:pPr>
        <w:pStyle w:val="BodyText"/>
        <w:rPr>
          <w:del w:id="52" w:author="Bede Davies" w:date="2024-11-13T16:42:00Z" w16du:dateUtc="2024-11-13T15:42:00Z"/>
        </w:rPr>
      </w:pPr>
      <w:bookmarkStart w:id="53" w:name="eq-spc"/>
      <m:oMathPara>
        <m:oMathParaPr>
          <m:jc m:val="center"/>
        </m:oMathParaPr>
        <m:oMath>
          <m:r>
            <w:del w:id="54" w:author="Bede Davies" w:date="2024-11-13T16:42:00Z" w16du:dateUtc="2024-11-13T15:42:00Z">
              <w:rPr>
                <w:rFonts w:ascii="Cambria Math" w:hAnsi="Cambria Math"/>
              </w:rPr>
              <m:t>SC</m:t>
            </w:del>
          </m:r>
          <m:r>
            <w:del w:id="55" w:author="Bede Davies" w:date="2024-11-13T16:42:00Z" w16du:dateUtc="2024-11-13T15:42:00Z">
              <m:rPr>
                <m:sty m:val="p"/>
              </m:rPr>
              <w:rPr>
                <w:rFonts w:ascii="Cambria Math" w:hAnsi="Cambria Math"/>
              </w:rPr>
              <m:t>=</m:t>
            </w:del>
          </m:r>
          <m:r>
            <w:del w:id="56" w:author="Bede Davies" w:date="2024-11-13T16:42:00Z" w16du:dateUtc="2024-11-13T15:42:00Z">
              <w:rPr>
                <w:rFonts w:ascii="Cambria Math" w:hAnsi="Cambria Math"/>
              </w:rPr>
              <m:t>172.06</m:t>
            </w:del>
          </m:r>
          <m:r>
            <w:del w:id="57" w:author="Bede Davies" w:date="2024-11-13T16:42:00Z" w16du:dateUtc="2024-11-13T15:42:00Z">
              <m:rPr>
                <m:sty m:val="p"/>
              </m:rPr>
              <w:rPr>
                <w:rFonts w:ascii="Cambria Math" w:hAnsi="Cambria Math"/>
              </w:rPr>
              <m:t>×</m:t>
            </w:del>
          </m:r>
          <m:r>
            <w:del w:id="58" w:author="Bede Davies" w:date="2024-11-13T16:42:00Z" w16du:dateUtc="2024-11-13T15:42:00Z">
              <w:rPr>
                <w:rFonts w:ascii="Cambria Math" w:hAnsi="Cambria Math"/>
              </w:rPr>
              <m:t>NDVI</m:t>
            </w:del>
          </m:r>
          <m:r>
            <w:del w:id="59" w:author="Bede Davies" w:date="2024-11-13T16:42:00Z" w16du:dateUtc="2024-11-13T15:42:00Z">
              <m:rPr>
                <m:sty m:val="p"/>
              </m:rPr>
              <w:rPr>
                <w:rFonts w:ascii="Cambria Math" w:hAnsi="Cambria Math"/>
              </w:rPr>
              <m:t>-</m:t>
            </w:del>
          </m:r>
          <m:r>
            <w:del w:id="60" w:author="Bede Davies" w:date="2024-11-13T16:42:00Z" w16du:dateUtc="2024-11-13T15:42:00Z">
              <w:rPr>
                <w:rFonts w:ascii="Cambria Math" w:hAnsi="Cambria Math"/>
              </w:rPr>
              <m:t>22.18  </m:t>
            </w:del>
          </m:r>
          <m:d>
            <m:dPr>
              <m:ctrlPr>
                <w:del w:id="61" w:author="Bede Davies" w:date="2024-11-13T16:42:00Z" w16du:dateUtc="2024-11-13T15:42:00Z">
                  <w:rPr>
                    <w:rFonts w:ascii="Cambria Math" w:hAnsi="Cambria Math"/>
                  </w:rPr>
                </w:del>
              </m:ctrlPr>
            </m:dPr>
            <m:e>
              <m:r>
                <w:del w:id="62" w:author="Bede Davies" w:date="2024-11-13T16:42:00Z" w16du:dateUtc="2024-11-13T15:42:00Z">
                  <w:rPr>
                    <w:rFonts w:ascii="Cambria Math" w:hAnsi="Cambria Math"/>
                  </w:rPr>
                  <m:t>3</m:t>
                </w:del>
              </m:r>
            </m:e>
          </m:d>
        </m:oMath>
      </m:oMathPara>
      <w:bookmarkEnd w:id="53"/>
    </w:p>
    <w:p w14:paraId="4AC5461A" w14:textId="77777777" w:rsidR="00326662" w:rsidRDefault="00000000">
      <w:pPr>
        <w:pStyle w:val="FirstParagraph"/>
      </w:pPr>
      <w:r>
        <w:t xml:space="preserve">Based on the observed spectral changes in seagrasses exposed to extreme events, a radiometric index can be developed to detect seagrass darkening events through remote sensing. This darkening is characterized by a reduction in reflectance within the green </w:t>
      </w:r>
      <w:r>
        <w:lastRenderedPageBreak/>
        <w:t>region, along with a substantial decrease in the red-edge portion of the electromagnetic spectrum.</w:t>
      </w:r>
    </w:p>
    <w:p w14:paraId="0D1F34A1" w14:textId="77777777" w:rsidR="00326662" w:rsidRDefault="00000000">
      <w:pPr>
        <w:pStyle w:val="BodyText"/>
      </w:pPr>
      <w:r>
        <w:t>The Seagrass Darkening Index (SDI) is introduced here as a measure of the difference between the interpolated value between 560 and 842 nm and the observed value at 740 nm. This approach calculates the line height using a triplet of bands, where 560 nm and 842 nm serve as the ‘baseline’ and 740 nm represents the central peak. The SDI can be mathematically expressed as:</w:t>
      </w:r>
    </w:p>
    <w:p w14:paraId="0132CE86" w14:textId="77777777" w:rsidR="00326662"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SDI</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r>
            <m:rPr>
              <m:sty m:val="p"/>
            </m:rPr>
            <w:rPr>
              <w:rFonts w:ascii="Cambria Math" w:hAnsi="Cambria Math"/>
            </w:rPr>
            <m:t>+</m:t>
          </m:r>
          <m:f>
            <m:fPr>
              <m:ctrlPr>
                <w:rPr>
                  <w:rFonts w:ascii="Cambria Math" w:hAnsi="Cambria Math"/>
                </w:rPr>
              </m:ctrlPr>
            </m:fPr>
            <m:num>
              <m:r>
                <w:rPr>
                  <w:rFonts w:ascii="Cambria Math" w:hAnsi="Cambria Math"/>
                </w:rPr>
                <m:t>740</m:t>
              </m:r>
              <m:r>
                <m:rPr>
                  <m:sty m:val="p"/>
                </m:rPr>
                <w:rPr>
                  <w:rFonts w:ascii="Cambria Math" w:hAnsi="Cambria Math"/>
                </w:rPr>
                <m:t>-</m:t>
              </m:r>
              <m:r>
                <w:rPr>
                  <w:rFonts w:ascii="Cambria Math" w:hAnsi="Cambria Math"/>
                </w:rPr>
                <m:t>560</m:t>
              </m:r>
            </m:num>
            <m:den>
              <m:r>
                <w:rPr>
                  <w:rFonts w:ascii="Cambria Math" w:hAnsi="Cambria Math"/>
                </w:rPr>
                <m:t>842</m:t>
              </m:r>
              <m:r>
                <m:rPr>
                  <m:sty m:val="p"/>
                </m:rPr>
                <w:rPr>
                  <w:rFonts w:ascii="Cambria Math" w:hAnsi="Cambria Math"/>
                </w:rPr>
                <m:t>-</m:t>
              </m:r>
              <m:r>
                <w:rPr>
                  <w:rFonts w:ascii="Cambria Math" w:hAnsi="Cambria Math"/>
                </w:rPr>
                <m:t>560</m:t>
              </m:r>
            </m:den>
          </m:f>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e>
          </m:d>
        </m:oMath>
      </m:oMathPara>
    </w:p>
    <w:p w14:paraId="1529897A" w14:textId="77777777" w:rsidR="00326662" w:rsidRDefault="00000000">
      <w:pPr>
        <w:pStyle w:val="FirstParagraph"/>
      </w:pPr>
      <w:bookmarkStart w:id="63" w:name="eq-SDI"/>
      <m:oMathPara>
        <m:oMathParaPr>
          <m:jc m:val="center"/>
        </m:oMathParaPr>
        <m:oMath>
          <m:r>
            <m:rPr>
              <m:nor/>
            </m:rPr>
            <m:t>SDI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SDI</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740</m:t>
              </m:r>
            </m:e>
          </m:d>
          <m:r>
            <w:rPr>
              <w:rFonts w:ascii="Cambria Math" w:hAnsi="Cambria Math"/>
            </w:rPr>
            <m:t>  </m:t>
          </m:r>
          <m:d>
            <m:dPr>
              <m:ctrlPr>
                <w:rPr>
                  <w:rFonts w:ascii="Cambria Math" w:hAnsi="Cambria Math"/>
                </w:rPr>
              </m:ctrlPr>
            </m:dPr>
            <m:e>
              <m:r>
                <w:rPr>
                  <w:rFonts w:ascii="Cambria Math" w:hAnsi="Cambria Math"/>
                </w:rPr>
                <m:t>4</m:t>
              </m:r>
            </m:e>
          </m:d>
        </m:oMath>
      </m:oMathPara>
      <w:bookmarkEnd w:id="63"/>
    </w:p>
    <w:p w14:paraId="758BD9E5" w14:textId="77777777" w:rsidR="00326662"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560</m:t>
            </m:r>
          </m:e>
        </m:d>
      </m:oMath>
      <w:r>
        <w:t xml:space="preserve">, </w:t>
      </w:r>
      <m:oMath>
        <m:r>
          <w:rPr>
            <w:rFonts w:ascii="Cambria Math" w:hAnsi="Cambria Math"/>
          </w:rPr>
          <m:t>R</m:t>
        </m:r>
        <m:d>
          <m:dPr>
            <m:ctrlPr>
              <w:rPr>
                <w:rFonts w:ascii="Cambria Math" w:hAnsi="Cambria Math"/>
              </w:rPr>
            </m:ctrlPr>
          </m:dPr>
          <m:e>
            <m:r>
              <w:rPr>
                <w:rFonts w:ascii="Cambria Math" w:hAnsi="Cambria Math"/>
              </w:rPr>
              <m:t>740</m:t>
            </m:r>
          </m:e>
        </m:d>
      </m:oMath>
      <w:r>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t xml:space="preserve"> represent reflectance values at 560, 740, and 842 nm, respectively. These wavelengths were selected to align with the spectral resolution of satellites like Sentinel-2, enabling the index to be used for mapping darkening events from satellite data. From SDI, negative values indicate green, healthy seagrasses, while positive values correspond to darkened seagrasses.</w:t>
      </w:r>
    </w:p>
    <w:p w14:paraId="113323F6" w14:textId="77777777" w:rsidR="00326662" w:rsidRDefault="00000000">
      <w:pPr>
        <w:pStyle w:val="Heading2"/>
      </w:pPr>
      <w:bookmarkStart w:id="64" w:name="in-situ-seagrass-darkening."/>
      <w:bookmarkEnd w:id="12"/>
      <w:bookmarkEnd w:id="25"/>
      <w:bookmarkEnd w:id="28"/>
      <w:r>
        <w:lastRenderedPageBreak/>
        <w:t xml:space="preserve">2.2 </w:t>
      </w:r>
      <w:r>
        <w:rPr>
          <w:i/>
          <w:iCs/>
        </w:rPr>
        <w:t>In situ</w:t>
      </w:r>
      <w:r>
        <w:t xml:space="preserve"> seagrass darkening.</w:t>
      </w:r>
    </w:p>
    <w:p w14:paraId="71F75687" w14:textId="77777777" w:rsidR="00326662" w:rsidRDefault="00000000">
      <w:pPr>
        <w:pStyle w:val="Heading3"/>
      </w:pPr>
      <w:bookmarkStart w:id="65" w:name="field-observation"/>
      <w:r>
        <w:t>2.2.1 Field Observation</w:t>
      </w:r>
    </w:p>
    <w:tbl>
      <w:tblPr>
        <w:tblStyle w:val="Table"/>
        <w:tblW w:w="5000" w:type="pct"/>
        <w:tblLayout w:type="fixed"/>
        <w:tblLook w:val="0000" w:firstRow="0" w:lastRow="0" w:firstColumn="0" w:lastColumn="0" w:noHBand="0" w:noVBand="0"/>
      </w:tblPr>
      <w:tblGrid>
        <w:gridCol w:w="9360"/>
      </w:tblGrid>
      <w:tr w:rsidR="00326662" w14:paraId="1D97CA90" w14:textId="77777777">
        <w:tc>
          <w:tcPr>
            <w:tcW w:w="7920" w:type="dxa"/>
          </w:tcPr>
          <w:p w14:paraId="38BF61CB" w14:textId="77777777" w:rsidR="00326662" w:rsidRDefault="00000000">
            <w:pPr>
              <w:pStyle w:val="Compact"/>
              <w:jc w:val="center"/>
            </w:pPr>
            <w:bookmarkStart w:id="66" w:name="fig-quiberonMap"/>
            <w:bookmarkStart w:id="67" w:name="cell-fig-quiberonMap"/>
            <w:commentRangeStart w:id="68"/>
            <w:r>
              <w:rPr>
                <w:noProof/>
              </w:rPr>
              <w:drawing>
                <wp:inline distT="0" distB="0" distL="0" distR="0" wp14:anchorId="034ABC0A" wp14:editId="651C8B2C">
                  <wp:extent cx="5646420" cy="564642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s/Low_res/Quiberon_map.png"/>
                          <pic:cNvPicPr>
                            <a:picLocks noChangeAspect="1" noChangeArrowheads="1"/>
                          </pic:cNvPicPr>
                        </pic:nvPicPr>
                        <pic:blipFill>
                          <a:blip r:embed="rId12"/>
                          <a:stretch>
                            <a:fillRect/>
                          </a:stretch>
                        </pic:blipFill>
                        <pic:spPr bwMode="auto">
                          <a:xfrm>
                            <a:off x="0" y="0"/>
                            <a:ext cx="5646420" cy="5646420"/>
                          </a:xfrm>
                          <a:prstGeom prst="rect">
                            <a:avLst/>
                          </a:prstGeom>
                          <a:noFill/>
                          <a:ln w="9525">
                            <a:noFill/>
                            <a:headEnd/>
                            <a:tailEnd/>
                          </a:ln>
                        </pic:spPr>
                      </pic:pic>
                    </a:graphicData>
                  </a:graphic>
                </wp:inline>
              </w:drawing>
            </w:r>
            <w:commentRangeEnd w:id="68"/>
            <w:r w:rsidR="001B6B7E">
              <w:rPr>
                <w:rStyle w:val="CommentReference"/>
              </w:rPr>
              <w:commentReference w:id="68"/>
            </w:r>
          </w:p>
          <w:p w14:paraId="2117800A" w14:textId="77777777" w:rsidR="00326662" w:rsidRDefault="00000000">
            <w:pPr>
              <w:pStyle w:val="ImageCaption"/>
              <w:spacing w:before="200"/>
            </w:pPr>
            <w:r>
              <w:t>Figure 2: Location of the field</w:t>
            </w:r>
            <w:del w:id="69" w:author="Bede Davies" w:date="2024-11-14T10:06:00Z" w16du:dateUtc="2024-11-14T09:06:00Z">
              <w:r w:rsidDel="001B6B7E">
                <w:delText>trip</w:delText>
              </w:r>
            </w:del>
            <w:r>
              <w:t xml:space="preserve"> campaign that </w:t>
            </w:r>
            <w:proofErr w:type="spellStart"/>
            <w:r>
              <w:t>occured</w:t>
            </w:r>
            <w:proofErr w:type="spellEnd"/>
            <w:r>
              <w:t xml:space="preserve"> </w:t>
            </w:r>
            <w:proofErr w:type="gramStart"/>
            <w:r>
              <w:t>in</w:t>
            </w:r>
            <w:proofErr w:type="gramEnd"/>
            <w:r>
              <w:t xml:space="preserve"> the 10th of September 2021. The red line surround the intertidal zone (Zone between High tide and low tide, that is totally emerged at low tide) and the dark green polygon indicate the extent of the seagrass meadow. Green dots indicate location of quadrat picture over unimpacted seagrasses (i.e. showing a green color on the field) while red dots indicate location of quadrat took over impacted seagrasses (i.e. showing a dark color on the field).</w:t>
            </w:r>
          </w:p>
        </w:tc>
        <w:bookmarkEnd w:id="66"/>
      </w:tr>
    </w:tbl>
    <w:bookmarkEnd w:id="67"/>
    <w:p w14:paraId="6342C25D" w14:textId="77777777" w:rsidR="00326662" w:rsidRDefault="00000000">
      <w:pPr>
        <w:pStyle w:val="BodyText"/>
      </w:pPr>
      <w:r>
        <w:t>A field campaign, aiming to map a seagrass meadow near Quiberon (France : 46°57’32.0”N, 2°10’37.0”W), occurred on the 10th of September 2021 (</w:t>
      </w:r>
      <w:hyperlink w:anchor="fig-quiberonMap">
        <w:r w:rsidR="00326662">
          <w:rPr>
            <w:rStyle w:val="Hyperlink"/>
          </w:rPr>
          <w:t>Figure 2</w:t>
        </w:r>
      </w:hyperlink>
      <w:r>
        <w:t xml:space="preserve">). During </w:t>
      </w:r>
      <w:r>
        <w:lastRenderedPageBreak/>
        <w:t>this field campaign, significant darkening of seagrass leaves was observed over large areas of the meadow alongside normal green seagrass (</w:t>
      </w:r>
      <w:hyperlink w:anchor="fig-QuiberonImg">
        <w:r w:rsidR="00326662">
          <w:rPr>
            <w:rStyle w:val="Hyperlink"/>
          </w:rPr>
          <w:t>Figure 3</w:t>
        </w:r>
      </w:hyperlink>
      <w:r>
        <w:t>). A total of 96 Quadrat Points (QPs) were collected in the form of georeferenced quadrat images across the meadow. These images allow for visual assessment of vegetation type, density, and coloration. The images were then divided into two categories: green seagrasses (henceforth: QPs unimpacted) and darkened seagrasses (henceforth: QPs impacted), based on a visual estimation of the leaf coloration (</w:t>
      </w:r>
      <w:hyperlink w:anchor="fig-quiberonMap">
        <w:r w:rsidR="00326662">
          <w:rPr>
            <w:rStyle w:val="Hyperlink"/>
          </w:rPr>
          <w:t>Figure 2</w:t>
        </w:r>
      </w:hyperlink>
      <w:r>
        <w:t>).</w:t>
      </w:r>
    </w:p>
    <w:tbl>
      <w:tblPr>
        <w:tblStyle w:val="Table"/>
        <w:tblW w:w="5000" w:type="pct"/>
        <w:tblLayout w:type="fixed"/>
        <w:tblLook w:val="0000" w:firstRow="0" w:lastRow="0" w:firstColumn="0" w:lastColumn="0" w:noHBand="0" w:noVBand="0"/>
      </w:tblPr>
      <w:tblGrid>
        <w:gridCol w:w="9360"/>
      </w:tblGrid>
      <w:tr w:rsidR="00326662" w14:paraId="7E651F0D" w14:textId="77777777">
        <w:tc>
          <w:tcPr>
            <w:tcW w:w="7920" w:type="dxa"/>
          </w:tcPr>
          <w:p w14:paraId="132751A4" w14:textId="77777777" w:rsidR="00326662" w:rsidRDefault="00000000">
            <w:pPr>
              <w:pStyle w:val="Compact"/>
              <w:jc w:val="center"/>
            </w:pPr>
            <w:bookmarkStart w:id="70" w:name="fig-QuiberonImg"/>
            <w:bookmarkStart w:id="71" w:name="cell-fig-QuiberonImg"/>
            <w:r>
              <w:rPr>
                <w:noProof/>
              </w:rPr>
              <w:drawing>
                <wp:inline distT="0" distB="0" distL="0" distR="0" wp14:anchorId="1313F207" wp14:editId="7F38B541">
                  <wp:extent cx="5646420" cy="373311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s/Low_res/img_Quiberon.png"/>
                          <pic:cNvPicPr>
                            <a:picLocks noChangeAspect="1" noChangeArrowheads="1"/>
                          </pic:cNvPicPr>
                        </pic:nvPicPr>
                        <pic:blipFill>
                          <a:blip r:embed="rId13"/>
                          <a:stretch>
                            <a:fillRect/>
                          </a:stretch>
                        </pic:blipFill>
                        <pic:spPr bwMode="auto">
                          <a:xfrm>
                            <a:off x="0" y="0"/>
                            <a:ext cx="5646420" cy="3733115"/>
                          </a:xfrm>
                          <a:prstGeom prst="rect">
                            <a:avLst/>
                          </a:prstGeom>
                          <a:noFill/>
                          <a:ln w="9525">
                            <a:noFill/>
                            <a:headEnd/>
                            <a:tailEnd/>
                          </a:ln>
                        </pic:spPr>
                      </pic:pic>
                    </a:graphicData>
                  </a:graphic>
                </wp:inline>
              </w:drawing>
            </w:r>
          </w:p>
          <w:p w14:paraId="6673AA9C" w14:textId="77777777" w:rsidR="00326662" w:rsidRDefault="00000000">
            <w:pPr>
              <w:pStyle w:val="ImageCaption"/>
              <w:spacing w:before="200"/>
            </w:pPr>
            <w:r>
              <w:t>Figure 3: Illustrations of the two coloration of seagrasses observed in the field. A: View of a green meadow; B: Quadrat images of green seagrasses; C: Quadrat images of darkened seagrasses; D: View of darkened area of the meadow. All images were taken on September 10th, 2021, in Quiberon.</w:t>
            </w:r>
          </w:p>
        </w:tc>
        <w:bookmarkEnd w:id="70"/>
      </w:tr>
    </w:tbl>
    <w:p w14:paraId="086523A5" w14:textId="77777777" w:rsidR="00326662" w:rsidRDefault="00000000">
      <w:pPr>
        <w:pStyle w:val="Heading3"/>
      </w:pPr>
      <w:bookmarkStart w:id="72" w:name="Xf8a39f1f3d5cbc00f14159fcb612e83e416b551"/>
      <w:bookmarkEnd w:id="65"/>
      <w:bookmarkEnd w:id="71"/>
      <w:r>
        <w:t>2.2.2 Temperature Data and identification of heatwaves</w:t>
      </w:r>
    </w:p>
    <w:p w14:paraId="2B153667" w14:textId="77777777" w:rsidR="00326662" w:rsidRDefault="00000000">
      <w:pPr>
        <w:pStyle w:val="Heading4"/>
      </w:pPr>
      <w:bookmarkStart w:id="73" w:name="air-temperature"/>
      <w:r>
        <w:t>2.2.2.1 Air temperature</w:t>
      </w:r>
    </w:p>
    <w:p w14:paraId="67D4CF81" w14:textId="77777777" w:rsidR="00326662" w:rsidRDefault="00000000">
      <w:pPr>
        <w:pStyle w:val="FirstParagraph"/>
      </w:pPr>
      <w:r>
        <w:t xml:space="preserve">Since January 1, 2024, Meteo France weather data has been freely and openly accessible. Hourly air temperature data (°C) was retrieved using a </w:t>
      </w:r>
      <w:hyperlink r:id="rId14">
        <w:r w:rsidR="00326662">
          <w:rPr>
            <w:rStyle w:val="Hyperlink"/>
          </w:rPr>
          <w:t>custom script</w:t>
        </w:r>
      </w:hyperlink>
      <w:r>
        <w:t xml:space="preserve"> as no API was </w:t>
      </w:r>
      <w:r>
        <w:lastRenderedPageBreak/>
        <w:t>available at the time of this study. Data form the nearest weather station of our study site (Lorient-Lann Bihoue, 47°45’46”N 3°26’11”W) were downloaded. For this station more than 395000 observation since the 1st of February 1952 were available.</w:t>
      </w:r>
    </w:p>
    <w:p w14:paraId="6A2969A4" w14:textId="6B30BAF0" w:rsidR="00326662" w:rsidDel="001C1460" w:rsidRDefault="00000000">
      <w:pPr>
        <w:pStyle w:val="BodyText"/>
        <w:rPr>
          <w:del w:id="74" w:author="Bede Davies" w:date="2024-11-14T09:41:00Z" w16du:dateUtc="2024-11-14T08:41:00Z"/>
        </w:rPr>
      </w:pPr>
      <w:del w:id="75" w:author="Bede Davies" w:date="2024-11-14T09:41:00Z" w16du:dateUtc="2024-11-14T08:41:00Z">
        <w:r w:rsidDel="001C1460">
          <w:delText>Heatwave detection was performed using the HeatwaveR package in R (Schlegel and Smit, 2018). This package utilizes the methodology proposed by Hobday et al. (2016) to detect heatwave events. The climatology for the year was computed using the temperature time series. An event was considered a heatwave each time the temperature exceeded the 90th percentile of the climatology for three consecutive days. The severity of each event has been assessed using the methodology proposed by Hobday et al. (2018).</w:delText>
        </w:r>
      </w:del>
    </w:p>
    <w:p w14:paraId="51C6BA5A" w14:textId="77777777" w:rsidR="00326662" w:rsidRDefault="00000000">
      <w:pPr>
        <w:pStyle w:val="Heading4"/>
      </w:pPr>
      <w:bookmarkStart w:id="76" w:name="water-temperature"/>
      <w:bookmarkEnd w:id="73"/>
      <w:r>
        <w:t>2.2.2.2 Water temperature</w:t>
      </w:r>
    </w:p>
    <w:p w14:paraId="4FE7FF9D" w14:textId="42767201" w:rsidR="00326662" w:rsidRDefault="00000000">
      <w:pPr>
        <w:pStyle w:val="FirstParagraph"/>
        <w:rPr>
          <w:ins w:id="77" w:author="Bede Davies" w:date="2024-11-14T09:41:00Z" w16du:dateUtc="2024-11-14T08:41:00Z"/>
        </w:rPr>
      </w:pPr>
      <w:r>
        <w:t xml:space="preserve">SST data from the Copernicus CMEMS platform were downloaded for the French coast near Quiberon (47°29′03″N, 3°07′09″W), covering 1982-2022 (CMEMS, 2024). Only pixels within an area of 2700 km² around Quiberon, Brittany, France (47°29′03″N, 3°07′09″W) were extracted and analyzed. This area was large enough to minimize missing values caused by cloud cover, yet small enough to avoid being influenced by the stability of offshore SST. </w:t>
      </w:r>
      <w:del w:id="78" w:author="Bede Davies" w:date="2024-11-14T09:42:00Z" w16du:dateUtc="2024-11-14T08:42:00Z">
        <w:r w:rsidDel="001C1460">
          <w:delText>A daily average was computed for the time series, and the HeatwaveR package (Schlegel and Smit, 2018) was used to compute SST climatology and detect SST events using the same method as air temperature event detection.</w:delText>
        </w:r>
      </w:del>
    </w:p>
    <w:p w14:paraId="40CEE195" w14:textId="7E33D5F9" w:rsidR="001C1460" w:rsidRPr="001C1460" w:rsidRDefault="001C1460" w:rsidP="001C1460">
      <w:pPr>
        <w:pStyle w:val="BodyText"/>
        <w:ind w:firstLine="0"/>
        <w:rPr>
          <w:ins w:id="79" w:author="Bede Davies" w:date="2024-11-14T09:41:00Z" w16du:dateUtc="2024-11-14T08:41:00Z"/>
        </w:rPr>
        <w:pPrChange w:id="80" w:author="Bede Davies" w:date="2024-11-14T09:41:00Z" w16du:dateUtc="2024-11-14T08:41:00Z">
          <w:pPr>
            <w:pStyle w:val="FirstParagraph"/>
          </w:pPr>
        </w:pPrChange>
      </w:pPr>
      <w:ins w:id="81" w:author="Bede Davies" w:date="2024-11-14T09:41:00Z" w16du:dateUtc="2024-11-14T08:41:00Z">
        <w:r>
          <w:t xml:space="preserve">Heatwave Detection and </w:t>
        </w:r>
      </w:ins>
      <w:ins w:id="82" w:author="Bede Davies" w:date="2024-11-14T09:42:00Z" w16du:dateUtc="2024-11-14T08:42:00Z">
        <w:r>
          <w:t>Characterization</w:t>
        </w:r>
      </w:ins>
    </w:p>
    <w:p w14:paraId="4CBD1039" w14:textId="3BA15882" w:rsidR="001C1460" w:rsidRDefault="001C1460" w:rsidP="001C1460">
      <w:pPr>
        <w:pStyle w:val="BodyText"/>
        <w:rPr>
          <w:ins w:id="83" w:author="Bede Davies" w:date="2024-11-14T09:41:00Z" w16du:dateUtc="2024-11-14T08:41:00Z"/>
        </w:rPr>
      </w:pPr>
      <w:commentRangeStart w:id="84"/>
      <w:ins w:id="85" w:author="Bede Davies" w:date="2024-11-14T09:41:00Z" w16du:dateUtc="2024-11-14T08:41:00Z">
        <w:r>
          <w:t xml:space="preserve">Heatwave detection </w:t>
        </w:r>
      </w:ins>
      <w:ins w:id="86" w:author="Bede Davies" w:date="2024-11-14T09:42:00Z" w16du:dateUtc="2024-11-14T08:42:00Z">
        <w:r>
          <w:t xml:space="preserve">and characterization </w:t>
        </w:r>
      </w:ins>
      <w:ins w:id="87" w:author="Bede Davies" w:date="2024-11-14T09:41:00Z" w16du:dateUtc="2024-11-14T08:41:00Z">
        <w:r>
          <w:t xml:space="preserve">was performed using the </w:t>
        </w:r>
        <w:proofErr w:type="spellStart"/>
        <w:r>
          <w:t>HeatwaveR</w:t>
        </w:r>
        <w:proofErr w:type="spellEnd"/>
        <w:r>
          <w:t xml:space="preserve"> package in R (Schlegel and Smit, 2018). This package utilizes the methodology proposed by Hobday et al. (2016) to detect heatwave events. The climatology for the year was computed using the </w:t>
        </w:r>
      </w:ins>
      <w:ins w:id="88" w:author="Bede Davies" w:date="2024-11-14T09:42:00Z" w16du:dateUtc="2024-11-14T08:42:00Z">
        <w:r>
          <w:t xml:space="preserve">air and water </w:t>
        </w:r>
      </w:ins>
      <w:ins w:id="89" w:author="Bede Davies" w:date="2024-11-14T09:41:00Z" w16du:dateUtc="2024-11-14T08:41:00Z">
        <w:r>
          <w:t xml:space="preserve">temperature time series. An event was considered a heatwave each time the temperature exceeded the 90th percentile of the climatology for </w:t>
        </w:r>
        <w:r>
          <w:lastRenderedPageBreak/>
          <w:t>three consecutive days. The severity of each event has been assessed using the methodology proposed by Hobday et al. (2018).</w:t>
        </w:r>
      </w:ins>
      <w:commentRangeEnd w:id="84"/>
      <w:ins w:id="90" w:author="Bede Davies" w:date="2024-11-14T09:43:00Z" w16du:dateUtc="2024-11-14T08:43:00Z">
        <w:r w:rsidR="00DF304B">
          <w:rPr>
            <w:rStyle w:val="CommentReference"/>
          </w:rPr>
          <w:commentReference w:id="84"/>
        </w:r>
      </w:ins>
    </w:p>
    <w:p w14:paraId="45B168E6" w14:textId="77777777" w:rsidR="001C1460" w:rsidRDefault="001C1460" w:rsidP="001C1460">
      <w:pPr>
        <w:pStyle w:val="BodyText"/>
        <w:ind w:firstLine="0"/>
        <w:rPr>
          <w:ins w:id="91" w:author="Bede Davies" w:date="2024-11-14T09:41:00Z" w16du:dateUtc="2024-11-14T08:41:00Z"/>
        </w:rPr>
        <w:pPrChange w:id="92" w:author="Bede Davies" w:date="2024-11-14T09:41:00Z" w16du:dateUtc="2024-11-14T08:41:00Z">
          <w:pPr>
            <w:pStyle w:val="BodyText"/>
          </w:pPr>
        </w:pPrChange>
      </w:pPr>
    </w:p>
    <w:p w14:paraId="36C8BF8F" w14:textId="77777777" w:rsidR="001C1460" w:rsidRPr="001C1460" w:rsidRDefault="001C1460" w:rsidP="001C1460">
      <w:pPr>
        <w:pStyle w:val="BodyText"/>
        <w:pPrChange w:id="93" w:author="Bede Davies" w:date="2024-11-14T09:41:00Z" w16du:dateUtc="2024-11-14T08:41:00Z">
          <w:pPr>
            <w:pStyle w:val="FirstParagraph"/>
          </w:pPr>
        </w:pPrChange>
      </w:pPr>
    </w:p>
    <w:p w14:paraId="1245F99D" w14:textId="77777777" w:rsidR="00326662" w:rsidRDefault="00000000">
      <w:pPr>
        <w:pStyle w:val="Heading3"/>
      </w:pPr>
      <w:bookmarkStart w:id="94" w:name="satellite-observation"/>
      <w:bookmarkEnd w:id="72"/>
      <w:bookmarkEnd w:id="76"/>
      <w:r>
        <w:t>2.2.3 Satellite Observation</w:t>
      </w:r>
    </w:p>
    <w:p w14:paraId="2185ABC4" w14:textId="77777777" w:rsidR="00326662" w:rsidRDefault="00000000">
      <w:pPr>
        <w:pStyle w:val="FirstParagraph"/>
      </w:pPr>
      <w:r>
        <w:t>Three Sentinel-2 images covering the field campaign site (</w:t>
      </w:r>
      <w:hyperlink w:anchor="fig-quiberonMap">
        <w:r w:rsidR="00326662">
          <w:rPr>
            <w:rStyle w:val="Hyperlink"/>
          </w:rPr>
          <w:t>Figure 2</w:t>
        </w:r>
      </w:hyperlink>
      <w:r>
        <w:t>) were downloaded from the Copernicus platform (European Space Agency, 2024a). The first image was taken before the heatwave event on September 1, 2021, the second image during the event on September 6, 2021 and the last one, one month after the events on the 8th of October 2021. Images were acquired as Level-2 product, in surface reflectance, and were orthorectified and atmospherically corrected to account for the effects of the atmosphere on reflectance values (European Space Agency, 2024b).</w:t>
      </w:r>
    </w:p>
    <w:p w14:paraId="201B4CBB" w14:textId="77777777" w:rsidR="00326662" w:rsidRDefault="00000000">
      <w:pPr>
        <w:pStyle w:val="BodyText"/>
        <w:rPr>
          <w:ins w:id="95" w:author="Bede Davies" w:date="2024-11-13T16:42:00Z" w16du:dateUtc="2024-11-13T15:42:00Z"/>
        </w:rPr>
      </w:pPr>
      <w:r>
        <w:t>Reflectance value of each QPs (</w:t>
      </w:r>
      <w:hyperlink w:anchor="fig-quiberonMap">
        <w:r w:rsidR="00326662">
          <w:rPr>
            <w:rStyle w:val="Hyperlink"/>
          </w:rPr>
          <w:t>Figure 2</w:t>
        </w:r>
      </w:hyperlink>
      <w:r>
        <w:t>) were extracted and compared before and after the heatwave event.</w:t>
      </w:r>
    </w:p>
    <w:p w14:paraId="45F02BAE" w14:textId="47288059" w:rsidR="00191AD6" w:rsidRDefault="00191AD6" w:rsidP="00191AD6">
      <w:pPr>
        <w:pStyle w:val="BodyText"/>
        <w:rPr>
          <w:ins w:id="96" w:author="Bede Davies" w:date="2024-11-13T16:42:00Z" w16du:dateUtc="2024-11-13T15:42:00Z"/>
        </w:rPr>
      </w:pPr>
      <w:ins w:id="97" w:author="Bede Davies" w:date="2024-11-13T16:42:00Z" w16du:dateUtc="2024-11-13T15:42:00Z">
        <w:r>
          <w:t xml:space="preserve">A remote </w:t>
        </w:r>
        <w:proofErr w:type="gramStart"/>
        <w:r>
          <w:t>sensing based</w:t>
        </w:r>
        <w:proofErr w:type="gramEnd"/>
        <w:r>
          <w:t xml:space="preserve"> seagrass covers estimatio</w:t>
        </w:r>
      </w:ins>
      <w:ins w:id="98" w:author="Bede Davies" w:date="2024-11-14T09:43:00Z" w16du:dateUtc="2024-11-14T08:43:00Z">
        <w:r w:rsidR="00DF304B">
          <w:t>n</w:t>
        </w:r>
      </w:ins>
      <w:ins w:id="99" w:author="Bede Davies" w:date="2024-11-13T16:42:00Z" w16du:dateUtc="2024-11-13T15:42:00Z">
        <w:r>
          <w:t xml:space="preserve">, the SC developed by Zoffoli et al. (2020), </w:t>
        </w:r>
      </w:ins>
      <w:ins w:id="100" w:author="Bede Davies" w:date="2024-11-14T09:43:00Z" w16du:dateUtc="2024-11-14T08:43:00Z">
        <w:r w:rsidR="00DF304B">
          <w:t>was</w:t>
        </w:r>
      </w:ins>
      <w:ins w:id="101" w:author="Bede Davies" w:date="2024-11-13T16:42:00Z" w16du:dateUtc="2024-11-13T15:42:00Z">
        <w:r>
          <w:t xml:space="preserve"> used to retrieve the proportion of seagrass of Sentinel-2 pixel (</w:t>
        </w:r>
        <w:r>
          <w:fldChar w:fldCharType="begin"/>
        </w:r>
        <w:r>
          <w:instrText>HYPERLINK \l "eq-spc" \h</w:instrText>
        </w:r>
        <w:r>
          <w:fldChar w:fldCharType="separate"/>
        </w:r>
        <w:r>
          <w:rPr>
            <w:rStyle w:val="Hyperlink"/>
          </w:rPr>
          <w:t>Equation 3</w:t>
        </w:r>
        <w:r>
          <w:rPr>
            <w:rStyle w:val="Hyperlink"/>
          </w:rPr>
          <w:fldChar w:fldCharType="end"/>
        </w:r>
        <w:r>
          <w:t>):</w:t>
        </w:r>
      </w:ins>
    </w:p>
    <w:p w14:paraId="29C893B2" w14:textId="77777777" w:rsidR="00191AD6" w:rsidRDefault="00191AD6" w:rsidP="00191AD6">
      <w:pPr>
        <w:pStyle w:val="BodyText"/>
        <w:rPr>
          <w:ins w:id="102" w:author="Bede Davies" w:date="2024-11-13T16:42:00Z" w16du:dateUtc="2024-11-13T15:42:00Z"/>
        </w:rPr>
      </w:pPr>
      <m:oMathPara>
        <m:oMathParaPr>
          <m:jc m:val="center"/>
        </m:oMathParaPr>
        <m:oMath>
          <m:r>
            <w:ins w:id="103" w:author="Bede Davies" w:date="2024-11-13T16:42:00Z" w16du:dateUtc="2024-11-13T15:42:00Z">
              <w:rPr>
                <w:rFonts w:ascii="Cambria Math" w:hAnsi="Cambria Math"/>
              </w:rPr>
              <m:t>SC</m:t>
            </w:ins>
          </m:r>
          <m:r>
            <w:ins w:id="104" w:author="Bede Davies" w:date="2024-11-13T16:42:00Z" w16du:dateUtc="2024-11-13T15:42:00Z">
              <m:rPr>
                <m:sty m:val="p"/>
              </m:rPr>
              <w:rPr>
                <w:rFonts w:ascii="Cambria Math" w:hAnsi="Cambria Math"/>
              </w:rPr>
              <m:t>=</m:t>
            </w:ins>
          </m:r>
          <m:r>
            <w:ins w:id="105" w:author="Bede Davies" w:date="2024-11-13T16:42:00Z" w16du:dateUtc="2024-11-13T15:42:00Z">
              <w:rPr>
                <w:rFonts w:ascii="Cambria Math" w:hAnsi="Cambria Math"/>
              </w:rPr>
              <m:t>172.06</m:t>
            </w:ins>
          </m:r>
          <m:r>
            <w:ins w:id="106" w:author="Bede Davies" w:date="2024-11-13T16:42:00Z" w16du:dateUtc="2024-11-13T15:42:00Z">
              <m:rPr>
                <m:sty m:val="p"/>
              </m:rPr>
              <w:rPr>
                <w:rFonts w:ascii="Cambria Math" w:hAnsi="Cambria Math"/>
              </w:rPr>
              <m:t>×</m:t>
            </w:ins>
          </m:r>
          <m:r>
            <w:ins w:id="107" w:author="Bede Davies" w:date="2024-11-13T16:42:00Z" w16du:dateUtc="2024-11-13T15:42:00Z">
              <w:rPr>
                <w:rFonts w:ascii="Cambria Math" w:hAnsi="Cambria Math"/>
              </w:rPr>
              <m:t>NDVI</m:t>
            </w:ins>
          </m:r>
          <m:r>
            <w:ins w:id="108" w:author="Bede Davies" w:date="2024-11-13T16:42:00Z" w16du:dateUtc="2024-11-13T15:42:00Z">
              <m:rPr>
                <m:sty m:val="p"/>
              </m:rPr>
              <w:rPr>
                <w:rFonts w:ascii="Cambria Math" w:hAnsi="Cambria Math"/>
              </w:rPr>
              <m:t>-</m:t>
            </w:ins>
          </m:r>
          <m:r>
            <w:ins w:id="109" w:author="Bede Davies" w:date="2024-11-13T16:42:00Z" w16du:dateUtc="2024-11-13T15:42:00Z">
              <w:rPr>
                <w:rFonts w:ascii="Cambria Math" w:hAnsi="Cambria Math"/>
              </w:rPr>
              <m:t>22.18  </m:t>
            </w:ins>
          </m:r>
          <m:d>
            <m:dPr>
              <m:ctrlPr>
                <w:ins w:id="110" w:author="Bede Davies" w:date="2024-11-13T16:42:00Z" w16du:dateUtc="2024-11-13T15:42:00Z">
                  <w:rPr>
                    <w:rFonts w:ascii="Cambria Math" w:hAnsi="Cambria Math"/>
                  </w:rPr>
                </w:ins>
              </m:ctrlPr>
            </m:dPr>
            <m:e>
              <m:r>
                <w:ins w:id="111" w:author="Bede Davies" w:date="2024-11-13T16:42:00Z" w16du:dateUtc="2024-11-13T15:42:00Z">
                  <w:rPr>
                    <w:rFonts w:ascii="Cambria Math" w:hAnsi="Cambria Math"/>
                  </w:rPr>
                  <m:t>3</m:t>
                </w:ins>
              </m:r>
            </m:e>
          </m:d>
        </m:oMath>
      </m:oMathPara>
    </w:p>
    <w:p w14:paraId="505ECFFF" w14:textId="77777777" w:rsidR="00191AD6" w:rsidRDefault="00191AD6">
      <w:pPr>
        <w:pStyle w:val="BodyText"/>
      </w:pPr>
    </w:p>
    <w:p w14:paraId="525B6332" w14:textId="77777777" w:rsidR="00326662" w:rsidRDefault="00000000">
      <w:pPr>
        <w:pStyle w:val="Heading3"/>
      </w:pPr>
      <w:bookmarkStart w:id="112" w:name="emersion-time-of-seagrasses"/>
      <w:bookmarkEnd w:id="94"/>
      <w:r>
        <w:t>2.2.4 Emersion Time of Seagrasses</w:t>
      </w:r>
    </w:p>
    <w:p w14:paraId="16F95706" w14:textId="77777777" w:rsidR="00326662" w:rsidRDefault="00000000">
      <w:pPr>
        <w:pStyle w:val="FirstParagraph"/>
      </w:pPr>
      <w:r>
        <w:t xml:space="preserve">To estimate the emersion time of seagrasses during low tide, bathymetric and tidal data were used. Bathymetry data for the Quiberon intertidal meadow were sourced from the “Service Hydrographique et Océanographique de la Marine” (SHOM, 2021). It corresponds to the Litto3D® product, which is a three-dimensional land-sea elevation database, accurately depicting the coastal terrain along certain regions of the French shores. It uses the NGF/IGN69 reference “zero”, which corresponds to the mean sea </w:t>
      </w:r>
      <w:r>
        <w:lastRenderedPageBreak/>
        <w:t>level recorded at the Marseille tide gauge between 1885 and 1897, commonly known as the “Terrestrial Altimetric Zero”.</w:t>
      </w:r>
    </w:p>
    <w:p w14:paraId="768C3D32" w14:textId="77777777" w:rsidR="00326662" w:rsidRDefault="00000000">
      <w:pPr>
        <w:pStyle w:val="BodyText"/>
      </w:pPr>
      <w:r>
        <w:t>Tidal data during the heatwave event were downloaded from the Intergovernmental Oceanographic Commission data portal (IOC, 2024), using measurements from the nearest tide gauge at Le Crouesty. In this dataset, the reference “zero” corresponds to the lowest astronomical tide, also known as the Hydrographic Zero.</w:t>
      </w:r>
    </w:p>
    <w:p w14:paraId="7D1493F5" w14:textId="77777777" w:rsidR="00326662" w:rsidRDefault="00000000">
      <w:pPr>
        <w:pStyle w:val="BodyText"/>
      </w:pPr>
      <w:r>
        <w:t>Before calculating the emersion time, both datasets were intercalibrated to a common altitude reference. This involved applying a correction factor to the Litto3D data to align it with the Hydrographic zero. SHOM annually publishes a document called “Références Altimétriques Marines” (RAM, Shom, 2022), which provides these correction factors for each seaport along the French coastline. For Le Crouesty port data from 2022, the correction factor was 2.85 m.</w:t>
      </w:r>
    </w:p>
    <w:p w14:paraId="197D1452" w14:textId="77777777" w:rsidR="00326662" w:rsidRDefault="00000000">
      <w:pPr>
        <w:pStyle w:val="BodyText"/>
        <w:rPr>
          <w:ins w:id="113" w:author="Bede Davies" w:date="2024-11-14T10:20:00Z" w16du:dateUtc="2024-11-14T09:20:00Z"/>
        </w:rPr>
      </w:pPr>
      <w:r>
        <w:t>Once aligned, the corrected elevation was compared to water height for each pixel and each time step during the heatwave event. The emersion time was then calculated as the daily total time each pixel remained exposed.</w:t>
      </w:r>
    </w:p>
    <w:p w14:paraId="5AE5C00E" w14:textId="77777777" w:rsidR="00B8608A" w:rsidRDefault="00B8608A">
      <w:pPr>
        <w:pStyle w:val="BodyText"/>
        <w:rPr>
          <w:ins w:id="114" w:author="Bede Davies" w:date="2024-11-14T10:20:00Z" w16du:dateUtc="2024-11-14T09:20:00Z"/>
        </w:rPr>
      </w:pPr>
    </w:p>
    <w:p w14:paraId="1B46BC6A" w14:textId="3F053DA9" w:rsidR="00B8608A" w:rsidRDefault="00B8608A">
      <w:pPr>
        <w:pStyle w:val="BodyText"/>
        <w:rPr>
          <w:ins w:id="115" w:author="Bede Davies" w:date="2024-11-14T10:20:00Z" w16du:dateUtc="2024-11-14T09:20:00Z"/>
        </w:rPr>
      </w:pPr>
      <w:commentRangeStart w:id="116"/>
      <w:ins w:id="117" w:author="Bede Davies" w:date="2024-11-14T10:20:00Z" w16du:dateUtc="2024-11-14T09:20:00Z">
        <w:r>
          <w:t>STATS</w:t>
        </w:r>
        <w:commentRangeEnd w:id="116"/>
        <w:r>
          <w:rPr>
            <w:rStyle w:val="CommentReference"/>
          </w:rPr>
          <w:commentReference w:id="116"/>
        </w:r>
        <w:r>
          <w:t>??????</w:t>
        </w:r>
      </w:ins>
    </w:p>
    <w:p w14:paraId="6AE033FC" w14:textId="28016E01" w:rsidR="0039102D" w:rsidRDefault="0039102D" w:rsidP="0039102D">
      <w:pPr>
        <w:pStyle w:val="BodyText"/>
        <w:ind w:firstLine="0"/>
        <w:pPrChange w:id="118" w:author="Bede Davies" w:date="2024-11-14T10:20:00Z" w16du:dateUtc="2024-11-14T09:20:00Z">
          <w:pPr>
            <w:pStyle w:val="BodyText"/>
          </w:pPr>
        </w:pPrChange>
      </w:pPr>
      <w:ins w:id="119" w:author="Bede Davies" w:date="2024-11-14T10:20:00Z" w16du:dateUtc="2024-11-14T09:20:00Z">
        <w:r>
          <w:t xml:space="preserve">General Linear Models </w:t>
        </w:r>
      </w:ins>
      <w:ins w:id="120" w:author="Bede Davies" w:date="2024-11-14T10:21:00Z" w16du:dateUtc="2024-11-14T09:21:00Z">
        <w:r>
          <w:t xml:space="preserve">(GLMs) were used to assess </w:t>
        </w:r>
        <w:r w:rsidR="0070143B">
          <w:t xml:space="preserve">relative </w:t>
        </w:r>
        <w:r>
          <w:t>differences over time in response variables</w:t>
        </w:r>
      </w:ins>
      <w:ins w:id="121" w:author="Bede Davies" w:date="2024-11-14T10:27:00Z" w16du:dateUtc="2024-11-14T09:27:00Z">
        <w:r w:rsidR="00FD63DD">
          <w:t xml:space="preserve"> (Spectral Indices)</w:t>
        </w:r>
      </w:ins>
      <w:ins w:id="122" w:author="Bede Davies" w:date="2024-11-14T10:21:00Z" w16du:dateUtc="2024-11-14T09:21:00Z">
        <w:r>
          <w:t xml:space="preserve"> with different treatments. </w:t>
        </w:r>
      </w:ins>
      <w:ins w:id="123" w:author="Bede Davies" w:date="2024-11-14T10:22:00Z" w16du:dateUtc="2024-11-14T09:22:00Z">
        <w:r w:rsidR="0070143B">
          <w:t>For analysis of relative changes in indices calculated from experimental spectra the relative change in index was modelled as function of</w:t>
        </w:r>
      </w:ins>
      <w:ins w:id="124" w:author="Bede Davies" w:date="2024-11-14T10:23:00Z" w16du:dateUtc="2024-11-14T09:23:00Z">
        <w:r w:rsidR="0070143B">
          <w:t xml:space="preserve"> Days (1-3: </w:t>
        </w:r>
      </w:ins>
      <w:ins w:id="125" w:author="Bede Davies" w:date="2024-11-14T10:26:00Z" w16du:dateUtc="2024-11-14T09:26:00Z">
        <w:r w:rsidR="00D24E8A">
          <w:t>Discrete</w:t>
        </w:r>
      </w:ins>
      <w:ins w:id="126" w:author="Bede Davies" w:date="2024-11-14T10:23:00Z" w16du:dateUtc="2024-11-14T09:23:00Z">
        <w:r w:rsidR="0070143B">
          <w:t xml:space="preserve">) with Run (1-3: Factor) and </w:t>
        </w:r>
        <w:r w:rsidR="00646D38">
          <w:t>Timeste</w:t>
        </w:r>
      </w:ins>
      <w:ins w:id="127" w:author="Bede Davies" w:date="2024-11-14T10:24:00Z" w16du:dateUtc="2024-11-14T09:24:00Z">
        <w:r w:rsidR="00646D38">
          <w:t xml:space="preserve">p within Run (1-6: Factor) as cross random factors. </w:t>
        </w:r>
      </w:ins>
      <w:ins w:id="128" w:author="Bede Davies" w:date="2024-11-14T10:25:00Z" w16du:dateUtc="2024-11-14T09:25:00Z">
        <w:r w:rsidR="00AC1E99">
          <w:t xml:space="preserve">Satellite derived indices were modelled as function of </w:t>
        </w:r>
        <w:r w:rsidR="00D24E8A">
          <w:t>Date</w:t>
        </w:r>
      </w:ins>
      <w:ins w:id="129" w:author="Bede Davies" w:date="2024-11-14T10:26:00Z" w16du:dateUtc="2024-11-14T09:26:00Z">
        <w:r w:rsidR="00D24E8A">
          <w:t xml:space="preserve"> (1-3: Discrete)</w:t>
        </w:r>
      </w:ins>
      <w:ins w:id="130" w:author="Bede Davies" w:date="2024-11-14T10:25:00Z" w16du:dateUtc="2024-11-14T09:25:00Z">
        <w:r w:rsidR="00D24E8A">
          <w:t xml:space="preserve"> and Tre</w:t>
        </w:r>
      </w:ins>
      <w:ins w:id="131" w:author="Bede Davies" w:date="2024-11-14T10:26:00Z" w16du:dateUtc="2024-11-14T09:26:00Z">
        <w:r w:rsidR="00D24E8A">
          <w:t xml:space="preserve">atment (Impacted vs Unimpacted: Categorical). </w:t>
        </w:r>
      </w:ins>
      <w:ins w:id="132" w:author="Bede Davies" w:date="2024-11-14T10:27:00Z" w16du:dateUtc="2024-11-14T09:27:00Z">
        <w:r w:rsidR="00FD63DD">
          <w:t>A General Additive Model (GAM) was used to assess the relationship between relative</w:t>
        </w:r>
      </w:ins>
      <w:ins w:id="133" w:author="Bede Davies" w:date="2024-11-14T10:28:00Z" w16du:dateUtc="2024-11-14T09:28:00Z">
        <w:r w:rsidR="00FD63DD">
          <w:t xml:space="preserve"> SDI change with emersion time. SDI was modelled as function of </w:t>
        </w:r>
        <w:r w:rsidR="00FD63DD">
          <w:lastRenderedPageBreak/>
          <w:t xml:space="preserve">emersion time with </w:t>
        </w:r>
      </w:ins>
      <w:ins w:id="134" w:author="Bede Davies" w:date="2024-11-14T10:29:00Z" w16du:dateUtc="2024-11-14T09:29:00Z">
        <w:r w:rsidR="00246341">
          <w:t xml:space="preserve">a basis spline. </w:t>
        </w:r>
        <w:r w:rsidR="00632120">
          <w:t>All model</w:t>
        </w:r>
      </w:ins>
      <w:ins w:id="135" w:author="Bede Davies" w:date="2024-11-14T10:30:00Z" w16du:dateUtc="2024-11-14T09:30:00Z">
        <w:r w:rsidR="00632120">
          <w:t xml:space="preserve"> parameters were estimated with a Bayesian framework using the </w:t>
        </w:r>
        <w:r w:rsidR="00700B3F">
          <w:t>“brms” and “</w:t>
        </w:r>
        <w:proofErr w:type="spellStart"/>
        <w:r w:rsidR="00700B3F">
          <w:t>RStan</w:t>
        </w:r>
        <w:proofErr w:type="spellEnd"/>
        <w:r w:rsidR="00700B3F">
          <w:t xml:space="preserve">” packages in R to leverage the stan </w:t>
        </w:r>
        <w:commentRangeStart w:id="136"/>
        <w:r w:rsidR="00700B3F">
          <w:t>language</w:t>
        </w:r>
      </w:ins>
      <w:commentRangeEnd w:id="136"/>
      <w:ins w:id="137" w:author="Bede Davies" w:date="2024-11-14T10:31:00Z" w16du:dateUtc="2024-11-14T09:31:00Z">
        <w:r w:rsidR="00531196">
          <w:rPr>
            <w:rStyle w:val="CommentReference"/>
          </w:rPr>
          <w:commentReference w:id="136"/>
        </w:r>
      </w:ins>
      <w:ins w:id="138" w:author="Bede Davies" w:date="2024-11-14T10:30:00Z" w16du:dateUtc="2024-11-14T09:30:00Z">
        <w:r w:rsidR="00700B3F">
          <w:t xml:space="preserve"> (</w:t>
        </w:r>
      </w:ins>
      <w:ins w:id="139" w:author="Bede Davies" w:date="2024-11-14T10:31:00Z" w16du:dateUtc="2024-11-14T09:31:00Z">
        <w:r w:rsidR="00531196">
          <w:t xml:space="preserve">Cite in </w:t>
        </w:r>
      </w:ins>
      <w:ins w:id="140" w:author="Bede Davies" w:date="2024-11-14T10:32:00Z" w16du:dateUtc="2024-11-14T09:32:00Z">
        <w:r w:rsidR="00531196">
          <w:t>comment</w:t>
        </w:r>
      </w:ins>
      <w:ins w:id="141" w:author="Bede Davies" w:date="2024-11-14T10:30:00Z" w16du:dateUtc="2024-11-14T09:30:00Z">
        <w:r w:rsidR="00700B3F">
          <w:t>).</w:t>
        </w:r>
      </w:ins>
      <w:ins w:id="142" w:author="Bede Davies" w:date="2024-11-14T10:31:00Z">
        <w:r w:rsidR="004F082D" w:rsidRPr="004F082D">
          <w:t xml:space="preserve"> The response variable</w:t>
        </w:r>
      </w:ins>
      <w:ins w:id="143" w:author="Bede Davies" w:date="2024-11-14T10:31:00Z" w16du:dateUtc="2024-11-14T09:31:00Z">
        <w:r w:rsidR="004F082D">
          <w:t>s</w:t>
        </w:r>
      </w:ins>
      <w:ins w:id="144" w:author="Bede Davies" w:date="2024-11-14T10:31:00Z">
        <w:r w:rsidR="004F082D" w:rsidRPr="004F082D">
          <w:t xml:space="preserve"> w</w:t>
        </w:r>
      </w:ins>
      <w:ins w:id="145" w:author="Bede Davies" w:date="2024-11-14T10:31:00Z" w16du:dateUtc="2024-11-14T09:31:00Z">
        <w:r w:rsidR="004F082D">
          <w:t>ere</w:t>
        </w:r>
      </w:ins>
      <w:ins w:id="146" w:author="Bede Davies" w:date="2024-11-14T10:31:00Z">
        <w:r w:rsidR="004F082D" w:rsidRPr="004F082D">
          <w:t xml:space="preserve"> modelled assuming a </w:t>
        </w:r>
      </w:ins>
      <w:ins w:id="147" w:author="Bede Davies" w:date="2024-11-14T10:31:00Z" w16du:dateUtc="2024-11-14T09:31:00Z">
        <w:r w:rsidR="004F082D">
          <w:t>Gaussian</w:t>
        </w:r>
      </w:ins>
      <w:ins w:id="148" w:author="Bede Davies" w:date="2024-11-14T10:31:00Z">
        <w:r w:rsidR="004F082D" w:rsidRPr="004F082D">
          <w:t xml:space="preserve"> distribution, with weakly informative priors (Student-</w:t>
        </w:r>
        <w:proofErr w:type="gramStart"/>
        <w:r w:rsidR="004F082D" w:rsidRPr="004F082D">
          <w:t>T(</w:t>
        </w:r>
        <w:proofErr w:type="gramEnd"/>
        <w:r w:rsidR="004F082D" w:rsidRPr="004F082D">
          <w:t>3,0,2.5)). Model parameters were estimated using Markov Chain Monte Carlo (MCMC) sampling, with 4 chains of 5000 iterations and a warm-up of 500.</w:t>
        </w:r>
      </w:ins>
    </w:p>
    <w:p w14:paraId="6E813A12" w14:textId="77777777" w:rsidR="00326662" w:rsidRDefault="00000000">
      <w:pPr>
        <w:pStyle w:val="Heading1"/>
      </w:pPr>
      <w:bookmarkStart w:id="149" w:name="results"/>
      <w:bookmarkEnd w:id="11"/>
      <w:bookmarkEnd w:id="64"/>
      <w:bookmarkEnd w:id="112"/>
      <w:r>
        <w:t>3. Results</w:t>
      </w:r>
    </w:p>
    <w:p w14:paraId="6E9DABCA" w14:textId="77777777" w:rsidR="00326662" w:rsidRDefault="00000000">
      <w:pPr>
        <w:pStyle w:val="Heading2"/>
      </w:pPr>
      <w:bookmarkStart w:id="150" w:name="laboratory-experiment-1"/>
      <w:r>
        <w:t>3.1 Laboratory Experiment</w:t>
      </w:r>
    </w:p>
    <w:p w14:paraId="31D449C3" w14:textId="77777777" w:rsidR="00326662" w:rsidRDefault="00000000">
      <w:pPr>
        <w:pStyle w:val="Heading3"/>
      </w:pPr>
      <w:bookmarkStart w:id="151" w:name="spectral-inspection"/>
      <w:r>
        <w:t>3.1.1 Spectral inspection</w:t>
      </w:r>
    </w:p>
    <w:p w14:paraId="381E8E8A" w14:textId="2FE2A8CD" w:rsidR="00326662" w:rsidRDefault="00000000">
      <w:pPr>
        <w:pStyle w:val="FirstParagraph"/>
      </w:pPr>
      <w:r>
        <w:t>In the Control group, reflectance remained relatively stable over time, with only minimal changes in magnitude and spectral features (</w:t>
      </w:r>
      <w:hyperlink w:anchor="fig-Exp_Spectra">
        <w:r w:rsidR="00326662">
          <w:rPr>
            <w:rStyle w:val="Hyperlink"/>
          </w:rPr>
          <w:t>Figure 4</w:t>
        </w:r>
      </w:hyperlink>
      <w:r>
        <w:t xml:space="preserve">). </w:t>
      </w:r>
      <w:del w:id="152" w:author="Bede Davies" w:date="2024-11-14T09:45:00Z" w16du:dateUtc="2024-11-14T08:45:00Z">
        <w:r w:rsidDel="00DF304B">
          <w:delText xml:space="preserve">Slight variations in spectral shape observed in this group were attributed to differing levels of water evaporation during low tides. Immediately after the water level receded from high to low tide, samples were very wet but dried progressively, reaching maximum dryness just before the tide rose again. This fluctuation in water content induced variations in the reflectance spectra. </w:delText>
        </w:r>
      </w:del>
      <w:r>
        <w:t>Overall, the Control group’s reflectance spectra displayed a peak at 560 nm (green region), low values at 665 nm (indicative of strong chlorophyll-a absorption), and a high plateau in the near-infrared (NIR), beyond 705 nm (</w:t>
      </w:r>
      <w:hyperlink w:anchor="fig-Exp_Spectra">
        <w:r w:rsidR="00326662">
          <w:rPr>
            <w:rStyle w:val="Hyperlink"/>
          </w:rPr>
          <w:t>Figure 4</w:t>
        </w:r>
      </w:hyperlink>
      <w:r>
        <w:t>, left).</w:t>
      </w:r>
    </w:p>
    <w:p w14:paraId="074F0FAA" w14:textId="40EC2CEF" w:rsidR="00326662" w:rsidRDefault="00000000">
      <w:pPr>
        <w:pStyle w:val="BodyText"/>
      </w:pPr>
      <w:r>
        <w:t xml:space="preserve">In contrast, the Treatment group showed more pronounced changes in reflectance throughout the experiment. </w:t>
      </w:r>
      <w:ins w:id="153" w:author="Bede Davies" w:date="2024-11-14T09:45:00Z" w16du:dateUtc="2024-11-14T08:45:00Z">
        <w:r w:rsidR="00DF304B">
          <w:t>At</w:t>
        </w:r>
      </w:ins>
      <w:del w:id="154" w:author="Bede Davies" w:date="2024-11-14T09:45:00Z" w16du:dateUtc="2024-11-14T08:45:00Z">
        <w:r w:rsidDel="00DF304B">
          <w:delText>On</w:delText>
        </w:r>
      </w:del>
      <w:r>
        <w:t xml:space="preserve"> the beginning (Day 1), reflectance values were comparable to those in the Control group, especially in the visible region, with a notable peak around 560 nm and a pronounced trough at 665 nm. However, starting from day 2, reflectance began to decrease across all wavelengths, particularly around 560 nm and in the NIR. At day 3, the NIR reflectance appeared to stabilize at values like </w:t>
      </w:r>
      <w:r>
        <w:lastRenderedPageBreak/>
        <w:t>those observed during day 2. In the green region, however, reflectance continued to decline slightly until the experiment’s conclusion (</w:t>
      </w:r>
      <w:hyperlink w:anchor="fig-Exp_Spectra">
        <w:r w:rsidR="00326662">
          <w:rPr>
            <w:rStyle w:val="Hyperlink"/>
          </w:rPr>
          <w:t>Figure 4</w:t>
        </w:r>
      </w:hyperlink>
      <w:r>
        <w:t>, right).</w:t>
      </w:r>
    </w:p>
    <w:tbl>
      <w:tblPr>
        <w:tblStyle w:val="Table"/>
        <w:tblW w:w="5000" w:type="pct"/>
        <w:tblLayout w:type="fixed"/>
        <w:tblLook w:val="0000" w:firstRow="0" w:lastRow="0" w:firstColumn="0" w:lastColumn="0" w:noHBand="0" w:noVBand="0"/>
      </w:tblPr>
      <w:tblGrid>
        <w:gridCol w:w="9360"/>
      </w:tblGrid>
      <w:tr w:rsidR="00326662" w14:paraId="346E82BC" w14:textId="77777777">
        <w:tc>
          <w:tcPr>
            <w:tcW w:w="7920" w:type="dxa"/>
          </w:tcPr>
          <w:p w14:paraId="7F18A3D4" w14:textId="77777777" w:rsidR="00326662" w:rsidRDefault="00000000">
            <w:pPr>
              <w:pStyle w:val="Compact"/>
              <w:jc w:val="center"/>
            </w:pPr>
            <w:bookmarkStart w:id="155" w:name="fig-Exp_Spectra"/>
            <w:bookmarkStart w:id="156" w:name="cell-fig-Exp_Spectra"/>
            <w:r>
              <w:rPr>
                <w:noProof/>
              </w:rPr>
              <w:drawing>
                <wp:inline distT="0" distB="0" distL="0" distR="0" wp14:anchorId="3D8E8017" wp14:editId="1ED4C767">
                  <wp:extent cx="5646420" cy="282321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gs/Low_res/plot_Spectra_exp.png"/>
                          <pic:cNvPicPr>
                            <a:picLocks noChangeAspect="1" noChangeArrowheads="1"/>
                          </pic:cNvPicPr>
                        </pic:nvPicPr>
                        <pic:blipFill>
                          <a:blip r:embed="rId15"/>
                          <a:stretch>
                            <a:fillRect/>
                          </a:stretch>
                        </pic:blipFill>
                        <pic:spPr bwMode="auto">
                          <a:xfrm>
                            <a:off x="0" y="0"/>
                            <a:ext cx="5646420" cy="2823210"/>
                          </a:xfrm>
                          <a:prstGeom prst="rect">
                            <a:avLst/>
                          </a:prstGeom>
                          <a:noFill/>
                          <a:ln w="9525">
                            <a:noFill/>
                            <a:headEnd/>
                            <a:tailEnd/>
                          </a:ln>
                        </pic:spPr>
                      </pic:pic>
                    </a:graphicData>
                  </a:graphic>
                </wp:inline>
              </w:drawing>
            </w:r>
          </w:p>
          <w:p w14:paraId="6F51E942" w14:textId="77777777" w:rsidR="00326662" w:rsidRDefault="00000000">
            <w:pPr>
              <w:pStyle w:val="ImageCaption"/>
              <w:spacing w:before="200"/>
            </w:pPr>
            <w:r>
              <w:t>Figure 4: Standardized Hyperspectral Reflectance signature collected during the experiment for both the Control (Left) and the Treatment (Right). Color denotes the progression along the experiment from the beginning (Day 1: green), middle (Day 2: Yellow) and end (Day 3: Brown). A min-max standardization has been applied to each individual spectrum.</w:t>
            </w:r>
          </w:p>
        </w:tc>
        <w:bookmarkEnd w:id="155"/>
      </w:tr>
    </w:tbl>
    <w:p w14:paraId="0E9A4695" w14:textId="77777777" w:rsidR="00326662" w:rsidRDefault="00000000">
      <w:pPr>
        <w:pStyle w:val="Heading3"/>
      </w:pPr>
      <w:bookmarkStart w:id="157" w:name="evolution-of-spectral-metrics"/>
      <w:bookmarkEnd w:id="151"/>
      <w:bookmarkEnd w:id="156"/>
      <w:r>
        <w:t>3.1.2 Evolution of spectral metrics</w:t>
      </w:r>
    </w:p>
    <w:p w14:paraId="4F928544" w14:textId="7A6BDE07" w:rsidR="00326662" w:rsidRDefault="00326662">
      <w:pPr>
        <w:pStyle w:val="FirstParagraph"/>
        <w:rPr>
          <w:ins w:id="158" w:author="Bede Davies" w:date="2024-11-14T09:48:00Z" w16du:dateUtc="2024-11-14T08:48:00Z"/>
        </w:rPr>
      </w:pPr>
      <w:del w:id="159" w:author="Bede Davies" w:date="2024-11-14T09:46:00Z" w16du:dateUtc="2024-11-14T08:46:00Z">
        <w:r w:rsidDel="00DF304B">
          <w:fldChar w:fldCharType="begin"/>
        </w:r>
        <w:r w:rsidDel="00DF304B">
          <w:delInstrText>HYPERLINK \l "fig-Exp_Spectral_indices" \h</w:delInstrText>
        </w:r>
        <w:r w:rsidDel="00DF304B">
          <w:fldChar w:fldCharType="separate"/>
        </w:r>
        <w:r w:rsidDel="00DF304B">
          <w:rPr>
            <w:rStyle w:val="Hyperlink"/>
          </w:rPr>
          <w:delText>Figure 5</w:delText>
        </w:r>
        <w:r w:rsidDel="00DF304B">
          <w:rPr>
            <w:rStyle w:val="Hyperlink"/>
          </w:rPr>
          <w:fldChar w:fldCharType="end"/>
        </w:r>
        <w:r w:rsidR="00000000" w:rsidDel="00DF304B">
          <w:delText xml:space="preserve"> -A shows the average difference of the second derivative (</w:delText>
        </w:r>
      </w:del>
      <m:oMath>
        <m:r>
          <w:del w:id="160" w:author="Bede Davies" w:date="2024-11-14T09:46:00Z" w16du:dateUtc="2024-11-14T08:46:00Z">
            <w:rPr>
              <w:rFonts w:ascii="Cambria Math" w:hAnsi="Cambria Math"/>
            </w:rPr>
            <m:t>R</m:t>
          </w:del>
        </m:r>
        <m:r>
          <w:del w:id="161" w:author="Bede Davies" w:date="2024-11-14T09:46:00Z" w16du:dateUtc="2024-11-14T08:46:00Z">
            <m:rPr>
              <m:sty m:val="p"/>
            </m:rPr>
            <w:rPr>
              <w:rFonts w:ascii="Cambria Math" w:hAnsi="Cambria Math"/>
            </w:rPr>
            <m:t>″</m:t>
          </w:del>
        </m:r>
        <m:d>
          <m:dPr>
            <m:ctrlPr>
              <w:del w:id="162" w:author="Bede Davies" w:date="2024-11-14T09:46:00Z" w16du:dateUtc="2024-11-14T08:46:00Z">
                <w:rPr>
                  <w:rFonts w:ascii="Cambria Math" w:hAnsi="Cambria Math"/>
                </w:rPr>
              </w:del>
            </m:ctrlPr>
          </m:dPr>
          <m:e>
            <m:r>
              <w:del w:id="163" w:author="Bede Davies" w:date="2024-11-14T09:46:00Z" w16du:dateUtc="2024-11-14T08:46:00Z">
                <w:rPr>
                  <w:rFonts w:ascii="Cambria Math" w:hAnsi="Cambria Math"/>
                </w:rPr>
                <m:t>λ</m:t>
              </w:del>
            </m:r>
          </m:e>
        </m:d>
      </m:oMath>
      <w:del w:id="164" w:author="Bede Davies" w:date="2024-11-14T09:46:00Z" w16du:dateUtc="2024-11-14T08:46:00Z">
        <w:r w:rsidR="00000000" w:rsidDel="00DF304B">
          <w:delText xml:space="preserve">) of hyperspectral signature between the Control and the Treatment group at day 3. </w:delText>
        </w:r>
      </w:del>
      <w:r w:rsidR="00000000">
        <w:t xml:space="preserve">The maximum difference of </w:t>
      </w: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λ</m:t>
            </m:r>
          </m:e>
        </m:d>
      </m:oMath>
      <w:r w:rsidR="00000000">
        <w:t xml:space="preserve"> </w:t>
      </w:r>
      <w:del w:id="165" w:author="Bede Davies" w:date="2024-11-14T09:47:00Z" w16du:dateUtc="2024-11-14T08:47:00Z">
        <w:r w:rsidR="00000000" w:rsidDel="00DF304B">
          <w:delText xml:space="preserve">has </w:delText>
        </w:r>
      </w:del>
      <w:ins w:id="166" w:author="Bede Davies" w:date="2024-11-14T09:47:00Z" w16du:dateUtc="2024-11-14T08:47:00Z">
        <w:r w:rsidR="00DF304B">
          <w:t>was</w:t>
        </w:r>
        <w:r w:rsidR="00DF304B">
          <w:t xml:space="preserve"> </w:t>
        </w:r>
      </w:ins>
      <w:del w:id="167" w:author="Bede Davies" w:date="2024-11-14T09:47:00Z" w16du:dateUtc="2024-11-14T08:47:00Z">
        <w:r w:rsidR="00000000" w:rsidDel="00DF304B">
          <w:delText xml:space="preserve">been </w:delText>
        </w:r>
      </w:del>
      <w:r w:rsidR="00000000">
        <w:t>observed at 665 nm</w:t>
      </w:r>
      <w:ins w:id="168" w:author="Bede Davies" w:date="2024-11-14T09:47:00Z" w16du:dateUtc="2024-11-14T08:47:00Z">
        <w:r w:rsidR="00DF304B">
          <w:t xml:space="preserve"> </w:t>
        </w:r>
      </w:ins>
      <w:del w:id="169" w:author="Bede Davies" w:date="2024-11-14T09:47:00Z" w16du:dateUtc="2024-11-14T08:47:00Z">
        <w:r w:rsidR="00000000" w:rsidDel="00DF304B">
          <w:delText xml:space="preserve">, position of absorption of chlorophyll-a, </w:delText>
        </w:r>
      </w:del>
      <w:r w:rsidR="00000000">
        <w:t xml:space="preserve">where the control </w:t>
      </w:r>
      <w:del w:id="170" w:author="Bede Davies" w:date="2024-11-14T09:47:00Z" w16du:dateUtc="2024-11-14T08:47:00Z">
        <w:r w:rsidR="00000000" w:rsidDel="00DF304B">
          <w:delText xml:space="preserve">were </w:delText>
        </w:r>
      </w:del>
      <w:ins w:id="171" w:author="Bede Davies" w:date="2024-11-14T09:47:00Z" w16du:dateUtc="2024-11-14T08:47:00Z">
        <w:r w:rsidR="00DF304B">
          <w:t>was</w:t>
        </w:r>
        <w:r w:rsidR="00DF304B">
          <w:t xml:space="preserve"> </w:t>
        </w:r>
      </w:ins>
      <m:oMath>
        <m:r>
          <w:rPr>
            <w:rFonts w:ascii="Cambria Math" w:hAnsi="Cambria Math"/>
          </w:rPr>
          <m:t>0.95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sidR="00000000">
        <w:t xml:space="preserve"> higher th</w:t>
      </w:r>
      <w:ins w:id="172" w:author="Bede Davies" w:date="2024-11-14T09:46:00Z" w16du:dateUtc="2024-11-14T08:46:00Z">
        <w:r w:rsidR="00DF304B">
          <w:t>a</w:t>
        </w:r>
      </w:ins>
      <w:del w:id="173" w:author="Bede Davies" w:date="2024-11-14T09:46:00Z" w16du:dateUtc="2024-11-14T08:46:00Z">
        <w:r w:rsidR="00000000" w:rsidDel="00DF304B">
          <w:delText>e</w:delText>
        </w:r>
      </w:del>
      <w:r w:rsidR="00000000">
        <w:t>n the treatment groups</w:t>
      </w:r>
      <w:ins w:id="174" w:author="Bede Davies" w:date="2024-11-14T09:46:00Z" w16du:dateUtc="2024-11-14T08:46:00Z">
        <w:r w:rsidR="00DF304B">
          <w:t xml:space="preserve"> (Figure 5 A)</w:t>
        </w:r>
      </w:ins>
      <w:r w:rsidR="00000000">
        <w:t>.</w:t>
      </w:r>
    </w:p>
    <w:p w14:paraId="096BA6D3" w14:textId="001356AF" w:rsidR="00DF304B" w:rsidRPr="00DF304B" w:rsidDel="00DF304B" w:rsidRDefault="00DF304B" w:rsidP="00DF304B">
      <w:pPr>
        <w:pStyle w:val="BodyText"/>
        <w:rPr>
          <w:del w:id="175" w:author="Bede Davies" w:date="2024-11-14T09:48:00Z" w16du:dateUtc="2024-11-14T08:48:00Z"/>
        </w:rPr>
        <w:pPrChange w:id="176" w:author="Bede Davies" w:date="2024-11-14T09:48:00Z" w16du:dateUtc="2024-11-14T08:48:00Z">
          <w:pPr>
            <w:pStyle w:val="FirstParagraph"/>
          </w:pPr>
        </w:pPrChange>
      </w:pPr>
      <w:ins w:id="177" w:author="Bede Davies" w:date="2024-11-14T09:48:00Z" w16du:dateUtc="2024-11-14T08:48:00Z">
        <w:r>
          <w:t xml:space="preserve">Similar patterns were found for the </w:t>
        </w:r>
      </w:ins>
      <m:oMath>
        <m:r>
          <w:ins w:id="178" w:author="Bede Davies" w:date="2024-11-14T09:48:00Z" w16du:dateUtc="2024-11-14T08:48:00Z">
            <w:rPr>
              <w:rFonts w:ascii="Cambria Math" w:hAnsi="Cambria Math"/>
            </w:rPr>
            <m:t>R</m:t>
          </w:ins>
        </m:r>
        <m:sSub>
          <m:sSubPr>
            <m:ctrlPr>
              <w:ins w:id="179" w:author="Bede Davies" w:date="2024-11-14T09:48:00Z" w16du:dateUtc="2024-11-14T08:48:00Z">
                <w:rPr>
                  <w:rFonts w:ascii="Cambria Math" w:hAnsi="Cambria Math"/>
                </w:rPr>
              </w:ins>
            </m:ctrlPr>
          </m:sSubPr>
          <m:e>
            <m:r>
              <w:ins w:id="180" w:author="Bede Davies" w:date="2024-11-14T09:48:00Z" w16du:dateUtc="2024-11-14T08:48:00Z">
                <m:rPr>
                  <m:sty m:val="p"/>
                </m:rPr>
                <w:rPr>
                  <w:rFonts w:ascii="Cambria Math" w:hAnsi="Cambria Math"/>
                </w:rPr>
                <m:t>″</m:t>
              </w:ins>
            </m:r>
          </m:e>
          <m:sub>
            <m:r>
              <w:ins w:id="181" w:author="Bede Davies" w:date="2024-11-14T09:48:00Z" w16du:dateUtc="2024-11-14T08:48:00Z">
                <w:rPr>
                  <w:rFonts w:ascii="Cambria Math" w:hAnsi="Cambria Math"/>
                </w:rPr>
                <m:t>665 </m:t>
              </w:ins>
            </m:r>
            <m:r>
              <w:ins w:id="182" w:author="Bede Davies" w:date="2024-11-14T09:48:00Z" w16du:dateUtc="2024-11-14T08:48:00Z">
                <m:rPr>
                  <m:nor/>
                </m:rPr>
                <m:t>nm</m:t>
              </w:ins>
            </m:r>
          </m:sub>
        </m:sSub>
      </m:oMath>
      <w:ins w:id="183" w:author="Bede Davies" w:date="2024-11-14T09:48:00Z" w16du:dateUtc="2024-11-14T08:48:00Z">
        <w:r>
          <w:rPr>
            <w:rFonts w:eastAsiaTheme="minorEastAsia"/>
          </w:rPr>
          <w:t xml:space="preserve">, </w:t>
        </w:r>
      </w:ins>
      <w:ins w:id="184" w:author="Bede Davies" w:date="2024-11-14T09:49:00Z" w16du:dateUtc="2024-11-14T08:49:00Z">
        <w:r w:rsidR="00EB7E46">
          <w:rPr>
            <w:rFonts w:eastAsiaTheme="minorEastAsia"/>
          </w:rPr>
          <w:t xml:space="preserve">NDVI and GLI, where the indices start </w:t>
        </w:r>
        <w:proofErr w:type="gramStart"/>
        <w:r w:rsidR="00EB7E46">
          <w:rPr>
            <w:rFonts w:eastAsiaTheme="minorEastAsia"/>
          </w:rPr>
          <w:t>similar to</w:t>
        </w:r>
        <w:proofErr w:type="gramEnd"/>
        <w:r w:rsidR="00EB7E46">
          <w:rPr>
            <w:rFonts w:eastAsiaTheme="minorEastAsia"/>
          </w:rPr>
          <w:t xml:space="preserve"> the control and consistently decline over the </w:t>
        </w:r>
      </w:ins>
      <w:ins w:id="185" w:author="Bede Davies" w:date="2024-11-14T09:50:00Z" w16du:dateUtc="2024-11-14T08:50:00Z">
        <w:r w:rsidR="00EB7E46">
          <w:rPr>
            <w:rFonts w:eastAsiaTheme="minorEastAsia"/>
          </w:rPr>
          <w:t>3 days of experiment</w:t>
        </w:r>
      </w:ins>
      <w:ins w:id="186" w:author="Bede Davies" w:date="2024-11-14T09:51:00Z" w16du:dateUtc="2024-11-14T08:51:00Z">
        <w:r w:rsidR="00EF7E12">
          <w:rPr>
            <w:rFonts w:eastAsiaTheme="minorEastAsia"/>
          </w:rPr>
          <w:t xml:space="preserve"> </w:t>
        </w:r>
        <w:r w:rsidR="00EF7E12">
          <w:t xml:space="preserve">(Figure 5 </w:t>
        </w:r>
        <w:r w:rsidR="00EF7E12">
          <w:t>B, C &amp; D</w:t>
        </w:r>
        <w:r w:rsidR="00EF7E12">
          <w:t>)</w:t>
        </w:r>
      </w:ins>
      <w:ins w:id="187" w:author="Bede Davies" w:date="2024-11-14T09:55:00Z" w16du:dateUtc="2024-11-14T08:55:00Z">
        <w:r w:rsidR="00F26F24">
          <w:rPr>
            <w:rFonts w:eastAsiaTheme="minorEastAsia"/>
          </w:rPr>
          <w:t>.</w:t>
        </w:r>
      </w:ins>
    </w:p>
    <w:p w14:paraId="7DB2622B" w14:textId="45E2D58A" w:rsidR="00DF304B" w:rsidRDefault="00EF7E12" w:rsidP="00F26F24">
      <w:pPr>
        <w:pStyle w:val="BodyText"/>
        <w:ind w:firstLine="0"/>
        <w:rPr>
          <w:ins w:id="188" w:author="Bede Davies" w:date="2024-11-14T09:47:00Z" w16du:dateUtc="2024-11-14T08:47:00Z"/>
        </w:rPr>
        <w:pPrChange w:id="189" w:author="Bede Davies" w:date="2024-11-14T09:55:00Z" w16du:dateUtc="2024-11-14T08:55:00Z">
          <w:pPr>
            <w:pStyle w:val="BodyText"/>
          </w:pPr>
        </w:pPrChange>
      </w:pPr>
      <w:ins w:id="190" w:author="Bede Davies" w:date="2024-11-14T09:50:00Z" w16du:dateUtc="2024-11-14T08:50:00Z">
        <w:r>
          <w:t>A</w:t>
        </w:r>
      </w:ins>
      <w:ins w:id="191" w:author="Bede Davies" w:date="2024-11-14T09:47:00Z" w16du:dateUtc="2024-11-14T08:47:00Z">
        <w:r w:rsidR="00DF304B">
          <w:t xml:space="preserve">t the start of the experiment (day 1) </w:t>
        </w:r>
      </w:ins>
      <m:oMath>
        <m:r>
          <w:ins w:id="192" w:author="Bede Davies" w:date="2024-11-14T09:47:00Z" w16du:dateUtc="2024-11-14T08:47:00Z">
            <w:rPr>
              <w:rFonts w:ascii="Cambria Math" w:hAnsi="Cambria Math"/>
            </w:rPr>
            <m:t>R</m:t>
          </w:ins>
        </m:r>
        <m:sSub>
          <m:sSubPr>
            <m:ctrlPr>
              <w:ins w:id="193" w:author="Bede Davies" w:date="2024-11-14T09:47:00Z" w16du:dateUtc="2024-11-14T08:47:00Z">
                <w:rPr>
                  <w:rFonts w:ascii="Cambria Math" w:hAnsi="Cambria Math"/>
                </w:rPr>
              </w:ins>
            </m:ctrlPr>
          </m:sSubPr>
          <m:e>
            <m:r>
              <w:ins w:id="194" w:author="Bede Davies" w:date="2024-11-14T09:47:00Z" w16du:dateUtc="2024-11-14T08:47:00Z">
                <m:rPr>
                  <m:sty m:val="p"/>
                </m:rPr>
                <w:rPr>
                  <w:rFonts w:ascii="Cambria Math" w:hAnsi="Cambria Math"/>
                </w:rPr>
                <m:t>″</m:t>
              </w:ins>
            </m:r>
          </m:e>
          <m:sub>
            <m:r>
              <w:ins w:id="195" w:author="Bede Davies" w:date="2024-11-14T09:47:00Z" w16du:dateUtc="2024-11-14T08:47:00Z">
                <w:rPr>
                  <w:rFonts w:ascii="Cambria Math" w:hAnsi="Cambria Math"/>
                </w:rPr>
                <m:t>665 </m:t>
              </w:ins>
            </m:r>
            <m:r>
              <w:ins w:id="196" w:author="Bede Davies" w:date="2024-11-14T09:47:00Z" w16du:dateUtc="2024-11-14T08:47:00Z">
                <m:rPr>
                  <m:nor/>
                </m:rPr>
                <m:t>nm</m:t>
              </w:ins>
            </m:r>
          </m:sub>
        </m:sSub>
      </m:oMath>
      <w:ins w:id="197" w:author="Bede Davies" w:date="2024-11-14T09:53:00Z" w16du:dateUtc="2024-11-14T08:53:00Z">
        <w:r>
          <w:rPr>
            <w:rFonts w:eastAsiaTheme="minorEastAsia"/>
          </w:rPr>
          <w:t>, NDVI and GLI</w:t>
        </w:r>
      </w:ins>
      <w:ins w:id="198" w:author="Bede Davies" w:date="2024-11-14T09:47:00Z" w16du:dateUtc="2024-11-14T08:47:00Z">
        <w:r w:rsidR="00DF304B">
          <w:t xml:space="preserve"> </w:t>
        </w:r>
      </w:ins>
      <w:ins w:id="199" w:author="Bede Davies" w:date="2024-11-14T09:52:00Z" w16du:dateUtc="2024-11-14T08:52:00Z">
        <w:r>
          <w:t xml:space="preserve">in </w:t>
        </w:r>
      </w:ins>
      <w:ins w:id="200" w:author="Bede Davies" w:date="2024-11-14T09:47:00Z" w16du:dateUtc="2024-11-14T08:47:00Z">
        <w:r w:rsidR="00DF304B">
          <w:t xml:space="preserve">the Treatment group </w:t>
        </w:r>
      </w:ins>
      <w:ins w:id="201" w:author="Bede Davies" w:date="2024-11-14T09:53:00Z" w16du:dateUtc="2024-11-14T08:53:00Z">
        <w:r>
          <w:t>were</w:t>
        </w:r>
      </w:ins>
      <w:ins w:id="202" w:author="Bede Davies" w:date="2024-11-14T09:47:00Z" w16du:dateUtc="2024-11-14T08:47:00Z">
        <w:r w:rsidR="00DF304B">
          <w:t xml:space="preserve"> on average 13</w:t>
        </w:r>
      </w:ins>
      <w:ins w:id="203" w:author="Bede Davies" w:date="2024-11-14T09:53:00Z" w16du:dateUtc="2024-11-14T08:53:00Z">
        <w:r>
          <w:t>%</w:t>
        </w:r>
      </w:ins>
      <w:ins w:id="204" w:author="Bede Davies" w:date="2024-11-14T09:47:00Z" w16du:dateUtc="2024-11-14T08:47:00Z">
        <w:r w:rsidR="00DF304B">
          <w:t xml:space="preserve"> </w:t>
        </w:r>
      </w:ins>
      <w:ins w:id="205" w:author="Bede Davies" w:date="2024-11-14T09:55:00Z" w16du:dateUtc="2024-11-14T08:55:00Z">
        <w:r>
          <w:t>greater</w:t>
        </w:r>
      </w:ins>
      <w:ins w:id="206" w:author="Bede Davies" w:date="2024-11-14T09:53:00Z" w16du:dateUtc="2024-11-14T08:53:00Z">
        <w:r>
          <w:t>, 3% lower and 2% lower, respectively,</w:t>
        </w:r>
      </w:ins>
      <w:ins w:id="207" w:author="Bede Davies" w:date="2024-11-14T09:47:00Z" w16du:dateUtc="2024-11-14T08:47:00Z">
        <w:r w:rsidR="00DF304B">
          <w:t xml:space="preserve"> than that of the </w:t>
        </w:r>
        <w:r w:rsidR="00DF304B">
          <w:lastRenderedPageBreak/>
          <w:t>Control</w:t>
        </w:r>
      </w:ins>
      <w:commentRangeStart w:id="208"/>
      <w:commentRangeEnd w:id="208"/>
      <w:ins w:id="209" w:author="Bede Davies" w:date="2024-11-14T09:51:00Z" w16du:dateUtc="2024-11-14T08:51:00Z">
        <w:r>
          <w:rPr>
            <w:rStyle w:val="CommentReference"/>
          </w:rPr>
          <w:commentReference w:id="208"/>
        </w:r>
      </w:ins>
      <w:ins w:id="210" w:author="Bede Davies" w:date="2024-11-14T09:47:00Z" w16du:dateUtc="2024-11-14T08:47:00Z">
        <w:r w:rsidR="00DF304B">
          <w:t>. However, by day 2, the Treatment showed a rapid decrease of approximately 27 %</w:t>
        </w:r>
      </w:ins>
      <w:ins w:id="211" w:author="Bede Davies" w:date="2024-11-14T09:54:00Z" w16du:dateUtc="2024-11-14T08:54:00Z">
        <w:r>
          <w:t>, 17% and 28%</w:t>
        </w:r>
      </w:ins>
      <w:ins w:id="212" w:author="Bede Davies" w:date="2024-11-14T09:47:00Z" w16du:dateUtc="2024-11-14T08:47:00Z">
        <w:r w:rsidR="00DF304B">
          <w:t>, eventually reaching a total decline of 68 %</w:t>
        </w:r>
      </w:ins>
      <w:ins w:id="213" w:author="Bede Davies" w:date="2024-11-14T09:54:00Z" w16du:dateUtc="2024-11-14T08:54:00Z">
        <w:r>
          <w:t>, 31 % and 54%</w:t>
        </w:r>
      </w:ins>
      <w:ins w:id="214" w:author="Bede Davies" w:date="2024-11-14T09:47:00Z" w16du:dateUtc="2024-11-14T08:47:00Z">
        <w:r w:rsidR="00DF304B">
          <w:t xml:space="preserve"> by day 3</w:t>
        </w:r>
      </w:ins>
      <w:ins w:id="215" w:author="Bede Davies" w:date="2024-11-14T09:51:00Z" w16du:dateUtc="2024-11-14T08:51:00Z">
        <w:r>
          <w:t>.</w:t>
        </w:r>
      </w:ins>
      <w:ins w:id="216" w:author="Bede Davies" w:date="2024-11-14T09:55:00Z" w16du:dateUtc="2024-11-14T08:55:00Z">
        <w:r w:rsidR="00F26F24">
          <w:t xml:space="preserve"> </w:t>
        </w:r>
      </w:ins>
    </w:p>
    <w:p w14:paraId="184D202E" w14:textId="77777777" w:rsidR="00DF304B" w:rsidRDefault="00DF304B">
      <w:pPr>
        <w:pStyle w:val="BodyText"/>
        <w:rPr>
          <w:ins w:id="217" w:author="Bede Davies" w:date="2024-11-14T09:47:00Z" w16du:dateUtc="2024-11-14T08:47:00Z"/>
        </w:rPr>
      </w:pPr>
    </w:p>
    <w:p w14:paraId="430F51F4" w14:textId="5948C7C5" w:rsidR="00326662" w:rsidRDefault="00000000">
      <w:pPr>
        <w:pStyle w:val="BodyText"/>
      </w:pPr>
      <w:del w:id="218" w:author="Bede Davies" w:date="2024-11-14T09:51:00Z" w16du:dateUtc="2024-11-14T08:51:00Z">
        <w:r w:rsidDel="00EF7E12">
          <w:delText>Monitoring the second derivative at 665 nm (</w:delText>
        </w:r>
      </w:del>
      <m:oMath>
        <m:r>
          <w:del w:id="219" w:author="Bede Davies" w:date="2024-11-14T09:51:00Z" w16du:dateUtc="2024-11-14T08:51:00Z">
            <w:rPr>
              <w:rFonts w:ascii="Cambria Math" w:hAnsi="Cambria Math"/>
            </w:rPr>
            <m:t>R</m:t>
          </w:del>
        </m:r>
        <m:sSub>
          <m:sSubPr>
            <m:ctrlPr>
              <w:del w:id="220" w:author="Bede Davies" w:date="2024-11-14T09:51:00Z" w16du:dateUtc="2024-11-14T08:51:00Z">
                <w:rPr>
                  <w:rFonts w:ascii="Cambria Math" w:hAnsi="Cambria Math"/>
                </w:rPr>
              </w:del>
            </m:ctrlPr>
          </m:sSubPr>
          <m:e>
            <m:r>
              <w:del w:id="221" w:author="Bede Davies" w:date="2024-11-14T09:51:00Z" w16du:dateUtc="2024-11-14T08:51:00Z">
                <m:rPr>
                  <m:sty m:val="p"/>
                </m:rPr>
                <w:rPr>
                  <w:rFonts w:ascii="Cambria Math" w:hAnsi="Cambria Math"/>
                </w:rPr>
                <m:t>″</m:t>
              </w:del>
            </m:r>
          </m:e>
          <m:sub>
            <m:r>
              <w:del w:id="222" w:author="Bede Davies" w:date="2024-11-14T09:51:00Z" w16du:dateUtc="2024-11-14T08:51:00Z">
                <w:rPr>
                  <w:rFonts w:ascii="Cambria Math" w:hAnsi="Cambria Math"/>
                </w:rPr>
                <m:t>665 </m:t>
              </w:del>
            </m:r>
            <m:r>
              <w:del w:id="223" w:author="Bede Davies" w:date="2024-11-14T09:51:00Z" w16du:dateUtc="2024-11-14T08:51:00Z">
                <m:rPr>
                  <m:nor/>
                </m:rPr>
                <m:t>nm</m:t>
              </w:del>
            </m:r>
          </m:sub>
        </m:sSub>
      </m:oMath>
      <w:del w:id="224" w:author="Bede Davies" w:date="2024-11-14T09:51:00Z" w16du:dateUtc="2024-11-14T08:51:00Z">
        <w:r w:rsidDel="00EF7E12">
          <w:delText xml:space="preserve">) indicated that, </w:delText>
        </w:r>
      </w:del>
      <w:del w:id="225" w:author="Bede Davies" w:date="2024-11-14T09:47:00Z" w16du:dateUtc="2024-11-14T08:47:00Z">
        <w:r w:rsidDel="00DF304B">
          <w:delText xml:space="preserve">at the start of the experiment (day 1) </w:delText>
        </w:r>
      </w:del>
      <m:oMath>
        <m:r>
          <w:del w:id="226" w:author="Bede Davies" w:date="2024-11-14T09:47:00Z" w16du:dateUtc="2024-11-14T08:47:00Z">
            <w:rPr>
              <w:rFonts w:ascii="Cambria Math" w:hAnsi="Cambria Math"/>
            </w:rPr>
            <m:t>R</m:t>
          </w:del>
        </m:r>
        <m:sSub>
          <m:sSubPr>
            <m:ctrlPr>
              <w:del w:id="227" w:author="Bede Davies" w:date="2024-11-14T09:47:00Z" w16du:dateUtc="2024-11-14T08:47:00Z">
                <w:rPr>
                  <w:rFonts w:ascii="Cambria Math" w:hAnsi="Cambria Math"/>
                </w:rPr>
              </w:del>
            </m:ctrlPr>
          </m:sSubPr>
          <m:e>
            <m:r>
              <w:del w:id="228" w:author="Bede Davies" w:date="2024-11-14T09:47:00Z" w16du:dateUtc="2024-11-14T08:47:00Z">
                <m:rPr>
                  <m:sty m:val="p"/>
                </m:rPr>
                <w:rPr>
                  <w:rFonts w:ascii="Cambria Math" w:hAnsi="Cambria Math"/>
                </w:rPr>
                <m:t>″</m:t>
              </w:del>
            </m:r>
          </m:e>
          <m:sub>
            <m:r>
              <w:del w:id="229" w:author="Bede Davies" w:date="2024-11-14T09:47:00Z" w16du:dateUtc="2024-11-14T08:47:00Z">
                <w:rPr>
                  <w:rFonts w:ascii="Cambria Math" w:hAnsi="Cambria Math"/>
                </w:rPr>
                <m:t>665 </m:t>
              </w:del>
            </m:r>
            <m:r>
              <w:del w:id="230" w:author="Bede Davies" w:date="2024-11-14T09:47:00Z" w16du:dateUtc="2024-11-14T08:47:00Z">
                <m:rPr>
                  <m:nor/>
                </m:rPr>
                <m:t>nm</m:t>
              </w:del>
            </m:r>
          </m:sub>
        </m:sSub>
      </m:oMath>
      <w:del w:id="231" w:author="Bede Davies" w:date="2024-11-14T09:47:00Z" w16du:dateUtc="2024-11-14T08:47:00Z">
        <w:r w:rsidDel="00DF304B">
          <w:delText xml:space="preserve"> for the Treatment group was on average 13 higher than that of the Control. However, by day 2, </w:delText>
        </w:r>
      </w:del>
      <m:oMath>
        <m:r>
          <w:del w:id="232" w:author="Bede Davies" w:date="2024-11-14T09:47:00Z" w16du:dateUtc="2024-11-14T08:47:00Z">
            <w:rPr>
              <w:rFonts w:ascii="Cambria Math" w:hAnsi="Cambria Math"/>
            </w:rPr>
            <m:t>R</m:t>
          </w:del>
        </m:r>
        <m:sSub>
          <m:sSubPr>
            <m:ctrlPr>
              <w:del w:id="233" w:author="Bede Davies" w:date="2024-11-14T09:47:00Z" w16du:dateUtc="2024-11-14T08:47:00Z">
                <w:rPr>
                  <w:rFonts w:ascii="Cambria Math" w:hAnsi="Cambria Math"/>
                </w:rPr>
              </w:del>
            </m:ctrlPr>
          </m:sSubPr>
          <m:e>
            <m:r>
              <w:del w:id="234" w:author="Bede Davies" w:date="2024-11-14T09:47:00Z" w16du:dateUtc="2024-11-14T08:47:00Z">
                <m:rPr>
                  <m:sty m:val="p"/>
                </m:rPr>
                <w:rPr>
                  <w:rFonts w:ascii="Cambria Math" w:hAnsi="Cambria Math"/>
                </w:rPr>
                <m:t>″</m:t>
              </w:del>
            </m:r>
          </m:e>
          <m:sub>
            <m:r>
              <w:del w:id="235" w:author="Bede Davies" w:date="2024-11-14T09:47:00Z" w16du:dateUtc="2024-11-14T08:47:00Z">
                <w:rPr>
                  <w:rFonts w:ascii="Cambria Math" w:hAnsi="Cambria Math"/>
                </w:rPr>
                <m:t>665 </m:t>
              </w:del>
            </m:r>
            <m:r>
              <w:del w:id="236" w:author="Bede Davies" w:date="2024-11-14T09:47:00Z" w16du:dateUtc="2024-11-14T08:47:00Z">
                <m:rPr>
                  <m:nor/>
                </m:rPr>
                <m:t>nm</m:t>
              </w:del>
            </m:r>
          </m:sub>
        </m:sSub>
      </m:oMath>
      <w:del w:id="237" w:author="Bede Davies" w:date="2024-11-14T09:47:00Z" w16du:dateUtc="2024-11-14T08:47:00Z">
        <w:r w:rsidDel="00DF304B">
          <w:delText xml:space="preserve"> for the Treatment showed a rapid decrease of approximately -27 %, eventually reaching a total decline of -68 % by day 3 (</w:delText>
        </w:r>
        <w:r w:rsidR="00326662" w:rsidDel="00DF304B">
          <w:fldChar w:fldCharType="begin"/>
        </w:r>
        <w:r w:rsidR="00326662" w:rsidDel="00DF304B">
          <w:delInstrText>HYPERLINK \l "fig-Exp_Spectral_indices" \h</w:delInstrText>
        </w:r>
        <w:r w:rsidR="00326662" w:rsidDel="00DF304B">
          <w:fldChar w:fldCharType="separate"/>
        </w:r>
        <w:r w:rsidR="00326662" w:rsidDel="00DF304B">
          <w:rPr>
            <w:rStyle w:val="Hyperlink"/>
          </w:rPr>
          <w:delText>Figure 5</w:delText>
        </w:r>
        <w:r w:rsidR="00326662" w:rsidDel="00DF304B">
          <w:rPr>
            <w:rStyle w:val="Hyperlink"/>
          </w:rPr>
          <w:fldChar w:fldCharType="end"/>
        </w:r>
        <w:r w:rsidDel="00DF304B">
          <w:delText xml:space="preserve"> B)</w:delText>
        </w:r>
      </w:del>
    </w:p>
    <w:p w14:paraId="3DC7C5B9" w14:textId="20717DED" w:rsidR="00326662" w:rsidDel="00EF7E12" w:rsidRDefault="00000000">
      <w:pPr>
        <w:pStyle w:val="BodyText"/>
        <w:rPr>
          <w:del w:id="238" w:author="Bede Davies" w:date="2024-11-14T09:55:00Z" w16du:dateUtc="2024-11-14T08:55:00Z"/>
        </w:rPr>
      </w:pPr>
      <w:del w:id="239" w:author="Bede Davies" w:date="2024-11-14T09:51:00Z" w16du:dateUtc="2024-11-14T08:51:00Z">
        <w:r w:rsidDel="00EF7E12">
          <w:delText xml:space="preserve">Monitoring the Normalized Difference Vegetation Index (NDVI) revealed that, at </w:delText>
        </w:r>
      </w:del>
      <w:del w:id="240" w:author="Bede Davies" w:date="2024-11-14T09:55:00Z" w16du:dateUtc="2024-11-14T08:55:00Z">
        <w:r w:rsidDel="00EF7E12">
          <w:delText>the beginning of the experiment (day 1), the NDVI for the Treatment group was on average 3 % lower than that of the Control. By day 2, the NDVI for the Treatment exhibited a rapid decline of approximately -17 %, eventually reaching a cumulative decrease of -31 % by day 3 (</w:delText>
        </w:r>
        <w:r w:rsidR="00326662" w:rsidDel="00EF7E12">
          <w:fldChar w:fldCharType="begin"/>
        </w:r>
        <w:r w:rsidR="00326662" w:rsidDel="00EF7E12">
          <w:delInstrText>HYPERLINK \l "fig-Exp_Spectral_indices" \h</w:delInstrText>
        </w:r>
        <w:r w:rsidR="00326662" w:rsidDel="00EF7E12">
          <w:fldChar w:fldCharType="separate"/>
        </w:r>
        <w:r w:rsidR="00326662" w:rsidDel="00EF7E12">
          <w:rPr>
            <w:rStyle w:val="Hyperlink"/>
          </w:rPr>
          <w:delText>Figure 5</w:delText>
        </w:r>
        <w:r w:rsidR="00326662" w:rsidDel="00EF7E12">
          <w:rPr>
            <w:rStyle w:val="Hyperlink"/>
          </w:rPr>
          <w:fldChar w:fldCharType="end"/>
        </w:r>
        <w:r w:rsidDel="00EF7E12">
          <w:delText xml:space="preserve"> C).</w:delText>
        </w:r>
      </w:del>
    </w:p>
    <w:p w14:paraId="33F91A02" w14:textId="7219981A" w:rsidR="00326662" w:rsidDel="00EF7E12" w:rsidRDefault="00000000">
      <w:pPr>
        <w:pStyle w:val="BodyText"/>
        <w:rPr>
          <w:del w:id="241" w:author="Bede Davies" w:date="2024-11-14T09:55:00Z" w16du:dateUtc="2024-11-14T08:55:00Z"/>
        </w:rPr>
      </w:pPr>
      <w:del w:id="242" w:author="Bede Davies" w:date="2024-11-14T09:55:00Z" w16du:dateUtc="2024-11-14T08:55:00Z">
        <w:r w:rsidDel="00EF7E12">
          <w:delText>Monitoring the Green Leaf Index (GLI) showed that, at the start of the experiment (day 1), the GLI for the Treatment group was, on average, -2 % lower than that of the Control. However, by day 2, the GLI for the Treatment exhibited a rapid decrease of approximately -28 %, ultimately reaching a cumulative reduction of -54 % by day 3 (</w:delText>
        </w:r>
        <w:r w:rsidR="00326662" w:rsidDel="00EF7E12">
          <w:fldChar w:fldCharType="begin"/>
        </w:r>
        <w:r w:rsidR="00326662" w:rsidDel="00EF7E12">
          <w:delInstrText>HYPERLINK \l "fig-Exp_Spectral_indices" \h</w:delInstrText>
        </w:r>
        <w:r w:rsidR="00326662" w:rsidDel="00EF7E12">
          <w:fldChar w:fldCharType="separate"/>
        </w:r>
        <w:r w:rsidR="00326662" w:rsidDel="00EF7E12">
          <w:rPr>
            <w:rStyle w:val="Hyperlink"/>
          </w:rPr>
          <w:delText>Figure 5</w:delText>
        </w:r>
        <w:r w:rsidR="00326662" w:rsidDel="00EF7E12">
          <w:rPr>
            <w:rStyle w:val="Hyperlink"/>
          </w:rPr>
          <w:fldChar w:fldCharType="end"/>
        </w:r>
        <w:r w:rsidDel="00EF7E12">
          <w:delText xml:space="preserve"> D).</w:delText>
        </w:r>
      </w:del>
    </w:p>
    <w:p w14:paraId="7667835C" w14:textId="49FE2DEF" w:rsidR="00326662" w:rsidRDefault="00000000">
      <w:pPr>
        <w:pStyle w:val="BodyText"/>
      </w:pPr>
      <w:del w:id="243" w:author="Bede Davies" w:date="2024-11-14T09:55:00Z" w16du:dateUtc="2024-11-14T08:55:00Z">
        <w:r w:rsidDel="00EF7E12">
          <w:delText>Monitoring the Simple Difference Index (SDI) revealed that, a</w:delText>
        </w:r>
      </w:del>
      <w:ins w:id="244" w:author="Bede Davies" w:date="2024-11-14T09:56:00Z" w16du:dateUtc="2024-11-14T08:56:00Z">
        <w:r w:rsidR="00F26F24">
          <w:t>Unlike the other metrics, a</w:t>
        </w:r>
      </w:ins>
      <w:r>
        <w:t xml:space="preserve">t the start of the experiment (day 1), the SDI for the Treatment group was on average 55 % </w:t>
      </w:r>
      <w:del w:id="245" w:author="Bede Davies" w:date="2024-11-14T09:56:00Z" w16du:dateUtc="2024-11-14T08:56:00Z">
        <w:r w:rsidDel="00F26F24">
          <w:delText xml:space="preserve">higher </w:delText>
        </w:r>
      </w:del>
      <w:ins w:id="246" w:author="Bede Davies" w:date="2024-11-14T09:56:00Z" w16du:dateUtc="2024-11-14T08:56:00Z">
        <w:r w:rsidR="00F26F24">
          <w:t>greater</w:t>
        </w:r>
        <w:r w:rsidR="00F26F24">
          <w:t xml:space="preserve"> </w:t>
        </w:r>
      </w:ins>
      <w:r>
        <w:t>than that of the Control. By day 2, the SDI for the Treatment exhibited a rapid decrease of approximately 241 %, eventually reaching a cumulative decline of 420 % by day 3 (</w:t>
      </w:r>
      <w:hyperlink w:anchor="fig-Exp_Spectral_indices">
        <w:r w:rsidR="00326662">
          <w:rPr>
            <w:rStyle w:val="Hyperlink"/>
          </w:rPr>
          <w:t>Figure 5</w:t>
        </w:r>
      </w:hyperlink>
      <w:r>
        <w:t xml:space="preserve"> E).</w:t>
      </w:r>
    </w:p>
    <w:tbl>
      <w:tblPr>
        <w:tblStyle w:val="Table"/>
        <w:tblW w:w="5000" w:type="pct"/>
        <w:tblLayout w:type="fixed"/>
        <w:tblLook w:val="0000" w:firstRow="0" w:lastRow="0" w:firstColumn="0" w:lastColumn="0" w:noHBand="0" w:noVBand="0"/>
      </w:tblPr>
      <w:tblGrid>
        <w:gridCol w:w="9360"/>
      </w:tblGrid>
      <w:tr w:rsidR="00326662" w14:paraId="7B8DB4FE" w14:textId="77777777">
        <w:tc>
          <w:tcPr>
            <w:tcW w:w="7920" w:type="dxa"/>
          </w:tcPr>
          <w:p w14:paraId="7C2748F2" w14:textId="77777777" w:rsidR="00326662" w:rsidRDefault="00000000">
            <w:pPr>
              <w:pStyle w:val="Compact"/>
              <w:jc w:val="center"/>
            </w:pPr>
            <w:bookmarkStart w:id="247" w:name="fig-Exp_Spectral_indices"/>
            <w:bookmarkStart w:id="248" w:name="cell-fig-Exp_Spectral_indices"/>
            <w:r>
              <w:rPr>
                <w:noProof/>
              </w:rPr>
              <w:lastRenderedPageBreak/>
              <w:drawing>
                <wp:inline distT="0" distB="0" distL="0" distR="0" wp14:anchorId="63F2741C" wp14:editId="675D5121">
                  <wp:extent cx="5646420" cy="6970888"/>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s/Low_res/merged_indices.png"/>
                          <pic:cNvPicPr>
                            <a:picLocks noChangeAspect="1" noChangeArrowheads="1"/>
                          </pic:cNvPicPr>
                        </pic:nvPicPr>
                        <pic:blipFill>
                          <a:blip r:embed="rId16"/>
                          <a:stretch>
                            <a:fillRect/>
                          </a:stretch>
                        </pic:blipFill>
                        <pic:spPr bwMode="auto">
                          <a:xfrm>
                            <a:off x="0" y="0"/>
                            <a:ext cx="5646420" cy="6970888"/>
                          </a:xfrm>
                          <a:prstGeom prst="rect">
                            <a:avLst/>
                          </a:prstGeom>
                          <a:noFill/>
                          <a:ln w="9525">
                            <a:noFill/>
                            <a:headEnd/>
                            <a:tailEnd/>
                          </a:ln>
                        </pic:spPr>
                      </pic:pic>
                    </a:graphicData>
                  </a:graphic>
                </wp:inline>
              </w:drawing>
            </w:r>
          </w:p>
          <w:p w14:paraId="0A2654BE" w14:textId="10745CF8" w:rsidR="00326662" w:rsidRDefault="00000000">
            <w:pPr>
              <w:pStyle w:val="ImageCaption"/>
              <w:spacing w:before="200"/>
            </w:pPr>
            <w:r>
              <w:t xml:space="preserve">Figure 5: </w:t>
            </w:r>
            <w:ins w:id="249" w:author="Bede Davies" w:date="2024-11-14T09:57:00Z" w16du:dateUtc="2024-11-14T08:57:00Z">
              <w:r w:rsidR="00F26F24">
                <w:t>Absolute d</w:t>
              </w:r>
            </w:ins>
            <w:del w:id="250" w:author="Bede Davies" w:date="2024-11-14T09:57:00Z" w16du:dateUtc="2024-11-14T08:57:00Z">
              <w:r w:rsidDel="00F26F24">
                <w:delText>D</w:delText>
              </w:r>
            </w:del>
            <w:r>
              <w:t>ifference in the second derivative of hyperspectral signature</w:t>
            </w:r>
            <w:ins w:id="251" w:author="Bede Davies" w:date="2024-11-14T09:56:00Z" w16du:dateUtc="2024-11-14T08:56:00Z">
              <w:r w:rsidR="00F26F24">
                <w:t xml:space="preserve"> </w:t>
              </w:r>
            </w:ins>
            <w:ins w:id="252" w:author="Bede Davies" w:date="2024-11-14T09:57:00Z" w16du:dateUtc="2024-11-14T08:57:00Z">
              <w:r w:rsidR="00F26F24">
                <w:t xml:space="preserve">at the end of the experiment </w:t>
              </w:r>
            </w:ins>
            <w:ins w:id="253" w:author="Bede Davies" w:date="2024-11-14T09:56:00Z" w16du:dateUtc="2024-11-14T08:56:00Z">
              <w:r w:rsidR="00F26F24">
                <w:t>(A)</w:t>
              </w:r>
            </w:ins>
            <w:ins w:id="254" w:author="Bede Davies" w:date="2024-11-14T09:57:00Z" w16du:dateUtc="2024-11-14T08:57:00Z">
              <w:r w:rsidR="00F26F24">
                <w:t xml:space="preserve">, and </w:t>
              </w:r>
            </w:ins>
            <w:ins w:id="255" w:author="Bede Davies" w:date="2024-11-14T09:58:00Z" w16du:dateUtc="2024-11-14T08:58:00Z">
              <w:r w:rsidR="00F26F24">
                <w:t>relative difference of</w:t>
              </w:r>
            </w:ins>
            <w:ins w:id="256" w:author="Bede Davies" w:date="2024-11-14T09:56:00Z" w16du:dateUtc="2024-11-14T08:56:00Z">
              <w:r w:rsidR="00F26F24">
                <w:t xml:space="preserve"> the second derivative at 665 nm (B), the NDVI (C), the GLI (D) and the SDI (E) </w:t>
              </w:r>
            </w:ins>
            <w:r>
              <w:t xml:space="preserve"> between the </w:t>
            </w:r>
            <w:ins w:id="257" w:author="Bede Davies" w:date="2024-11-14T09:57:00Z" w16du:dateUtc="2024-11-14T08:57:00Z">
              <w:r w:rsidR="00F26F24">
                <w:t>C</w:t>
              </w:r>
            </w:ins>
            <w:del w:id="258" w:author="Bede Davies" w:date="2024-11-14T09:57:00Z" w16du:dateUtc="2024-11-14T08:57:00Z">
              <w:r w:rsidDel="00F26F24">
                <w:delText>c</w:delText>
              </w:r>
            </w:del>
            <w:r>
              <w:t xml:space="preserve">ontrol and the </w:t>
            </w:r>
            <w:del w:id="259" w:author="Bede Davies" w:date="2024-11-14T09:57:00Z" w16du:dateUtc="2024-11-14T08:57:00Z">
              <w:r w:rsidDel="00F26F24">
                <w:delText xml:space="preserve">test </w:delText>
              </w:r>
            </w:del>
            <w:ins w:id="260" w:author="Bede Davies" w:date="2024-11-14T09:57:00Z" w16du:dateUtc="2024-11-14T08:57:00Z">
              <w:r w:rsidR="00F26F24">
                <w:t>Treatment</w:t>
              </w:r>
              <w:r w:rsidR="00F26F24">
                <w:t xml:space="preserve"> </w:t>
              </w:r>
            </w:ins>
            <w:del w:id="261" w:author="Bede Davies" w:date="2024-11-14T09:57:00Z" w16du:dateUtc="2024-11-14T08:57:00Z">
              <w:r w:rsidDel="00F26F24">
                <w:delText xml:space="preserve">at the end of the experiment </w:delText>
              </w:r>
            </w:del>
            <w:del w:id="262" w:author="Bede Davies" w:date="2024-11-14T09:56:00Z" w16du:dateUtc="2024-11-14T08:56:00Z">
              <w:r w:rsidDel="00F26F24">
                <w:delText xml:space="preserve">(A) the second derivative at 665 nm (B), the NDVI (C), the GLI (D) and the SDI (E) </w:delText>
              </w:r>
            </w:del>
            <w:r>
              <w:t xml:space="preserve">over Time. </w:t>
            </w:r>
            <w:del w:id="263" w:author="Bede Davies" w:date="2024-11-14T09:58:00Z" w16du:dateUtc="2024-11-14T08:58:00Z">
              <w:r w:rsidDel="00B35A1A">
                <w:delText xml:space="preserve">A: Mean difference and standard deviation of the second derivative of the </w:delText>
              </w:r>
              <w:r w:rsidDel="00B35A1A">
                <w:lastRenderedPageBreak/>
                <w:delText xml:space="preserve">Control and the Treatment on the final day of the experiment; B: Relative evolution of the second derivative at 665 nm between Treatment and Control groups over time across three replicates; C: Relative evolution of NDVI for the Treatment group compared to the Control group over time across three replicates; D: Relative evolution of GLI for the Treatment group relative to the Control group over time across three replicates; E: Relative evolution of SDI for the Treatment group relative to the Control group over time across three replicates. </w:delText>
              </w:r>
            </w:del>
            <w:r>
              <w:t>Points indicate raw data, the line represents a generalized linear model, and the shaded area the model’s standard error.</w:t>
            </w:r>
          </w:p>
        </w:tc>
        <w:bookmarkEnd w:id="247"/>
      </w:tr>
    </w:tbl>
    <w:bookmarkEnd w:id="248"/>
    <w:p w14:paraId="0665686B" w14:textId="0BB868BF" w:rsidR="00326662" w:rsidRDefault="00000000">
      <w:pPr>
        <w:pStyle w:val="BodyText"/>
      </w:pPr>
      <w:commentRangeStart w:id="264"/>
      <w:del w:id="265" w:author="Bede Davies" w:date="2024-11-14T09:59:00Z" w16du:dateUtc="2024-11-14T08:59:00Z">
        <w:r w:rsidDel="001B6B7E">
          <w:lastRenderedPageBreak/>
          <w:delText>When applied to reflectance data collected during the experiment, the</w:delText>
        </w:r>
      </w:del>
      <w:ins w:id="266" w:author="Bede Davies" w:date="2024-11-14T09:59:00Z" w16du:dateUtc="2024-11-14T08:59:00Z">
        <w:r w:rsidR="001B6B7E">
          <w:t>The</w:t>
        </w:r>
      </w:ins>
      <w:r>
        <w:t xml:space="preserve"> SDI revealed clear distinctions between the Control and Treatment groups</w:t>
      </w:r>
      <w:ins w:id="267" w:author="Bede Davies" w:date="2024-11-14T10:00:00Z" w16du:dateUtc="2024-11-14T09:00:00Z">
        <w:r w:rsidR="001B6B7E">
          <w:t xml:space="preserve"> (Figure New)</w:t>
        </w:r>
      </w:ins>
      <w:r>
        <w:t>. By the end of the experiment, seagrasses in the Treatment group exhibited a median SDI of 0.01, with no samples showing a negative SDI value, consistent with their visibly darkened appearance. In contrast, the Control group retained a green appearance throughout the experiment, with a median SDI of -0.003, and only 3% of samples displaying a positive SDI value</w:t>
      </w:r>
      <w:ins w:id="268" w:author="Bede Davies" w:date="2024-11-14T10:00:00Z" w16du:dateUtc="2024-11-14T09:00:00Z">
        <w:r w:rsidR="001B6B7E">
          <w:t>.</w:t>
        </w:r>
      </w:ins>
      <w:del w:id="269" w:author="Bede Davies" w:date="2024-11-14T10:00:00Z" w16du:dateUtc="2024-11-14T09:00:00Z">
        <w:r w:rsidDel="001B6B7E">
          <w:delText xml:space="preserve"> (Annexe B1 ; </w:delText>
        </w:r>
        <w:r w:rsidR="00326662" w:rsidDel="001B6B7E">
          <w:fldChar w:fldCharType="begin"/>
        </w:r>
        <w:r w:rsidR="00326662" w:rsidDel="001B6B7E">
          <w:delInstrText>HYPERLINK \l "sec-AnnexeB" \h</w:delInstrText>
        </w:r>
        <w:r w:rsidR="00326662" w:rsidDel="001B6B7E">
          <w:fldChar w:fldCharType="separate"/>
        </w:r>
        <w:r w:rsidR="00326662" w:rsidDel="001B6B7E">
          <w:rPr>
            <w:rStyle w:val="Hyperlink"/>
          </w:rPr>
          <w:delText>Section 6.2</w:delText>
        </w:r>
        <w:r w:rsidR="00326662" w:rsidDel="001B6B7E">
          <w:rPr>
            <w:rStyle w:val="Hyperlink"/>
          </w:rPr>
          <w:fldChar w:fldCharType="end"/>
        </w:r>
        <w:r w:rsidDel="001B6B7E">
          <w:delText>).</w:delText>
        </w:r>
        <w:commentRangeEnd w:id="264"/>
        <w:r w:rsidR="001B6B7E" w:rsidDel="001B6B7E">
          <w:rPr>
            <w:rStyle w:val="CommentReference"/>
          </w:rPr>
          <w:commentReference w:id="264"/>
        </w:r>
      </w:del>
    </w:p>
    <w:p w14:paraId="7B6372CF" w14:textId="77777777" w:rsidR="00326662" w:rsidRDefault="00000000">
      <w:pPr>
        <w:pStyle w:val="Heading2"/>
      </w:pPr>
      <w:bookmarkStart w:id="270" w:name="heatwaves-of-quiberon"/>
      <w:bookmarkEnd w:id="150"/>
      <w:bookmarkEnd w:id="157"/>
      <w:r>
        <w:t>3.2 Heatwaves of Quiberon</w:t>
      </w:r>
    </w:p>
    <w:p w14:paraId="31387A44" w14:textId="77777777" w:rsidR="00326662" w:rsidRDefault="00000000">
      <w:pPr>
        <w:pStyle w:val="Heading3"/>
      </w:pPr>
      <w:bookmarkStart w:id="271" w:name="spectral-inspection-1"/>
      <w:r>
        <w:t>3.2.1 Spectral inspection</w:t>
      </w:r>
    </w:p>
    <w:p w14:paraId="5EB76156" w14:textId="69469D32" w:rsidR="00326662" w:rsidRDefault="00000000">
      <w:pPr>
        <w:pStyle w:val="FirstParagraph"/>
      </w:pPr>
      <w:r>
        <w:t>The Sentinel-2 images used in this study are dated from the 1st of September 2021 and the 6th of September 2021 (</w:t>
      </w:r>
      <w:hyperlink w:anchor="fig-S2_comparison">
        <w:r w:rsidR="00326662">
          <w:rPr>
            <w:rStyle w:val="Hyperlink"/>
          </w:rPr>
          <w:t>Figure 6</w:t>
        </w:r>
      </w:hyperlink>
      <w:r>
        <w:t xml:space="preserve"> A and C, respectively). The Atmospheric Heat Wave (AHW) started on 4 September and lasted until 7 September, while the Marine Heat Wave (MHW) started on 3 September and ended on 8 September 2021 (</w:t>
      </w:r>
      <w:hyperlink w:anchor="fig-S2_comparison">
        <w:r w:rsidR="00326662">
          <w:rPr>
            <w:rStyle w:val="Hyperlink"/>
          </w:rPr>
          <w:t>Figure 6</w:t>
        </w:r>
      </w:hyperlink>
      <w:r>
        <w:t xml:space="preserve"> B). The AHW </w:t>
      </w:r>
      <w:del w:id="272" w:author="Bede Davies" w:date="2024-11-14T10:01:00Z" w16du:dateUtc="2024-11-14T09:01:00Z">
        <w:r w:rsidDel="001B6B7E">
          <w:delText xml:space="preserve">has been </w:delText>
        </w:r>
      </w:del>
      <w:ins w:id="273" w:author="Bede Davies" w:date="2024-11-14T10:01:00Z" w16du:dateUtc="2024-11-14T09:01:00Z">
        <w:r w:rsidR="001B6B7E">
          <w:t xml:space="preserve">was </w:t>
        </w:r>
      </w:ins>
      <w:r>
        <w:t xml:space="preserve">classified as a strong event, and the MHW </w:t>
      </w:r>
      <w:del w:id="274" w:author="Bede Davies" w:date="2024-11-14T10:01:00Z" w16du:dateUtc="2024-11-14T09:01:00Z">
        <w:r w:rsidDel="001B6B7E">
          <w:delText>has been</w:delText>
        </w:r>
      </w:del>
      <w:proofErr w:type="gramStart"/>
      <w:ins w:id="275" w:author="Bede Davies" w:date="2024-11-14T10:01:00Z" w16du:dateUtc="2024-11-14T09:01:00Z">
        <w:r w:rsidR="001B6B7E">
          <w:t xml:space="preserve">was </w:t>
        </w:r>
      </w:ins>
      <w:r>
        <w:t xml:space="preserve"> classified</w:t>
      </w:r>
      <w:proofErr w:type="gramEnd"/>
      <w:r>
        <w:t xml:space="preserve"> as moderate. Even though the Sentinel-2 of the 6th of September was captured only a few days after the start of the events, darkening of seagrass can already be observed in the true-color composition (</w:t>
      </w:r>
      <w:hyperlink w:anchor="fig-S2_comparison">
        <w:r w:rsidR="00326662">
          <w:rPr>
            <w:rStyle w:val="Hyperlink"/>
          </w:rPr>
          <w:t>Figure 6</w:t>
        </w:r>
      </w:hyperlink>
      <w:r>
        <w:t xml:space="preserve"> C). Before the event, all QPs appeared green on the images, with similar reflectance spectra, regardless of the class attributed to the QPs </w:t>
      </w:r>
      <w:ins w:id="276" w:author="Bede Davies" w:date="2024-11-14T10:02:00Z" w16du:dateUtc="2024-11-14T09:02:00Z">
        <w:r w:rsidR="001B6B7E">
          <w:t>i</w:t>
        </w:r>
      </w:ins>
      <w:del w:id="277" w:author="Bede Davies" w:date="2024-11-14T10:02:00Z" w16du:dateUtc="2024-11-14T09:02:00Z">
        <w:r w:rsidDel="001B6B7E">
          <w:delText>o</w:delText>
        </w:r>
      </w:del>
      <w:r>
        <w:t xml:space="preserve">n the field </w:t>
      </w:r>
      <w:ins w:id="278" w:author="Bede Davies" w:date="2024-11-14T10:02:00Z" w16du:dateUtc="2024-11-14T09:02:00Z">
        <w:r w:rsidR="001B6B7E">
          <w:t xml:space="preserve">after the events </w:t>
        </w:r>
      </w:ins>
      <w:r>
        <w:t>(</w:t>
      </w:r>
      <w:hyperlink w:anchor="fig-S2_comparison">
        <w:r w:rsidR="00326662">
          <w:rPr>
            <w:rStyle w:val="Hyperlink"/>
          </w:rPr>
          <w:t>Figure 6</w:t>
        </w:r>
      </w:hyperlink>
      <w:r>
        <w:t xml:space="preserve"> A and D left). Their reflectance spectra showed a peak at 560 nm (in the green part of the spectra), low values at 665 nm</w:t>
      </w:r>
      <w:del w:id="279" w:author="Bede Davies" w:date="2024-11-14T10:02:00Z" w16du:dateUtc="2024-11-14T09:02:00Z">
        <w:r w:rsidDel="001B6B7E">
          <w:delText xml:space="preserve">, </w:delText>
        </w:r>
        <w:r w:rsidDel="001B6B7E">
          <w:lastRenderedPageBreak/>
          <w:delText>corresponding to the strong absorption by chlorophyll-a</w:delText>
        </w:r>
      </w:del>
      <w:r>
        <w:t xml:space="preserve"> and a high infrared plateau (&gt; 705 nm). However, on the 6th of September, QPs classified as impacted during the field campaign, showed significant differences in reflectance spectral shape compared to QPs classified as unimpacted </w:t>
      </w:r>
      <w:del w:id="280" w:author="Bede Davies" w:date="2024-11-14T10:02:00Z" w16du:dateUtc="2024-11-14T09:02:00Z">
        <w:r w:rsidDel="001B6B7E">
          <w:delText xml:space="preserve">on </w:delText>
        </w:r>
      </w:del>
      <w:r>
        <w:t>during the campaign, with corresponding differences in the true color composition (</w:t>
      </w:r>
      <w:hyperlink w:anchor="fig-S2_comparison">
        <w:r w:rsidR="00326662">
          <w:rPr>
            <w:rStyle w:val="Hyperlink"/>
          </w:rPr>
          <w:t>Figure 6</w:t>
        </w:r>
      </w:hyperlink>
      <w:r>
        <w:t xml:space="preserve"> C and D right). The reflectance spectra over dark seagrass were characterized by the loss of the reflectance peak at 560 nm and a decrease in the infrared plateau, which was observed as a steady increasing slope up to 940 nm.</w:t>
      </w:r>
    </w:p>
    <w:tbl>
      <w:tblPr>
        <w:tblStyle w:val="Table"/>
        <w:tblW w:w="5000" w:type="pct"/>
        <w:tblLayout w:type="fixed"/>
        <w:tblLook w:val="0000" w:firstRow="0" w:lastRow="0" w:firstColumn="0" w:lastColumn="0" w:noHBand="0" w:noVBand="0"/>
      </w:tblPr>
      <w:tblGrid>
        <w:gridCol w:w="9360"/>
      </w:tblGrid>
      <w:tr w:rsidR="00326662" w14:paraId="0DB3AF4C" w14:textId="77777777">
        <w:tc>
          <w:tcPr>
            <w:tcW w:w="7920" w:type="dxa"/>
          </w:tcPr>
          <w:p w14:paraId="3C1E09E4" w14:textId="77777777" w:rsidR="00326662" w:rsidRDefault="00000000">
            <w:pPr>
              <w:pStyle w:val="Compact"/>
              <w:jc w:val="center"/>
            </w:pPr>
            <w:bookmarkStart w:id="281" w:name="fig-S2_comparison"/>
            <w:bookmarkStart w:id="282" w:name="cell-fig-S2_comparison"/>
            <w:commentRangeStart w:id="283"/>
            <w:commentRangeStart w:id="284"/>
            <w:commentRangeStart w:id="285"/>
            <w:r>
              <w:rPr>
                <w:noProof/>
              </w:rPr>
              <w:drawing>
                <wp:inline distT="0" distB="0" distL="0" distR="0" wp14:anchorId="01FE3B9B" wp14:editId="114149E8">
                  <wp:extent cx="5646420" cy="539233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gs/Low_res/Heatwaves_S2_plot.png"/>
                          <pic:cNvPicPr>
                            <a:picLocks noChangeAspect="1" noChangeArrowheads="1"/>
                          </pic:cNvPicPr>
                        </pic:nvPicPr>
                        <pic:blipFill>
                          <a:blip r:embed="rId17"/>
                          <a:stretch>
                            <a:fillRect/>
                          </a:stretch>
                        </pic:blipFill>
                        <pic:spPr bwMode="auto">
                          <a:xfrm>
                            <a:off x="0" y="0"/>
                            <a:ext cx="5646420" cy="5392331"/>
                          </a:xfrm>
                          <a:prstGeom prst="rect">
                            <a:avLst/>
                          </a:prstGeom>
                          <a:noFill/>
                          <a:ln w="9525">
                            <a:noFill/>
                            <a:headEnd/>
                            <a:tailEnd/>
                          </a:ln>
                        </pic:spPr>
                      </pic:pic>
                    </a:graphicData>
                  </a:graphic>
                </wp:inline>
              </w:drawing>
            </w:r>
            <w:commentRangeEnd w:id="283"/>
            <w:r w:rsidR="001B6B7E">
              <w:rPr>
                <w:rStyle w:val="CommentReference"/>
              </w:rPr>
              <w:commentReference w:id="283"/>
            </w:r>
            <w:commentRangeEnd w:id="284"/>
            <w:r w:rsidR="001B6B7E">
              <w:rPr>
                <w:rStyle w:val="CommentReference"/>
              </w:rPr>
              <w:commentReference w:id="284"/>
            </w:r>
            <w:commentRangeEnd w:id="285"/>
            <w:r w:rsidR="001B6B7E">
              <w:rPr>
                <w:rStyle w:val="CommentReference"/>
              </w:rPr>
              <w:commentReference w:id="285"/>
            </w:r>
          </w:p>
          <w:p w14:paraId="676E4E03" w14:textId="77777777" w:rsidR="00326662" w:rsidRDefault="00000000">
            <w:pPr>
              <w:pStyle w:val="ImageCaption"/>
              <w:spacing w:before="200"/>
            </w:pPr>
            <w:r>
              <w:t xml:space="preserve">Figure 6: Spectral Comparison of Sentinel-2 Reflectance (D) of Quadrats Points (QPs) Before (A) and During (C) Heatwave Events (B); A: RGB color composition of the Sentinel-2 image </w:t>
            </w:r>
            <w:r>
              <w:lastRenderedPageBreak/>
              <w:t>on the 1st of September 2021. The points correspond to QPs collected on September 10, 2021, with unimpacted seagrass in green and impacted seagrass in golden; B: Detection of heatwave events based on both Air Temperature and Sea Surface Temperature (SST). The solid line represents the daily average temperature, while the dashed line indicates the 90th percentile of the climatology. Colored areas identify heatwaves (marine in blue and atmospherical in red). The two vertical dashed lines represent the acquisition dates of the two Sentinel-2 images used in this analysis (01-09-2021 and 06-09-2021) ; C : RGB color composition of the Sentinel-2 image on the 6th of September 2021, with unimpacted seagrass in green and impacted seagrass in golden; D : Average spectral signatures of QPs where dark and green seagrasses (gold and green lines, respectively) were identified during the field survey. The left plot shows the reflectance of these QPs before the heatwave impact, while the right plot shows the spectral signature during the heatwaves. The ribbons around the lines represent the standard deviation.</w:t>
            </w:r>
          </w:p>
        </w:tc>
        <w:bookmarkEnd w:id="281"/>
      </w:tr>
    </w:tbl>
    <w:p w14:paraId="4158A0CB" w14:textId="77777777" w:rsidR="00326662" w:rsidRDefault="00000000">
      <w:pPr>
        <w:pStyle w:val="Heading3"/>
      </w:pPr>
      <w:bookmarkStart w:id="286" w:name="sentinel-2-derived-metrics-comparison"/>
      <w:bookmarkEnd w:id="271"/>
      <w:bookmarkEnd w:id="282"/>
      <w:r>
        <w:lastRenderedPageBreak/>
        <w:t>3.2.2 Sentinel-2 derived metrics comparison</w:t>
      </w:r>
    </w:p>
    <w:p w14:paraId="001D6FB4" w14:textId="632780E7" w:rsidR="00326662" w:rsidRDefault="00000000">
      <w:pPr>
        <w:pStyle w:val="FirstParagraph"/>
      </w:pPr>
      <w:r>
        <w:t xml:space="preserve">Using Sentinel-2 data, </w:t>
      </w:r>
      <w:del w:id="287" w:author="Bede Davies" w:date="2024-11-14T10:08:00Z" w16du:dateUtc="2024-11-14T09:08:00Z">
        <w:r w:rsidDel="001B6B7E">
          <w:delText xml:space="preserve">the remote sensing derived metrics, the </w:delText>
        </w:r>
      </w:del>
      <w:r>
        <w:t xml:space="preserve">NDVI, </w:t>
      </w:r>
      <w:del w:id="288" w:author="Bede Davies" w:date="2024-11-14T10:08:00Z" w16du:dateUtc="2024-11-14T09:08:00Z">
        <w:r w:rsidDel="001B6B7E">
          <w:delText xml:space="preserve">the </w:delText>
        </w:r>
      </w:del>
      <w:r>
        <w:t xml:space="preserve">Seagrass Cover (SC), </w:t>
      </w:r>
      <w:del w:id="289" w:author="Bede Davies" w:date="2024-11-14T10:08:00Z" w16du:dateUtc="2024-11-14T09:08:00Z">
        <w:r w:rsidDel="001B6B7E">
          <w:delText xml:space="preserve">the </w:delText>
        </w:r>
      </w:del>
      <w:r>
        <w:t xml:space="preserve">GLI and </w:t>
      </w:r>
      <w:del w:id="290" w:author="Bede Davies" w:date="2024-11-14T10:08:00Z" w16du:dateUtc="2024-11-14T09:08:00Z">
        <w:r w:rsidDel="001B6B7E">
          <w:delText xml:space="preserve">the </w:delText>
        </w:r>
      </w:del>
      <w:r>
        <w:t>SDI estimated for pixels unaffected by the heatwave showed minimal changes for all metrics of -1 %, -1 %, -10 and 3 %, respectively between the 1st of September and the 6th of September (</w:t>
      </w:r>
      <w:hyperlink w:anchor="fig-NDVI_GLI_SPC">
        <w:r w:rsidR="00326662">
          <w:rPr>
            <w:rStyle w:val="Hyperlink"/>
          </w:rPr>
          <w:t>Figure 7</w:t>
        </w:r>
      </w:hyperlink>
      <w:r>
        <w:t>). In contrast, seagrass impacted by the heatwave exhibited</w:t>
      </w:r>
      <w:del w:id="291" w:author="Bede Davies" w:date="2024-11-14T10:08:00Z" w16du:dateUtc="2024-11-14T09:08:00Z">
        <w:r w:rsidDel="001B6B7E">
          <w:delText xml:space="preserve"> a</w:delText>
        </w:r>
      </w:del>
      <w:r>
        <w:t xml:space="preserve"> significant changes in all metrics. Because the SC is linearly </w:t>
      </w:r>
      <w:del w:id="292" w:author="Bede Davies" w:date="2024-11-14T10:09:00Z" w16du:dateUtc="2024-11-14T09:09:00Z">
        <w:r w:rsidDel="001B6B7E">
          <w:delText xml:space="preserve">linked </w:delText>
        </w:r>
      </w:del>
      <w:ins w:id="293" w:author="Bede Davies" w:date="2024-11-14T10:09:00Z" w16du:dateUtc="2024-11-14T09:09:00Z">
        <w:r w:rsidR="001B6B7E">
          <w:t>related</w:t>
        </w:r>
        <w:r w:rsidR="001B6B7E">
          <w:t xml:space="preserve"> </w:t>
        </w:r>
      </w:ins>
      <w:del w:id="294" w:author="Bede Davies" w:date="2024-11-14T10:09:00Z" w16du:dateUtc="2024-11-14T09:09:00Z">
        <w:r w:rsidDel="001B6B7E">
          <w:delText xml:space="preserve">with </w:delText>
        </w:r>
      </w:del>
      <w:ins w:id="295" w:author="Bede Davies" w:date="2024-11-14T10:09:00Z" w16du:dateUtc="2024-11-14T09:09:00Z">
        <w:r w:rsidR="001B6B7E">
          <w:t>to</w:t>
        </w:r>
        <w:r w:rsidR="001B6B7E">
          <w:t xml:space="preserve"> </w:t>
        </w:r>
      </w:ins>
      <w:r>
        <w:t>the NDVI, both metric</w:t>
      </w:r>
      <w:ins w:id="296" w:author="Bede Davies" w:date="2024-11-14T10:09:00Z" w16du:dateUtc="2024-11-14T09:09:00Z">
        <w:r w:rsidR="001B6B7E">
          <w:t>s</w:t>
        </w:r>
      </w:ins>
      <w:r>
        <w:t xml:space="preserve"> </w:t>
      </w:r>
      <w:commentRangeStart w:id="297"/>
      <w:r>
        <w:t>drop</w:t>
      </w:r>
      <w:ins w:id="298" w:author="Bede Davies" w:date="2024-11-14T10:09:00Z" w16du:dateUtc="2024-11-14T09:09:00Z">
        <w:r w:rsidR="001B6B7E">
          <w:t xml:space="preserve">ped </w:t>
        </w:r>
      </w:ins>
      <w:del w:id="299" w:author="Bede Davies" w:date="2024-11-14T10:09:00Z" w16du:dateUtc="2024-11-14T09:09:00Z">
        <w:r w:rsidDel="001B6B7E">
          <w:delText xml:space="preserve"> of -</w:delText>
        </w:r>
      </w:del>
      <w:commentRangeEnd w:id="297"/>
      <w:r w:rsidR="00FA0A0E">
        <w:rPr>
          <w:rStyle w:val="CommentReference"/>
        </w:rPr>
        <w:commentReference w:id="297"/>
      </w:r>
      <w:r>
        <w:t xml:space="preserve">35 %, however the drop in SC </w:t>
      </w:r>
      <w:del w:id="300" w:author="Bede Davies" w:date="2024-11-14T10:10:00Z" w16du:dateUtc="2024-11-14T09:10:00Z">
        <w:r w:rsidDel="00FA0A0E">
          <w:delText xml:space="preserve">were </w:delText>
        </w:r>
      </w:del>
      <w:ins w:id="301" w:author="Bede Davies" w:date="2024-11-14T10:10:00Z" w16du:dateUtc="2024-11-14T09:10:00Z">
        <w:r w:rsidR="00FA0A0E">
          <w:t>was</w:t>
        </w:r>
        <w:r w:rsidR="00FA0A0E">
          <w:t xml:space="preserve"> </w:t>
        </w:r>
      </w:ins>
      <w:r>
        <w:t>not due to a loss of density of seagrass on the field (</w:t>
      </w:r>
      <w:hyperlink w:anchor="fig-QuiberonImg">
        <w:r w:rsidR="00326662">
          <w:rPr>
            <w:rStyle w:val="Hyperlink"/>
          </w:rPr>
          <w:t>Figure 3</w:t>
        </w:r>
      </w:hyperlink>
      <w:r>
        <w:t>). The GLI drop</w:t>
      </w:r>
      <w:ins w:id="302" w:author="Bede Davies" w:date="2024-11-14T10:10:00Z" w16du:dateUtc="2024-11-14T09:10:00Z">
        <w:r w:rsidR="00FA0A0E">
          <w:t>ped</w:t>
        </w:r>
      </w:ins>
      <w:del w:id="303" w:author="Bede Davies" w:date="2024-11-14T10:10:00Z" w16du:dateUtc="2024-11-14T09:10:00Z">
        <w:r w:rsidDel="00FA0A0E">
          <w:delText>s</w:delText>
        </w:r>
      </w:del>
      <w:r>
        <w:t xml:space="preserve"> </w:t>
      </w:r>
      <w:del w:id="304" w:author="Bede Davies" w:date="2024-11-14T10:10:00Z" w16du:dateUtc="2024-11-14T09:10:00Z">
        <w:r w:rsidDel="00FA0A0E">
          <w:delText xml:space="preserve">of </w:delText>
        </w:r>
      </w:del>
      <w:ins w:id="305" w:author="Bede Davies" w:date="2024-11-14T10:10:00Z" w16du:dateUtc="2024-11-14T09:10:00Z">
        <w:r w:rsidR="00FA0A0E">
          <w:t>by</w:t>
        </w:r>
        <w:r w:rsidR="00FA0A0E">
          <w:t xml:space="preserve"> </w:t>
        </w:r>
      </w:ins>
      <w:r>
        <w:t xml:space="preserve">about </w:t>
      </w:r>
      <w:del w:id="306" w:author="Bede Davies" w:date="2024-11-14T10:10:00Z" w16du:dateUtc="2024-11-14T09:10:00Z">
        <w:r w:rsidDel="00FA0A0E">
          <w:delText>-</w:delText>
        </w:r>
      </w:del>
      <w:r>
        <w:t xml:space="preserve">85 % </w:t>
      </w:r>
      <w:proofErr w:type="gramStart"/>
      <w:r>
        <w:t>at</w:t>
      </w:r>
      <w:proofErr w:type="gramEnd"/>
      <w:r>
        <w:t xml:space="preserve"> the 6th of September. The SDI </w:t>
      </w:r>
      <w:del w:id="307" w:author="Bede Davies" w:date="2024-11-14T10:10:00Z" w16du:dateUtc="2024-11-14T09:10:00Z">
        <w:r w:rsidDel="00FA0A0E">
          <w:delText xml:space="preserve">were </w:delText>
        </w:r>
      </w:del>
      <w:ins w:id="308" w:author="Bede Davies" w:date="2024-11-14T10:10:00Z" w16du:dateUtc="2024-11-14T09:10:00Z">
        <w:r w:rsidR="00FA0A0E">
          <w:t>was</w:t>
        </w:r>
        <w:r w:rsidR="00FA0A0E">
          <w:t xml:space="preserve"> </w:t>
        </w:r>
      </w:ins>
      <w:r>
        <w:t>the most sensitive metric to the darkening of seagrasses, showing an increase of 97 % during heatwave exposure (</w:t>
      </w:r>
      <w:hyperlink w:anchor="fig-NDVI_GLI_SPC">
        <w:r w:rsidR="00326662">
          <w:rPr>
            <w:rStyle w:val="Hyperlink"/>
          </w:rPr>
          <w:t>Figure 7</w:t>
        </w:r>
      </w:hyperlink>
      <w:r>
        <w:t>).</w:t>
      </w:r>
    </w:p>
    <w:p w14:paraId="04530BB6" w14:textId="45D55A86" w:rsidR="00326662" w:rsidRDefault="00000000">
      <w:pPr>
        <w:pStyle w:val="BodyText"/>
      </w:pPr>
      <w:r>
        <w:t xml:space="preserve">One month later the heatwaves events, on the 8th of October, all metrics of unimpacted QPs </w:t>
      </w:r>
      <w:del w:id="309" w:author="Bede Davies" w:date="2024-11-14T10:10:00Z" w16du:dateUtc="2024-11-14T09:10:00Z">
        <w:r w:rsidDel="00FA0A0E">
          <w:delText xml:space="preserve">have </w:delText>
        </w:r>
      </w:del>
      <w:ins w:id="310" w:author="Bede Davies" w:date="2024-11-14T10:10:00Z" w16du:dateUtc="2024-11-14T09:10:00Z">
        <w:r w:rsidR="00FA0A0E">
          <w:t>had</w:t>
        </w:r>
        <w:r w:rsidR="00FA0A0E">
          <w:t xml:space="preserve"> </w:t>
        </w:r>
      </w:ins>
      <w:r>
        <w:t xml:space="preserve">increased compared to the 1st of September: The NDVI and SC by 21 %, The GLI by 15 % and the SDI 14 %. Concerning QPs impacted by the heatwaves, even </w:t>
      </w:r>
      <w:del w:id="311" w:author="Bede Davies" w:date="2024-11-14T10:11:00Z" w16du:dateUtc="2024-11-14T09:11:00Z">
        <w:r w:rsidDel="00FA0A0E">
          <w:delText xml:space="preserve">if </w:delText>
        </w:r>
      </w:del>
      <w:ins w:id="312" w:author="Bede Davies" w:date="2024-11-14T10:11:00Z" w16du:dateUtc="2024-11-14T09:11:00Z">
        <w:r w:rsidR="00FA0A0E">
          <w:t>though</w:t>
        </w:r>
        <w:r w:rsidR="00FA0A0E">
          <w:t xml:space="preserve"> </w:t>
        </w:r>
      </w:ins>
      <w:r>
        <w:t xml:space="preserve">all the metrics </w:t>
      </w:r>
      <w:del w:id="313" w:author="Bede Davies" w:date="2024-11-14T10:11:00Z" w16du:dateUtc="2024-11-14T09:11:00Z">
        <w:r w:rsidDel="00FA0A0E">
          <w:delText xml:space="preserve">are </w:delText>
        </w:r>
      </w:del>
      <w:ins w:id="314" w:author="Bede Davies" w:date="2024-11-14T10:11:00Z" w16du:dateUtc="2024-11-14T09:11:00Z">
        <w:r w:rsidR="00FA0A0E">
          <w:t>were</w:t>
        </w:r>
        <w:r w:rsidR="00FA0A0E">
          <w:t xml:space="preserve"> </w:t>
        </w:r>
      </w:ins>
      <w:r>
        <w:t xml:space="preserve">closer to the values they had </w:t>
      </w:r>
      <w:del w:id="315" w:author="Bede Davies" w:date="2024-11-14T10:11:00Z" w16du:dateUtc="2024-11-14T09:11:00Z">
        <w:r w:rsidDel="00FA0A0E">
          <w:delText xml:space="preserve">before </w:delText>
        </w:r>
      </w:del>
      <w:ins w:id="316" w:author="Bede Davies" w:date="2024-11-14T10:11:00Z" w16du:dateUtc="2024-11-14T09:11:00Z">
        <w:r w:rsidR="00FA0A0E">
          <w:t>prior to</w:t>
        </w:r>
        <w:r w:rsidR="00FA0A0E">
          <w:t xml:space="preserve"> </w:t>
        </w:r>
      </w:ins>
      <w:r>
        <w:t>the heatwave</w:t>
      </w:r>
      <w:ins w:id="317" w:author="Bede Davies" w:date="2024-11-14T10:11:00Z" w16du:dateUtc="2024-11-14T09:11:00Z">
        <w:r w:rsidR="00FA0A0E">
          <w:t>s</w:t>
        </w:r>
      </w:ins>
      <w:r>
        <w:t xml:space="preserve">, they have not </w:t>
      </w:r>
      <w:del w:id="318" w:author="Bede Davies" w:date="2024-11-14T10:11:00Z" w16du:dateUtc="2024-11-14T09:11:00Z">
        <w:r w:rsidDel="00FA0A0E">
          <w:delText xml:space="preserve">retrieved </w:delText>
        </w:r>
      </w:del>
      <w:ins w:id="319" w:author="Bede Davies" w:date="2024-11-14T10:11:00Z" w16du:dateUtc="2024-11-14T09:11:00Z">
        <w:r w:rsidR="00FA0A0E">
          <w:t>regained</w:t>
        </w:r>
        <w:r w:rsidR="00FA0A0E">
          <w:t xml:space="preserve"> </w:t>
        </w:r>
      </w:ins>
      <w:proofErr w:type="spellStart"/>
      <w:r>
        <w:t>the</w:t>
      </w:r>
      <w:ins w:id="320" w:author="Bede Davies" w:date="2024-11-14T10:11:00Z" w16du:dateUtc="2024-11-14T09:11:00Z">
        <w:r w:rsidR="00FA0A0E">
          <w:t>i</w:t>
        </w:r>
      </w:ins>
      <w:r>
        <w:t>r</w:t>
      </w:r>
      <w:proofErr w:type="spellEnd"/>
      <w:del w:id="321" w:author="Bede Davies" w:date="2024-11-14T10:11:00Z" w16du:dateUtc="2024-11-14T09:11:00Z">
        <w:r w:rsidDel="00FA0A0E">
          <w:delText>e</w:delText>
        </w:r>
      </w:del>
      <w:r>
        <w:t xml:space="preserve"> level </w:t>
      </w:r>
      <w:del w:id="322" w:author="Bede Davies" w:date="2024-11-14T10:11:00Z" w16du:dateUtc="2024-11-14T09:11:00Z">
        <w:r w:rsidDel="00FA0A0E">
          <w:delText xml:space="preserve">of </w:delText>
        </w:r>
      </w:del>
      <w:ins w:id="323" w:author="Bede Davies" w:date="2024-11-14T10:11:00Z" w16du:dateUtc="2024-11-14T09:11:00Z">
        <w:r w:rsidR="00FA0A0E">
          <w:t>from</w:t>
        </w:r>
        <w:r w:rsidR="00FA0A0E">
          <w:t xml:space="preserve"> </w:t>
        </w:r>
      </w:ins>
      <w:r>
        <w:t xml:space="preserve">before the </w:t>
      </w:r>
      <w:del w:id="324" w:author="Bede Davies" w:date="2024-11-14T10:11:00Z" w16du:dateUtc="2024-11-14T09:11:00Z">
        <w:r w:rsidDel="00FA0A0E">
          <w:delText>heatwave</w:delText>
        </w:r>
      </w:del>
      <w:ins w:id="325" w:author="Bede Davies" w:date="2024-11-14T10:11:00Z" w16du:dateUtc="2024-11-14T09:11:00Z">
        <w:r w:rsidR="00FA0A0E">
          <w:t>events</w:t>
        </w:r>
      </w:ins>
      <w:r>
        <w:t xml:space="preserve">. </w:t>
      </w:r>
      <w:del w:id="326" w:author="Bede Davies" w:date="2024-11-14T10:12:00Z" w16du:dateUtc="2024-11-14T09:12:00Z">
        <w:r w:rsidDel="00FA0A0E">
          <w:delText xml:space="preserve">At </w:delText>
        </w:r>
      </w:del>
      <w:ins w:id="327" w:author="Bede Davies" w:date="2024-11-14T10:12:00Z" w16du:dateUtc="2024-11-14T09:12:00Z">
        <w:r w:rsidR="00FA0A0E">
          <w:t>By</w:t>
        </w:r>
        <w:r w:rsidR="00FA0A0E">
          <w:t xml:space="preserve"> </w:t>
        </w:r>
      </w:ins>
      <w:del w:id="328" w:author="Bede Davies" w:date="2024-11-14T10:11:00Z" w16du:dateUtc="2024-11-14T09:11:00Z">
        <w:r w:rsidDel="00FA0A0E">
          <w:delText xml:space="preserve">the </w:delText>
        </w:r>
      </w:del>
      <w:r>
        <w:t xml:space="preserve">8th of October, the NDVI and the SC of these QPs were </w:t>
      </w:r>
      <w:del w:id="329" w:author="Bede Davies" w:date="2024-11-14T10:12:00Z" w16du:dateUtc="2024-11-14T09:12:00Z">
        <w:r w:rsidDel="00FA0A0E">
          <w:delText>-</w:delText>
        </w:r>
      </w:del>
      <w:r>
        <w:t>5 %</w:t>
      </w:r>
      <w:ins w:id="330" w:author="Bede Davies" w:date="2024-11-14T10:12:00Z" w16du:dateUtc="2024-11-14T09:12:00Z">
        <w:r w:rsidR="00FA0A0E">
          <w:t xml:space="preserve"> </w:t>
        </w:r>
        <w:r w:rsidR="00FA0A0E">
          <w:lastRenderedPageBreak/>
          <w:t>lower</w:t>
        </w:r>
      </w:ins>
      <w:r>
        <w:t xml:space="preserve">, </w:t>
      </w:r>
      <w:ins w:id="331" w:author="Bede Davies" w:date="2024-11-14T10:12:00Z" w16du:dateUtc="2024-11-14T09:12:00Z">
        <w:r w:rsidR="00FA0A0E">
          <w:t>t</w:t>
        </w:r>
      </w:ins>
      <w:del w:id="332" w:author="Bede Davies" w:date="2024-11-14T10:12:00Z" w16du:dateUtc="2024-11-14T09:12:00Z">
        <w:r w:rsidDel="00FA0A0E">
          <w:delText>T</w:delText>
        </w:r>
      </w:del>
      <w:r>
        <w:t xml:space="preserve">he GLI </w:t>
      </w:r>
      <w:ins w:id="333" w:author="Bede Davies" w:date="2024-11-14T10:12:00Z" w16du:dateUtc="2024-11-14T09:12:00Z">
        <w:r w:rsidR="00FA0A0E">
          <w:t xml:space="preserve">was </w:t>
        </w:r>
      </w:ins>
      <w:del w:id="334" w:author="Bede Davies" w:date="2024-11-14T10:12:00Z" w16du:dateUtc="2024-11-14T09:12:00Z">
        <w:r w:rsidDel="00FA0A0E">
          <w:delText>-</w:delText>
        </w:r>
      </w:del>
      <w:r>
        <w:t xml:space="preserve">16 % lower and the SDI 14 % higher than </w:t>
      </w:r>
      <w:ins w:id="335" w:author="Bede Davies" w:date="2024-11-14T10:13:00Z" w16du:dateUtc="2024-11-14T09:13:00Z">
        <w:r w:rsidR="00FA0A0E">
          <w:t xml:space="preserve">on </w:t>
        </w:r>
      </w:ins>
      <w:del w:id="336" w:author="Bede Davies" w:date="2024-11-14T10:13:00Z" w16du:dateUtc="2024-11-14T09:13:00Z">
        <w:r w:rsidDel="00FA0A0E">
          <w:delText xml:space="preserve">at </w:delText>
        </w:r>
      </w:del>
      <w:r>
        <w:t>the 1st of September.</w:t>
      </w:r>
    </w:p>
    <w:tbl>
      <w:tblPr>
        <w:tblStyle w:val="Table"/>
        <w:tblW w:w="5000" w:type="pct"/>
        <w:tblLayout w:type="fixed"/>
        <w:tblLook w:val="0000" w:firstRow="0" w:lastRow="0" w:firstColumn="0" w:lastColumn="0" w:noHBand="0" w:noVBand="0"/>
      </w:tblPr>
      <w:tblGrid>
        <w:gridCol w:w="9360"/>
      </w:tblGrid>
      <w:tr w:rsidR="00326662" w14:paraId="1AEC882C" w14:textId="77777777">
        <w:tc>
          <w:tcPr>
            <w:tcW w:w="7920" w:type="dxa"/>
          </w:tcPr>
          <w:p w14:paraId="00F4E4E4" w14:textId="77777777" w:rsidR="00326662" w:rsidRDefault="00000000">
            <w:pPr>
              <w:pStyle w:val="Compact"/>
              <w:jc w:val="center"/>
            </w:pPr>
            <w:bookmarkStart w:id="337" w:name="fig-NDVI_GLI_SPC"/>
            <w:bookmarkStart w:id="338" w:name="cell-fig-NDVI_GLI_SPC"/>
            <w:commentRangeStart w:id="339"/>
            <w:r>
              <w:rPr>
                <w:noProof/>
              </w:rPr>
              <w:drawing>
                <wp:inline distT="0" distB="0" distL="0" distR="0" wp14:anchorId="10BCFD49" wp14:editId="3D4DA63F">
                  <wp:extent cx="5646420" cy="564642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s/Low_res/Compares_Indices_S2.png"/>
                          <pic:cNvPicPr>
                            <a:picLocks noChangeAspect="1" noChangeArrowheads="1"/>
                          </pic:cNvPicPr>
                        </pic:nvPicPr>
                        <pic:blipFill>
                          <a:blip r:embed="rId18"/>
                          <a:stretch>
                            <a:fillRect/>
                          </a:stretch>
                        </pic:blipFill>
                        <pic:spPr bwMode="auto">
                          <a:xfrm>
                            <a:off x="0" y="0"/>
                            <a:ext cx="5646420" cy="5646420"/>
                          </a:xfrm>
                          <a:prstGeom prst="rect">
                            <a:avLst/>
                          </a:prstGeom>
                          <a:noFill/>
                          <a:ln w="9525">
                            <a:noFill/>
                            <a:headEnd/>
                            <a:tailEnd/>
                          </a:ln>
                        </pic:spPr>
                      </pic:pic>
                    </a:graphicData>
                  </a:graphic>
                </wp:inline>
              </w:drawing>
            </w:r>
            <w:commentRangeEnd w:id="339"/>
            <w:r w:rsidR="00B171AD">
              <w:rPr>
                <w:rStyle w:val="CommentReference"/>
              </w:rPr>
              <w:commentReference w:id="339"/>
            </w:r>
          </w:p>
          <w:p w14:paraId="4DFDC146" w14:textId="5FEB59C5" w:rsidR="00326662" w:rsidRDefault="00000000">
            <w:pPr>
              <w:pStyle w:val="ImageCaption"/>
              <w:spacing w:before="200"/>
            </w:pPr>
            <w:r>
              <w:t xml:space="preserve">Figure 7: </w:t>
            </w:r>
            <w:del w:id="340" w:author="Bede Davies" w:date="2024-11-14T10:14:00Z" w16du:dateUtc="2024-11-14T09:14:00Z">
              <w:r w:rsidDel="00B171AD">
                <w:delText>Comparaison the r</w:delText>
              </w:r>
            </w:del>
            <w:ins w:id="341" w:author="Bede Davies" w:date="2024-11-14T10:14:00Z" w16du:dateUtc="2024-11-14T09:14:00Z">
              <w:r w:rsidR="00B171AD">
                <w:t>R</w:t>
              </w:r>
            </w:ins>
            <w:r>
              <w:t>elative difference</w:t>
            </w:r>
            <w:ins w:id="342" w:author="Bede Davies" w:date="2024-11-14T10:14:00Z" w16du:dateUtc="2024-11-14T09:14:00Z">
              <w:r w:rsidR="00B171AD">
                <w:t xml:space="preserve"> of </w:t>
              </w:r>
              <w:r w:rsidR="00B171AD">
                <w:t>Normalized Difference Vegetation Index (NDVI</w:t>
              </w:r>
            </w:ins>
            <w:ins w:id="343" w:author="Bede Davies" w:date="2024-11-14T10:15:00Z" w16du:dateUtc="2024-11-14T09:15:00Z">
              <w:r w:rsidR="00B171AD">
                <w:t>: A</w:t>
              </w:r>
            </w:ins>
            <w:ins w:id="344" w:author="Bede Davies" w:date="2024-11-14T10:14:00Z" w16du:dateUtc="2024-11-14T09:14:00Z">
              <w:r w:rsidR="00B171AD">
                <w:t>); Seagrass Cover (SC</w:t>
              </w:r>
            </w:ins>
            <w:ins w:id="345" w:author="Bede Davies" w:date="2024-11-14T10:15:00Z" w16du:dateUtc="2024-11-14T09:15:00Z">
              <w:r w:rsidR="00B171AD">
                <w:t>: B</w:t>
              </w:r>
            </w:ins>
            <w:ins w:id="346" w:author="Bede Davies" w:date="2024-11-14T10:14:00Z" w16du:dateUtc="2024-11-14T09:14:00Z">
              <w:r w:rsidR="00B171AD">
                <w:t>); Green Leaf Index (GLI</w:t>
              </w:r>
            </w:ins>
            <w:ins w:id="347" w:author="Bede Davies" w:date="2024-11-14T10:15:00Z" w16du:dateUtc="2024-11-14T09:15:00Z">
              <w:r w:rsidR="00B171AD">
                <w:t>: C</w:t>
              </w:r>
            </w:ins>
            <w:ins w:id="348" w:author="Bede Davies" w:date="2024-11-14T10:14:00Z" w16du:dateUtc="2024-11-14T09:14:00Z">
              <w:r w:rsidR="00B171AD">
                <w:t>);</w:t>
              </w:r>
            </w:ins>
            <w:ins w:id="349" w:author="Bede Davies" w:date="2024-11-14T10:15:00Z" w16du:dateUtc="2024-11-14T09:15:00Z">
              <w:r w:rsidR="00B171AD">
                <w:t xml:space="preserve"> and </w:t>
              </w:r>
            </w:ins>
            <w:ins w:id="350" w:author="Bede Davies" w:date="2024-11-14T10:14:00Z" w16du:dateUtc="2024-11-14T09:14:00Z">
              <w:r w:rsidR="00B171AD">
                <w:t>Seagrass Darkening Index (SDI</w:t>
              </w:r>
            </w:ins>
            <w:ins w:id="351" w:author="Bede Davies" w:date="2024-11-14T10:15:00Z" w16du:dateUtc="2024-11-14T09:15:00Z">
              <w:r w:rsidR="00B171AD">
                <w:t>: D)</w:t>
              </w:r>
            </w:ins>
            <w:ins w:id="352" w:author="Bede Davies" w:date="2024-11-14T10:16:00Z" w16du:dateUtc="2024-11-14T09:16:00Z">
              <w:r w:rsidR="00B171AD">
                <w:t xml:space="preserve"> </w:t>
              </w:r>
            </w:ins>
            <w:del w:id="353" w:author="Bede Davies" w:date="2024-11-14T10:15:00Z" w16du:dateUtc="2024-11-14T09:15:00Z">
              <w:r w:rsidDel="00B171AD">
                <w:delText xml:space="preserve"> </w:delText>
              </w:r>
            </w:del>
            <w:r>
              <w:t>to the 1st of September 2021 of Sentinel-2 based metrics at two different dates</w:t>
            </w:r>
            <w:del w:id="354" w:author="Bede Davies" w:date="2024-11-14T10:14:00Z" w16du:dateUtc="2024-11-14T09:14:00Z">
              <w:r w:rsidDel="00B171AD">
                <w:delText xml:space="preserve"> </w:delText>
              </w:r>
            </w:del>
            <w:r>
              <w:t>: during (2021-09-06) and after the heatwave events (2021-10-08) of Quiberons, for the two category of QPs</w:t>
            </w:r>
            <w:del w:id="355" w:author="Bede Davies" w:date="2024-11-14T10:14:00Z" w16du:dateUtc="2024-11-14T09:14:00Z">
              <w:r w:rsidDel="00B171AD">
                <w:delText xml:space="preserve"> </w:delText>
              </w:r>
            </w:del>
            <w:r>
              <w:t xml:space="preserve">: Unimpacted seagrasses (green) and Impacted Seagrasses (red). </w:t>
            </w:r>
            <w:del w:id="356" w:author="Bede Davies" w:date="2024-11-14T10:14:00Z" w16du:dateUtc="2024-11-14T09:14:00Z">
              <w:r w:rsidDel="00B171AD">
                <w:delText xml:space="preserve">A: Normalized Difference Vegetation Index (NDVI); B: Seagrass Cover (SC); C: Green Leaf Index (GLI); D: Seagrass Darkening Index (SDI). </w:delText>
              </w:r>
            </w:del>
            <w:r>
              <w:t xml:space="preserve">Points represent predicted value of the </w:t>
            </w:r>
            <w:r>
              <w:lastRenderedPageBreak/>
              <w:t xml:space="preserve">metric using a Generalized Linear Model (GLM) while error bar represent the </w:t>
            </w:r>
            <w:commentRangeStart w:id="357"/>
            <w:r>
              <w:t>89</w:t>
            </w:r>
            <w:commentRangeEnd w:id="357"/>
            <w:r w:rsidR="00DA0ED2">
              <w:rPr>
                <w:rStyle w:val="CommentReference"/>
                <w:i w:val="0"/>
              </w:rPr>
              <w:commentReference w:id="357"/>
            </w:r>
            <w:r>
              <w:t xml:space="preserve">% </w:t>
            </w:r>
            <w:proofErr w:type="spellStart"/>
            <w:r>
              <w:t>confidance</w:t>
            </w:r>
            <w:proofErr w:type="spellEnd"/>
            <w:r>
              <w:t xml:space="preserve"> interval of it.</w:t>
            </w:r>
          </w:p>
        </w:tc>
        <w:bookmarkEnd w:id="337"/>
      </w:tr>
    </w:tbl>
    <w:p w14:paraId="7F30B3E8" w14:textId="77777777" w:rsidR="00326662" w:rsidRDefault="00000000">
      <w:pPr>
        <w:pStyle w:val="Heading3"/>
      </w:pPr>
      <w:bookmarkStart w:id="358" w:name="mapping-of-the-seagrass-darkening"/>
      <w:bookmarkEnd w:id="286"/>
      <w:bookmarkEnd w:id="338"/>
      <w:r>
        <w:lastRenderedPageBreak/>
        <w:t>3.2.3 Mapping of the seagrass darkening</w:t>
      </w:r>
    </w:p>
    <w:p w14:paraId="0A72C6C4" w14:textId="7718F36E" w:rsidR="00326662" w:rsidRDefault="00000000">
      <w:pPr>
        <w:pStyle w:val="FirstParagraph"/>
      </w:pPr>
      <w:r>
        <w:t>Using the SDI (</w:t>
      </w:r>
      <w:hyperlink w:anchor="eq-SDI">
        <w:r w:rsidR="00326662">
          <w:rPr>
            <w:rStyle w:val="Hyperlink"/>
          </w:rPr>
          <w:t>Equation 4</w:t>
        </w:r>
      </w:hyperlink>
      <w:r>
        <w:t xml:space="preserve">), we </w:t>
      </w:r>
      <w:del w:id="359" w:author="Bede Davies" w:date="2024-11-14T10:16:00Z" w16du:dateUtc="2024-11-14T09:16:00Z">
        <w:r w:rsidDel="00DA0ED2">
          <w:delText xml:space="preserve">can </w:delText>
        </w:r>
      </w:del>
      <w:r>
        <w:t>detect</w:t>
      </w:r>
      <w:ins w:id="360" w:author="Bede Davies" w:date="2024-11-14T10:16:00Z" w16du:dateUtc="2024-11-14T09:16:00Z">
        <w:r w:rsidR="00DA0ED2">
          <w:t>ed</w:t>
        </w:r>
      </w:ins>
      <w:r>
        <w:t xml:space="preserve"> seagrass patches that have darkened</w:t>
      </w:r>
      <w:ins w:id="361" w:author="Bede Davies" w:date="2024-11-14T10:16:00Z" w16du:dateUtc="2024-11-14T09:16:00Z">
        <w:r w:rsidR="00DA0ED2">
          <w:t xml:space="preserve"> (Figure 8)</w:t>
        </w:r>
      </w:ins>
      <w:r>
        <w:t>. Following the heatwave events, a total of 26.9 hectares of seagrass darkened, with the largest affected patch covering nearly 8 hectares. Overall, 24 % of the total seagrass meadow area showed signs of darkening between the 1st and 6th of September 2021. Comparing the spatial distribution of darkened patches with the site’s bathymetry reveal</w:t>
      </w:r>
      <w:ins w:id="362" w:author="Bede Davies" w:date="2024-11-14T10:17:00Z" w16du:dateUtc="2024-11-14T09:17:00Z">
        <w:r w:rsidR="00DA0ED2">
          <w:t>ed</w:t>
        </w:r>
      </w:ins>
      <w:del w:id="363" w:author="Bede Davies" w:date="2024-11-14T10:17:00Z" w16du:dateUtc="2024-11-14T09:17:00Z">
        <w:r w:rsidDel="00DA0ED2">
          <w:delText>s</w:delText>
        </w:r>
      </w:del>
      <w:r>
        <w:t xml:space="preserve"> that 94.6 % of darkened areas </w:t>
      </w:r>
      <w:del w:id="364" w:author="Bede Davies" w:date="2024-11-14T10:17:00Z" w16du:dateUtc="2024-11-14T09:17:00Z">
        <w:r w:rsidDel="00DA0ED2">
          <w:delText xml:space="preserve">are </w:delText>
        </w:r>
      </w:del>
      <w:ins w:id="365" w:author="Bede Davies" w:date="2024-11-14T10:17:00Z" w16du:dateUtc="2024-11-14T09:17:00Z">
        <w:r w:rsidR="00DA0ED2">
          <w:t>were</w:t>
        </w:r>
        <w:r w:rsidR="00DA0ED2">
          <w:t xml:space="preserve"> </w:t>
        </w:r>
      </w:ins>
      <w:r>
        <w:t>located at above 3.9 meters of bathymetry (</w:t>
      </w:r>
      <w:hyperlink w:anchor="fig-Map_darkening_Bathy">
        <w:r w:rsidR="00326662">
          <w:rPr>
            <w:rStyle w:val="Hyperlink"/>
          </w:rPr>
          <w:t>Figure 8</w:t>
        </w:r>
      </w:hyperlink>
      <w:r>
        <w:t xml:space="preserve">, A and B). One month later, on October 8th, areas that were previously darkened </w:t>
      </w:r>
      <w:del w:id="366" w:author="Bede Davies" w:date="2024-11-14T10:17:00Z" w16du:dateUtc="2024-11-14T09:17:00Z">
        <w:r w:rsidDel="00DA0ED2">
          <w:delText xml:space="preserve">have </w:delText>
        </w:r>
      </w:del>
      <w:ins w:id="367" w:author="Bede Davies" w:date="2024-11-14T10:17:00Z" w16du:dateUtc="2024-11-14T09:17:00Z">
        <w:r w:rsidR="00DA0ED2">
          <w:t>ha</w:t>
        </w:r>
        <w:r w:rsidR="00DA0ED2">
          <w:t>d</w:t>
        </w:r>
        <w:r w:rsidR="00DA0ED2">
          <w:t xml:space="preserve"> </w:t>
        </w:r>
      </w:ins>
      <w:r>
        <w:t>regained their green color (</w:t>
      </w:r>
      <w:hyperlink w:anchor="fig-Map_darkening_Bathy">
        <w:r w:rsidR="00326662">
          <w:rPr>
            <w:rStyle w:val="Hyperlink"/>
          </w:rPr>
          <w:t>Figure 8</w:t>
        </w:r>
      </w:hyperlink>
      <w:r>
        <w:t>, C).</w:t>
      </w:r>
    </w:p>
    <w:tbl>
      <w:tblPr>
        <w:tblStyle w:val="Table"/>
        <w:tblW w:w="5000" w:type="pct"/>
        <w:tblLayout w:type="fixed"/>
        <w:tblLook w:val="0000" w:firstRow="0" w:lastRow="0" w:firstColumn="0" w:lastColumn="0" w:noHBand="0" w:noVBand="0"/>
      </w:tblPr>
      <w:tblGrid>
        <w:gridCol w:w="9360"/>
      </w:tblGrid>
      <w:tr w:rsidR="00326662" w14:paraId="70D0583F" w14:textId="77777777">
        <w:tc>
          <w:tcPr>
            <w:tcW w:w="7920" w:type="dxa"/>
          </w:tcPr>
          <w:p w14:paraId="70400DDD" w14:textId="77777777" w:rsidR="00326662" w:rsidRDefault="00000000">
            <w:pPr>
              <w:pStyle w:val="Compact"/>
              <w:jc w:val="center"/>
            </w:pPr>
            <w:bookmarkStart w:id="368" w:name="fig-Map_darkening_Bathy"/>
            <w:bookmarkStart w:id="369" w:name="cell-fig-Map_darkening_Bathy"/>
            <w:r>
              <w:rPr>
                <w:noProof/>
              </w:rPr>
              <w:drawing>
                <wp:inline distT="0" distB="0" distL="0" distR="0" wp14:anchorId="66EF98B9" wp14:editId="10C2E93F">
                  <wp:extent cx="5646420" cy="350078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s/Low_res/Map_darkening_Bathy.png"/>
                          <pic:cNvPicPr>
                            <a:picLocks noChangeAspect="1" noChangeArrowheads="1"/>
                          </pic:cNvPicPr>
                        </pic:nvPicPr>
                        <pic:blipFill>
                          <a:blip r:embed="rId19"/>
                          <a:stretch>
                            <a:fillRect/>
                          </a:stretch>
                        </pic:blipFill>
                        <pic:spPr bwMode="auto">
                          <a:xfrm>
                            <a:off x="0" y="0"/>
                            <a:ext cx="5646420" cy="3500780"/>
                          </a:xfrm>
                          <a:prstGeom prst="rect">
                            <a:avLst/>
                          </a:prstGeom>
                          <a:noFill/>
                          <a:ln w="9525">
                            <a:noFill/>
                            <a:headEnd/>
                            <a:tailEnd/>
                          </a:ln>
                        </pic:spPr>
                      </pic:pic>
                    </a:graphicData>
                  </a:graphic>
                </wp:inline>
              </w:drawing>
            </w:r>
          </w:p>
          <w:p w14:paraId="6460CE1F" w14:textId="77777777" w:rsidR="00326662" w:rsidRDefault="00000000">
            <w:pPr>
              <w:pStyle w:val="ImageCaption"/>
              <w:spacing w:before="200"/>
            </w:pPr>
            <w:r>
              <w:t>Figure 8: Map of the Darkening of seagrasses during the heatwave events of September 2021 in Quiberon. A: 3.9 m bathymetry isobar (golden line); B: Result of the detection of darkened seagrass patches (Blue p</w:t>
            </w:r>
            <w:del w:id="370" w:author="Bede Davies" w:date="2024-11-14T10:17:00Z" w16du:dateUtc="2024-11-14T09:17:00Z">
              <w:r w:rsidDel="00DA0ED2">
                <w:delText>l</w:delText>
              </w:r>
            </w:del>
            <w:r>
              <w:t>olygons); C: Sentinel-2 image one month after the end of the heatwaves (2021-10-08).</w:t>
            </w:r>
          </w:p>
        </w:tc>
        <w:bookmarkEnd w:id="368"/>
      </w:tr>
    </w:tbl>
    <w:bookmarkEnd w:id="369"/>
    <w:p w14:paraId="03D652B1" w14:textId="7F79A90F" w:rsidR="00326662" w:rsidRDefault="00000000" w:rsidP="00B8608A">
      <w:pPr>
        <w:pStyle w:val="BodyText"/>
      </w:pPr>
      <w:r>
        <w:lastRenderedPageBreak/>
        <w:t xml:space="preserve">Additionally, </w:t>
      </w:r>
      <w:del w:id="371" w:author="Bede Davies" w:date="2024-11-14T10:18:00Z" w16du:dateUtc="2024-11-14T09:18:00Z">
        <w:r w:rsidDel="00B8608A">
          <w:delText xml:space="preserve">the analysis of bathymetry data to determine seagrass </w:delText>
        </w:r>
      </w:del>
      <w:ins w:id="372" w:author="Bede Davies" w:date="2024-11-14T10:18:00Z" w16du:dateUtc="2024-11-14T09:18:00Z">
        <w:r w:rsidR="00B8608A">
          <w:t xml:space="preserve">Seagrass </w:t>
        </w:r>
      </w:ins>
      <w:r>
        <w:t>emersion time reveal</w:t>
      </w:r>
      <w:ins w:id="373" w:author="Bede Davies" w:date="2024-11-14T10:18:00Z" w16du:dateUtc="2024-11-14T09:18:00Z">
        <w:r w:rsidR="00B8608A">
          <w:t>ed</w:t>
        </w:r>
      </w:ins>
      <w:del w:id="374" w:author="Bede Davies" w:date="2024-11-14T10:18:00Z" w16du:dateUtc="2024-11-14T09:18:00Z">
        <w:r w:rsidDel="00B8608A">
          <w:delText>s</w:delText>
        </w:r>
      </w:del>
      <w:r>
        <w:t xml:space="preserve"> a clear relationship between the duration of air exposure and seagrass darkening</w:t>
      </w:r>
      <w:ins w:id="375" w:author="Bede Davies" w:date="2024-11-14T10:18:00Z" w16du:dateUtc="2024-11-14T09:18:00Z">
        <w:r w:rsidR="00B8608A">
          <w:t xml:space="preserve"> (Figure 9)</w:t>
        </w:r>
      </w:ins>
      <w:r>
        <w:t xml:space="preserve">. During the heatwave, no significant darkening occurred with daily exposure </w:t>
      </w:r>
      <w:del w:id="376" w:author="Bede Davies" w:date="2024-11-14T10:18:00Z" w16du:dateUtc="2024-11-14T09:18:00Z">
        <w:r w:rsidDel="00B8608A">
          <w:delText xml:space="preserve">below </w:delText>
        </w:r>
      </w:del>
      <w:ins w:id="377" w:author="Bede Davies" w:date="2024-11-14T10:18:00Z" w16du:dateUtc="2024-11-14T09:18:00Z">
        <w:r w:rsidR="00B8608A">
          <w:t>less than</w:t>
        </w:r>
        <w:r w:rsidR="00B8608A">
          <w:t xml:space="preserve"> </w:t>
        </w:r>
      </w:ins>
      <w:r>
        <w:t>13 hours. However, above 13 hours, seagrasses began to darken, reaching peak darkening at around 14.5 hours of daily exposure (</w:t>
      </w:r>
      <w:hyperlink w:anchor="fig-GAM_Emersion">
        <w:r w:rsidR="00326662">
          <w:rPr>
            <w:rStyle w:val="Hyperlink"/>
          </w:rPr>
          <w:t>Figure 9</w:t>
        </w:r>
      </w:hyperlink>
      <w:r>
        <w:t>).</w:t>
      </w:r>
    </w:p>
    <w:tbl>
      <w:tblPr>
        <w:tblStyle w:val="Table"/>
        <w:tblW w:w="5000" w:type="pct"/>
        <w:tblLayout w:type="fixed"/>
        <w:tblLook w:val="0000" w:firstRow="0" w:lastRow="0" w:firstColumn="0" w:lastColumn="0" w:noHBand="0" w:noVBand="0"/>
      </w:tblPr>
      <w:tblGrid>
        <w:gridCol w:w="9360"/>
      </w:tblGrid>
      <w:tr w:rsidR="00326662" w14:paraId="434A946C" w14:textId="77777777">
        <w:tc>
          <w:tcPr>
            <w:tcW w:w="7920" w:type="dxa"/>
          </w:tcPr>
          <w:p w14:paraId="502EEFB2" w14:textId="77777777" w:rsidR="00326662" w:rsidRDefault="00000000">
            <w:pPr>
              <w:pStyle w:val="Compact"/>
              <w:jc w:val="center"/>
            </w:pPr>
            <w:bookmarkStart w:id="378" w:name="fig-GAM_Emersion"/>
            <w:bookmarkStart w:id="379" w:name="cell-fig-GAM_Emersion"/>
            <w:r>
              <w:rPr>
                <w:noProof/>
              </w:rPr>
              <w:drawing>
                <wp:inline distT="0" distB="0" distL="0" distR="0" wp14:anchorId="207AC8EA" wp14:editId="217A873C">
                  <wp:extent cx="5646420" cy="282321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s/Low_res/GAM_emersion.png"/>
                          <pic:cNvPicPr>
                            <a:picLocks noChangeAspect="1" noChangeArrowheads="1"/>
                          </pic:cNvPicPr>
                        </pic:nvPicPr>
                        <pic:blipFill>
                          <a:blip r:embed="rId20"/>
                          <a:stretch>
                            <a:fillRect/>
                          </a:stretch>
                        </pic:blipFill>
                        <pic:spPr bwMode="auto">
                          <a:xfrm>
                            <a:off x="0" y="0"/>
                            <a:ext cx="5646420" cy="2823210"/>
                          </a:xfrm>
                          <a:prstGeom prst="rect">
                            <a:avLst/>
                          </a:prstGeom>
                          <a:noFill/>
                          <a:ln w="9525">
                            <a:noFill/>
                            <a:headEnd/>
                            <a:tailEnd/>
                          </a:ln>
                        </pic:spPr>
                      </pic:pic>
                    </a:graphicData>
                  </a:graphic>
                </wp:inline>
              </w:drawing>
            </w:r>
          </w:p>
          <w:p w14:paraId="33AE5DA0" w14:textId="77777777" w:rsidR="00326662" w:rsidRDefault="00000000">
            <w:pPr>
              <w:pStyle w:val="ImageCaption"/>
              <w:spacing w:before="200"/>
            </w:pPr>
            <w:r>
              <w:t xml:space="preserve">Figure 9: Relative change of the </w:t>
            </w:r>
            <w:commentRangeStart w:id="380"/>
            <w:r>
              <w:t>SDI</w:t>
            </w:r>
            <w:commentRangeEnd w:id="380"/>
            <w:r w:rsidR="00B8608A">
              <w:rPr>
                <w:rStyle w:val="CommentReference"/>
                <w:i w:val="0"/>
              </w:rPr>
              <w:commentReference w:id="380"/>
            </w:r>
            <w:r>
              <w:t xml:space="preserve"> before and during the heatwaves events as a function of the daily emergence time of seagrasses. The line represents a </w:t>
            </w:r>
            <w:commentRangeStart w:id="381"/>
            <w:r>
              <w:t>Generalized Additive Model (GAM)</w:t>
            </w:r>
            <w:commentRangeEnd w:id="381"/>
            <w:r w:rsidR="00E326F2">
              <w:rPr>
                <w:rStyle w:val="CommentReference"/>
                <w:i w:val="0"/>
              </w:rPr>
              <w:commentReference w:id="381"/>
            </w:r>
            <w:r>
              <w:t xml:space="preserve"> prediction, and the shaded area indicates the standard error. Shaded points represent raw data, with each point corresponding to a single pixel of the meadow.</w:t>
            </w:r>
          </w:p>
        </w:tc>
        <w:bookmarkEnd w:id="378"/>
      </w:tr>
    </w:tbl>
    <w:p w14:paraId="1F2CD026" w14:textId="77777777" w:rsidR="00326662" w:rsidRDefault="00000000">
      <w:pPr>
        <w:pStyle w:val="Heading1"/>
      </w:pPr>
      <w:bookmarkStart w:id="382" w:name="discussion"/>
      <w:bookmarkEnd w:id="149"/>
      <w:bookmarkEnd w:id="270"/>
      <w:bookmarkEnd w:id="358"/>
      <w:bookmarkEnd w:id="379"/>
      <w:r>
        <w:t>4. Discussion</w:t>
      </w:r>
    </w:p>
    <w:p w14:paraId="1539FE46" w14:textId="77777777" w:rsidR="00326662" w:rsidRDefault="00000000">
      <w:pPr>
        <w:pStyle w:val="Heading2"/>
      </w:pPr>
      <w:bookmarkStart w:id="383" w:name="Xd32f8be805d1b37672f96d647c22fdb6e508461"/>
      <w:r>
        <w:t>4.1 Physiological impacts of heatwaves on seagrasses</w:t>
      </w:r>
    </w:p>
    <w:p w14:paraId="6CDC8D4E" w14:textId="77777777" w:rsidR="00326662" w:rsidRDefault="00000000">
      <w:pPr>
        <w:pStyle w:val="FirstParagraph"/>
      </w:pPr>
      <w:r>
        <w:t xml:space="preserve">Although extensive research exists on marine heatwaves’ effects on subtidal seagrasses, little attention has been given to intertidal habitats and even less to the interaction between atmospherical extreme event and intertidal meadows. This study initiates an exploration of how intertidal seagrasses respond to the dual influence of marine and </w:t>
      </w:r>
      <w:r>
        <w:lastRenderedPageBreak/>
        <w:t>atmospheric heatwaves, underscoring the need for further investigation in this underexplored area.</w:t>
      </w:r>
    </w:p>
    <w:p w14:paraId="6425ED48" w14:textId="417401C5" w:rsidR="00326662" w:rsidRDefault="00000000">
      <w:pPr>
        <w:pStyle w:val="BodyText"/>
      </w:pPr>
      <w:r>
        <w:t>In the present study, significant changes in the reflectance of seagrasses exposed to heatwaves were observed experimentally. These changes mainly include</w:t>
      </w:r>
      <w:ins w:id="384" w:author="Bede Davies" w:date="2024-11-14T10:34:00Z" w16du:dateUtc="2024-11-14T09:34:00Z">
        <w:r w:rsidR="00C11073">
          <w:t>d</w:t>
        </w:r>
      </w:ins>
      <w:r>
        <w:t xml:space="preserve"> a drop in reflectance around 560 nm and another drop around 740 nm in the near-infrared part of the spectrum</w:t>
      </w:r>
      <w:ins w:id="385" w:author="Bede Davies" w:date="2024-11-14T10:33:00Z" w16du:dateUtc="2024-11-14T09:33:00Z">
        <w:r w:rsidR="00E326F2">
          <w:t xml:space="preserve"> (Figure 5 A)</w:t>
        </w:r>
      </w:ins>
      <w:r>
        <w:t xml:space="preserve">. </w:t>
      </w:r>
      <w:del w:id="386" w:author="Bede Davies" w:date="2024-11-14T10:33:00Z" w16du:dateUtc="2024-11-14T09:33:00Z">
        <w:r w:rsidR="00326662" w:rsidDel="00E326F2">
          <w:fldChar w:fldCharType="begin"/>
        </w:r>
        <w:r w:rsidR="00326662" w:rsidDel="00E326F2">
          <w:delInstrText>HYPERLINK \l "fig-Exp_Spectral_indices" \h</w:delInstrText>
        </w:r>
        <w:r w:rsidR="00326662" w:rsidDel="00E326F2">
          <w:fldChar w:fldCharType="separate"/>
        </w:r>
        <w:r w:rsidR="00326662" w:rsidDel="00E326F2">
          <w:rPr>
            <w:rStyle w:val="Hyperlink"/>
          </w:rPr>
          <w:delText>Figure 5</w:delText>
        </w:r>
        <w:r w:rsidR="00326662" w:rsidDel="00E326F2">
          <w:rPr>
            <w:rStyle w:val="Hyperlink"/>
          </w:rPr>
          <w:fldChar w:fldCharType="end"/>
        </w:r>
        <w:r w:rsidDel="00E326F2">
          <w:delText xml:space="preserve"> illustrates distinct temporal trends across the different spectral indices monitored throughout the experiment. </w:delText>
        </w:r>
      </w:del>
      <w:r>
        <w:t>The second derivative at 665 nm (R’’665), NDVI, and GLI (</w:t>
      </w:r>
      <w:del w:id="387" w:author="Bede Davies" w:date="2024-11-14T10:33:00Z" w16du:dateUtc="2024-11-14T09:33:00Z">
        <w:r w:rsidDel="00E326F2">
          <w:delText xml:space="preserve">panels </w:delText>
        </w:r>
      </w:del>
      <w:ins w:id="388" w:author="Bede Davies" w:date="2024-11-14T10:33:00Z" w16du:dateUtc="2024-11-14T09:33:00Z">
        <w:r w:rsidR="00E326F2">
          <w:t>Figure 5</w:t>
        </w:r>
        <w:r w:rsidR="00E326F2">
          <w:t xml:space="preserve"> </w:t>
        </w:r>
      </w:ins>
      <w:r>
        <w:t>B, C, and D) all demonstrate</w:t>
      </w:r>
      <w:ins w:id="389" w:author="Bede Davies" w:date="2024-11-14T10:35:00Z" w16du:dateUtc="2024-11-14T09:35:00Z">
        <w:r w:rsidR="00C11073">
          <w:t>d</w:t>
        </w:r>
      </w:ins>
      <w:r>
        <w:t xml:space="preserve"> a clear decline over the experimental period (days 1-3), suggesting a progressive reduction in photosynthetic activity or pigment levels in the treatment group relative to the control. In contrast, SDI </w:t>
      </w:r>
      <w:del w:id="390" w:author="Bede Davies" w:date="2024-11-14T11:39:00Z" w16du:dateUtc="2024-11-14T10:39:00Z">
        <w:r w:rsidDel="00D5289B">
          <w:delText xml:space="preserve">(panel E) </w:delText>
        </w:r>
      </w:del>
      <w:r>
        <w:t>shows a marked increase, reaching up to 600% for some samples by day 3</w:t>
      </w:r>
      <w:ins w:id="391" w:author="Bede Davies" w:date="2024-11-14T11:39:00Z" w16du:dateUtc="2024-11-14T10:39:00Z">
        <w:r w:rsidR="00D5289B">
          <w:t xml:space="preserve"> </w:t>
        </w:r>
        <w:r w:rsidR="00D5289B">
          <w:t>(Figure 5</w:t>
        </w:r>
        <w:r w:rsidR="00D5289B">
          <w:t xml:space="preserve"> </w:t>
        </w:r>
        <w:r w:rsidR="00D5289B">
          <w:t>E)</w:t>
        </w:r>
      </w:ins>
      <w:r>
        <w:t>. This positive trend in SDI aligns with its design as an index to indicate darkening of seagrass, likely resulting from structural or physiological changes, such as degraded pigmentation or altered light absorption. While the general trends are consistent across experimental runs, there is some variability, particularly evident in the confidence intervals, which are wider for SDI than for the other indices. This suggests that while darkening is a consistent response, it may vary in intensity between individual samples or experimental runs. Furthermore, the contrasting magnitudes of change—especially the pronounced increases in SDI versus the declines in other indices—highlight the sensitivity of SDI to changes associated with seagrass darkening, which could be indicative of stress or adaptation responses specific to the treatment conditions.</w:t>
      </w:r>
    </w:p>
    <w:p w14:paraId="1E0CDE6A" w14:textId="77777777" w:rsidR="00326662" w:rsidRDefault="00000000">
      <w:pPr>
        <w:pStyle w:val="BodyText"/>
      </w:pPr>
      <w:commentRangeStart w:id="392"/>
      <w:r>
        <w:t>The change in color can be multifactorial and has been documented in plants under various stress conditions, including thermal stress</w:t>
      </w:r>
      <w:commentRangeEnd w:id="392"/>
      <w:r w:rsidR="00D5289B">
        <w:rPr>
          <w:rStyle w:val="CommentReference"/>
        </w:rPr>
        <w:commentReference w:id="392"/>
      </w:r>
      <w:r>
        <w:t xml:space="preserve">. Leaf blackening in angiosperms, as observed in </w:t>
      </w:r>
      <w:r>
        <w:rPr>
          <w:i/>
          <w:iCs/>
        </w:rPr>
        <w:t>Protea neriifolia</w:t>
      </w:r>
      <w:r>
        <w:t xml:space="preserve">, is primarily driven by oxidative processes involving the enzyme polyphenol oxidase (PPO) and the oxidation of phenolic </w:t>
      </w:r>
      <w:r>
        <w:lastRenderedPageBreak/>
        <w:t>compounds. When photosynthesis is inhibited by factors such as low light, chemical interference, or thermal stress, the plant’s production of essential carbohydrates and antioxidants diminishes, increasing oxidative stress and leading to darkening. Experimental essays have proved that low-oxygen environments and the addition of antioxydants like diphenylamine (DPA), have been effective in reducing these oxidative reactions. In the absence of photosynthesis, membrane integrity is also compromised, allowing PPO to interact with phenolic compounds, thereby accelerating darkening. Furthermore, high temperatures can destabilize membranes, especially in chloroplasts, disrupting photosystem II and impairing recovery of photosynthetic function (Dascaliuc et al., 2007; Jones and Clayton-Greene, 1992). As chlorophyll-a degrades, the ratio of pigments shift; with pigments like carotenoids becoming more prominent, leading to a darkening of the leaves.</w:t>
      </w:r>
    </w:p>
    <w:p w14:paraId="6EBD5AA0" w14:textId="77777777" w:rsidR="00326662" w:rsidRDefault="00000000">
      <w:pPr>
        <w:pStyle w:val="BodyText"/>
      </w:pPr>
      <w:r>
        <w:rPr>
          <w:i/>
          <w:iCs/>
        </w:rPr>
        <w:t>Zostera noltei</w:t>
      </w:r>
      <w:r>
        <w:t xml:space="preserve">, as a species inhabiting the intertidal zone and regularly exposed to air, has developed adaptations to minimize water stress. For example, it exhibits smaller, narrower leaves compared to species residing lower in the intertidal zone, such as </w:t>
      </w:r>
      <w:r>
        <w:rPr>
          <w:i/>
          <w:iCs/>
        </w:rPr>
        <w:t>Zostera marina</w:t>
      </w:r>
      <w:r>
        <w:t>, which helps reduce water loss during air exposure periods (Cabaço et al., 2009). However, during intense warming events and under high light conditions, desiccation can occur in certain parts of the meadow, particularly where seagrass leaves are exposed for prolonged periods (</w:t>
      </w:r>
      <w:hyperlink w:anchor="fig-GAM_Emersion">
        <w:r w:rsidR="00326662">
          <w:rPr>
            <w:rStyle w:val="Hyperlink"/>
          </w:rPr>
          <w:t>Figure 9</w:t>
        </w:r>
      </w:hyperlink>
      <w:r>
        <w:t>). Under such water stress, cellular turgor pressure decreases (the internal cell water pressure that maintains cell shape), and concentrations of ions like Na+ and Cl– can reach toxic levels. These effects can impair cellular functions, enzymatic activity, and membrane stability.</w:t>
      </w:r>
    </w:p>
    <w:p w14:paraId="714AAF52" w14:textId="1BC5AC47" w:rsidR="00326662" w:rsidRDefault="00000000">
      <w:pPr>
        <w:pStyle w:val="BodyText"/>
      </w:pPr>
      <w:r>
        <w:t xml:space="preserve">High infrared reflectance in plant leaves is primarly due to the internal cellular structure that scatters light. Once sunlight enters the leaf, it is diffused through </w:t>
      </w:r>
      <w:ins w:id="393" w:author="Bede Davies" w:date="2024-11-14T11:42:00Z" w16du:dateUtc="2024-11-14T10:42:00Z">
        <w:r w:rsidR="0018065C">
          <w:t>v</w:t>
        </w:r>
      </w:ins>
      <w:del w:id="394" w:author="Bede Davies" w:date="2024-11-14T11:42:00Z" w16du:dateUtc="2024-11-14T10:42:00Z">
        <w:r w:rsidDel="0018065C">
          <w:delText>c</w:delText>
        </w:r>
      </w:del>
      <w:r>
        <w:t xml:space="preserve">arious layers, particularly the spongy mesophyll, which contains air spaces and cell walls with different refractive indices. </w:t>
      </w:r>
      <w:ins w:id="395" w:author="Bede Davies" w:date="2024-11-14T11:43:00Z" w16du:dateUtc="2024-11-14T10:43:00Z">
        <w:r w:rsidR="0018065C">
          <w:t>T</w:t>
        </w:r>
      </w:ins>
      <w:del w:id="396" w:author="Bede Davies" w:date="2024-11-14T11:43:00Z" w16du:dateUtc="2024-11-14T10:43:00Z">
        <w:r w:rsidDel="0018065C">
          <w:delText>t</w:delText>
        </w:r>
      </w:del>
      <w:r>
        <w:t xml:space="preserve">his scattering effect is intensified because there is minimal absorption in the near-infrared range (700 - 1300 nm), allowing light to </w:t>
      </w:r>
      <w:proofErr w:type="gramStart"/>
      <w:r>
        <w:t>reflect back</w:t>
      </w:r>
      <w:proofErr w:type="gramEnd"/>
      <w:r>
        <w:t xml:space="preserve"> </w:t>
      </w:r>
      <w:r>
        <w:lastRenderedPageBreak/>
        <w:t>through the leaf surface. Once the membranes (chloroplasts, thylakoids, cell walls) are destroyed due to oxidative stress, the reflectance in the Red Edge and the near-infrared regions of the spectrum (&gt; 700 nm) decreases significantly (Knipling, 1970).</w:t>
      </w:r>
    </w:p>
    <w:p w14:paraId="5934DF17" w14:textId="77777777" w:rsidR="00326662" w:rsidRDefault="00000000">
      <w:pPr>
        <w:pStyle w:val="BodyText"/>
      </w:pPr>
      <w:commentRangeStart w:id="397"/>
      <w:r>
        <w:t>These unique reflectance properties of seagrasses under heat stress enable the detection of this darkening through remote sensing techniques. The SDI (</w:t>
      </w:r>
      <w:hyperlink w:anchor="eq-SDI">
        <w:r w:rsidR="00326662">
          <w:rPr>
            <w:rStyle w:val="Hyperlink"/>
          </w:rPr>
          <w:t>Equation 4</w:t>
        </w:r>
      </w:hyperlink>
      <w:r>
        <w:t xml:space="preserve">) index developed in this study leverages key reflectance bands (560, 740 and 840 nm) to detect reductions in the green and the Red-Edge regions. SDI can be used to assess the extent and severity of darkening events across intertidal seagrass meadows from space. Current satellite missions, including Sentinel-2, Pleiades-Neo, WorldView-3, SkySat, and GeoSat-2 along with upcoming missions (Sentinel-2 Next Generation and Landsat Next), capture reflectance in the three wavelengths used as input for SDI. As climate change advances, remote sensing becomes a crucial tool for monitoring cumulative ecological impacts on seagrass meadows due to heatwaves. Although these physiological and structural changes occur at the cellular level over short temporal scales, they manifest synchronously across the entire meadow. Remote sensing, with its synoptic views and real-time acquisition capabilities, enables the monitoring of these rapid biological responses to natural stressors. However, cloud coverage can limit continuous observations, necessitating the integration of alternative tools, such as multi-spectral drone platforms. Combined approaches allow for precise, localized monitoring of damaged seagrass meadows immediately after extreme events, which is critical for the early detection of ecosystem degradation, quick actions for habitat </w:t>
      </w:r>
      <w:del w:id="398" w:author="Bede Davies" w:date="2024-11-14T11:45:00Z" w16du:dateUtc="2024-11-14T10:45:00Z">
        <w:r w:rsidDel="0018065C">
          <w:delText>6</w:delText>
        </w:r>
      </w:del>
      <w:r>
        <w:t>conservation and targeted management strategies. Moreover, uninterrupted, multi-year data acquisition would strengthen predictive ecological models for future heatwave impacts, enhancing the capacity for adaptive management and supporting long-term resilience planning for seagrass ecosystems.</w:t>
      </w:r>
      <w:commentRangeEnd w:id="397"/>
      <w:r w:rsidR="0018065C">
        <w:rPr>
          <w:rStyle w:val="CommentReference"/>
        </w:rPr>
        <w:commentReference w:id="397"/>
      </w:r>
    </w:p>
    <w:p w14:paraId="5C5F4A66" w14:textId="77777777" w:rsidR="00326662" w:rsidRDefault="00000000">
      <w:pPr>
        <w:pStyle w:val="Heading2"/>
      </w:pPr>
      <w:bookmarkStart w:id="399" w:name="climate-change-and-heatwaves"/>
      <w:bookmarkEnd w:id="383"/>
      <w:r>
        <w:lastRenderedPageBreak/>
        <w:t>4.2 Climate change and heatwaves</w:t>
      </w:r>
    </w:p>
    <w:p w14:paraId="4EB60B1D" w14:textId="7C58F496" w:rsidR="00326662" w:rsidRDefault="00000000">
      <w:pPr>
        <w:pStyle w:val="FirstParagraph"/>
      </w:pPr>
      <w:commentRangeStart w:id="400"/>
      <w:commentRangeStart w:id="401"/>
      <w:r>
        <w:t xml:space="preserve">The rapid global escalation of heatwave frequency, intensity and duration is a defining characteristic of the current climate crisis, heavily influenced by anthropogenic activities and greenhouse gas emissions. </w:t>
      </w:r>
      <w:commentRangeEnd w:id="400"/>
      <w:r w:rsidR="0018065C">
        <w:rPr>
          <w:rStyle w:val="CommentReference"/>
        </w:rPr>
        <w:commentReference w:id="400"/>
      </w:r>
      <w:r>
        <w:t xml:space="preserve">Recent research suggests that the magnitude of these events has surged in the </w:t>
      </w:r>
      <w:del w:id="402" w:author="Bede Davies" w:date="2024-11-14T11:46:00Z" w16du:dateUtc="2024-11-14T10:46:00Z">
        <w:r w:rsidDel="0018065C">
          <w:delText>past</w:delText>
        </w:r>
      </w:del>
      <w:ins w:id="403" w:author="Bede Davies" w:date="2024-11-14T11:46:00Z" w16du:dateUtc="2024-11-14T10:46:00Z">
        <w:r w:rsidR="0018065C">
          <w:t>recent</w:t>
        </w:r>
      </w:ins>
      <w:del w:id="404" w:author="Bede Davies" w:date="2024-11-14T11:46:00Z" w16du:dateUtc="2024-11-14T10:46:00Z">
        <w:r w:rsidDel="0018065C">
          <w:delText xml:space="preserve"> </w:delText>
        </w:r>
      </w:del>
      <w:ins w:id="405" w:author="Bede Davies" w:date="2024-11-14T11:46:00Z" w16du:dateUtc="2024-11-14T10:46:00Z">
        <w:r w:rsidR="0018065C">
          <w:t xml:space="preserve"> </w:t>
        </w:r>
      </w:ins>
      <w:r>
        <w:t>decades, with climate projections predicting a continuation of this trend. For example, heatwaves that were once considered rare are now up to ten times more likely to occur, with some regions experiencing events three times as intense as those in the early 20th century (Devi et al., 2024; Russo and Domeisen, 2023) . Cumulative indices that quantify heatwave intensity are based on total temperature exceedances and offer a more comprehensive understanding of event severity than average temperature alone. This is because the cumulative impact of prolonged high temperatures imposes more extensive stress on ecosystems than isolated peak temperatures (Russo and Domeisen, 2023).</w:t>
      </w:r>
    </w:p>
    <w:p w14:paraId="38D52C21" w14:textId="77777777" w:rsidR="00326662" w:rsidRDefault="00000000">
      <w:pPr>
        <w:pStyle w:val="BodyText"/>
      </w:pPr>
      <w:r>
        <w:t xml:space="preserve">From a hazard analysis perspective, the concurrent evaluation of intensity, frequency, and duration of atmospheric heatwaves allows for a partial understanding of their likely impacts. Models like the Heatwave Intensity Duration Frequency (HIDF) provide insights into various heatwave scenarios, indicating that both short intense and prolonged moderate events present unique risks depending on the region. For instance, in the Mediterranean, the frequency of high-intensity heatwaves has dramatically increased, leading to severe impacts on urban infrastructure, public health, energy consumption but also to terrestrial and intertidal ecosystems, such as seagrass meadows (Mazdiyasni et al., 2019; Smale et al., 2019). Sharper increase in extreme heat events are expected in regions experiencing large daily thermic amplitude, which underscores the role of atmospheric variability in local heatwave dynamics. In mid-latitudes, where daily variability is expected to decrease, heat extremes may stabilize at elevated levels, </w:t>
      </w:r>
      <w:r>
        <w:lastRenderedPageBreak/>
        <w:t>reducing cold extremes while allowing for increasingly frequent hot day (Simolo and Corti, 2022).</w:t>
      </w:r>
    </w:p>
    <w:p w14:paraId="650ACA99" w14:textId="77777777" w:rsidR="00326662" w:rsidRDefault="00000000">
      <w:pPr>
        <w:pStyle w:val="BodyText"/>
      </w:pPr>
      <w:r>
        <w:t>In the ocean, similar trends are observed with marine heatwaves (MHWs). MHWs have increased by over 50% in annual days since the early 20th century, and projections suggest that a near-permanent state of marine heatwaves, based on nowadays baselines, could develop by the end of the century if greenhouse gas emissions remain high (Oliver et al., 2019). Events like the “Blob” in the northeast Pacific (2013–2016) have underscored the ecological ramifications of such heat anomalies, including shifts in species distributions, mass mortalities, and habitat degradation across vast oceanic regions</w:t>
      </w:r>
      <w:commentRangeStart w:id="406"/>
      <w:r>
        <w:t xml:space="preserve">. </w:t>
      </w:r>
      <w:commentRangeEnd w:id="406"/>
      <w:r w:rsidR="0018065C">
        <w:rPr>
          <w:rStyle w:val="CommentReference"/>
        </w:rPr>
        <w:commentReference w:id="406"/>
      </w:r>
      <w:r>
        <w:t>The physical mechanisms driving MHWs, such as altered ocean circulation and air-sea heat flux, further illustrate the interconnectedness of atmospheric and marine systems in the context of climate-driven thermal extremes (Smale et al., 2019).</w:t>
      </w:r>
    </w:p>
    <w:p w14:paraId="6A0B3CE6" w14:textId="77777777" w:rsidR="00326662" w:rsidRDefault="00000000">
      <w:pPr>
        <w:pStyle w:val="BodyText"/>
      </w:pPr>
      <w:r>
        <w:t xml:space="preserve">The escalating frequency and intensity of heatwaves represent not only an atmospheric anomaly but a profound disruption to ecological stability across diverse ecosystems (Devi et al., 2024; Stillman, 2019). The sustained high temperatures associated with both atmospheric and marine heatwaves lead to physiological stress, habitat degradation, and increased mortality in many species, particularly those with limited thermal tolerance (Oliver et al., 2019; Simolo and Corti, 2022). Terrestrial and marine ecosystems experience shifts in species distributions, altered community dynamics, and reduced biodiversity as species are either forced to migrate or face local extinction under increasingly inhospitable conditions (Pansch et al., 2018). Similarly, in marine environments, prolonged heat stress from marine heatwaves has cascading effects on foundational species, including corals, kelps, and seagrasses, all of which are crucial for providing habitat, food, and shelter to diverse marine life (Oliver et al., 2019; Smale et al., 2019). Seagrasses, in particular, play a vital role in carbon sequestration and coastal protection but are especially vulnerable to extreme heat events. Elevated </w:t>
      </w:r>
      <w:r>
        <w:lastRenderedPageBreak/>
        <w:t xml:space="preserve">temperatures can disrupt seagrass photosynthesis and metabolic processes, leading to reduced growth and heightened susceptibility to disease (Deguette et al., 2022; Guerrero-Meseguer et al., 2020; Sawall et al., 2021; Winters et al., 2011). With repeated heatwave exposure and limited recovery periods, seagrass meadows may suffer severe declines, threatening their ability to deliver key ecosystem services such as carbon storage, sediment stabilization, and habitat provision (Mazdiyasni et al., 2019). The compounded impacts of atmospheric and marine heatwaves thus pose an existential threat to intertidal seagrass ecosystems, highlighting the urgent need for targeted climate adaptation measures to mitigate these escalating thermal stresses and preserve the resilience of these essential marine habitats (Russo and </w:t>
      </w:r>
      <w:proofErr w:type="spellStart"/>
      <w:r>
        <w:t>Domeisen</w:t>
      </w:r>
      <w:proofErr w:type="spellEnd"/>
      <w:r>
        <w:t>, 2023; Stillman, 2019).</w:t>
      </w:r>
      <w:commentRangeEnd w:id="401"/>
      <w:r w:rsidR="0018065C">
        <w:rPr>
          <w:rStyle w:val="CommentReference"/>
        </w:rPr>
        <w:commentReference w:id="401"/>
      </w:r>
    </w:p>
    <w:p w14:paraId="4C2C4448" w14:textId="77777777" w:rsidR="00326662" w:rsidRDefault="00000000">
      <w:pPr>
        <w:pStyle w:val="Heading2"/>
      </w:pPr>
      <w:bookmarkStart w:id="407" w:name="seagrass-resilience-to-heatwaves"/>
      <w:bookmarkEnd w:id="399"/>
      <w:r>
        <w:t>4.3 Seagrass resilience to heatwaves</w:t>
      </w:r>
    </w:p>
    <w:p w14:paraId="59445A3E" w14:textId="71DC04DD" w:rsidR="00326662" w:rsidRDefault="00000000">
      <w:pPr>
        <w:pStyle w:val="FirstParagraph"/>
      </w:pPr>
      <w:commentRangeStart w:id="408"/>
      <w:r>
        <w:t xml:space="preserve">Seagrass resilience to heatwaves is a complex and multifaceted issue shaped by species-specific traits, geographical location, and concurrent environmental stressors (Berger et al., 2024; Canadell and Jackson, 2021; Hatum et al., 2024). As climate change </w:t>
      </w:r>
      <w:del w:id="409" w:author="Bede Davies" w:date="2024-11-14T11:51:00Z" w16du:dateUtc="2024-11-14T10:51:00Z">
        <w:r w:rsidDel="0018065C">
          <w:delText xml:space="preserve">drives </w:delText>
        </w:r>
      </w:del>
      <w:ins w:id="410" w:author="Bede Davies" w:date="2024-11-14T11:51:00Z" w16du:dateUtc="2024-11-14T10:51:00Z">
        <w:r w:rsidR="0018065C">
          <w:t>in</w:t>
        </w:r>
      </w:ins>
      <w:ins w:id="411" w:author="Bede Davies" w:date="2024-11-14T11:52:00Z" w16du:dateUtc="2024-11-14T10:52:00Z">
        <w:r w:rsidR="0018065C">
          <w:t>creases</w:t>
        </w:r>
      </w:ins>
      <w:ins w:id="412" w:author="Bede Davies" w:date="2024-11-14T11:51:00Z" w16du:dateUtc="2024-11-14T10:51:00Z">
        <w:r w:rsidR="0018065C">
          <w:t xml:space="preserve"> </w:t>
        </w:r>
      </w:ins>
      <w:r>
        <w:t xml:space="preserve">the frequency and intensity of marine heatwaves, understanding these dynamics becomes crucial, especially for temperate seagrass meadows composed of slow-growing, long-lived species like </w:t>
      </w:r>
      <w:r>
        <w:rPr>
          <w:i/>
          <w:iCs/>
        </w:rPr>
        <w:t>Posidonia</w:t>
      </w:r>
      <w:r>
        <w:t xml:space="preserve">, </w:t>
      </w:r>
      <w:r>
        <w:rPr>
          <w:i/>
          <w:iCs/>
        </w:rPr>
        <w:t>Amphibolis</w:t>
      </w:r>
      <w:r>
        <w:t xml:space="preserve">, and </w:t>
      </w:r>
      <w:r>
        <w:rPr>
          <w:i/>
          <w:iCs/>
        </w:rPr>
        <w:t>Zostera.</w:t>
      </w:r>
      <w:r>
        <w:t xml:space="preserve"> These species, unlike their tropical counterparts, tend to be highly vulnerable to abrupt environmental changes, struggling to recover from disturbances due to their slower growth and longer lifespan. In contrast, colonizing species typical of tropical regions, such as </w:t>
      </w:r>
      <w:r>
        <w:rPr>
          <w:i/>
          <w:iCs/>
        </w:rPr>
        <w:t>Halodule</w:t>
      </w:r>
      <w:r>
        <w:t xml:space="preserve">, </w:t>
      </w:r>
      <w:r>
        <w:rPr>
          <w:i/>
          <w:iCs/>
        </w:rPr>
        <w:t>Halophila</w:t>
      </w:r>
      <w:r>
        <w:t xml:space="preserve">, and </w:t>
      </w:r>
      <w:r>
        <w:rPr>
          <w:i/>
          <w:iCs/>
        </w:rPr>
        <w:t>Syringodium</w:t>
      </w:r>
      <w:r>
        <w:t>, demonstrate greater resilience to warming events and marine heatwaves due to their rapid growth and more flexible life strategies (O’Brien et al., 2018).</w:t>
      </w:r>
      <w:commentRangeEnd w:id="408"/>
      <w:r w:rsidR="0018065C">
        <w:rPr>
          <w:rStyle w:val="CommentReference"/>
        </w:rPr>
        <w:commentReference w:id="408"/>
      </w:r>
    </w:p>
    <w:p w14:paraId="2E46DF6E" w14:textId="65553E88" w:rsidR="00326662" w:rsidRDefault="00000000">
      <w:pPr>
        <w:pStyle w:val="BodyText"/>
      </w:pPr>
      <w:r>
        <w:t xml:space="preserve">The impact of heatwaves on seagrass ecosystems is further intensified by tidal variations, especially in temperate regions with tidal ranges that can exceed 10 meters, </w:t>
      </w:r>
      <w:r>
        <w:lastRenderedPageBreak/>
        <w:t xml:space="preserve">such as Mont Saint Michel Bay in France. This pronounced tidal amplitude affects intertidal seagrasses like </w:t>
      </w:r>
      <w:r>
        <w:rPr>
          <w:i/>
          <w:iCs/>
        </w:rPr>
        <w:t>Zostera noltei</w:t>
      </w:r>
      <w:r>
        <w:t>, which experience varying durations of air exposure based on their position within the intertidal zone. During neap tides, seagrasses situated higher in the intertidal zone may remain exposed for extended periods, heightening their vulnerability to atmospheric heatwaves. Conversely, seagrasses in the lower intertidal zone</w:t>
      </w:r>
      <w:ins w:id="413" w:author="Bede Davies" w:date="2024-11-14T11:55:00Z" w16du:dateUtc="2024-11-14T10:55:00Z">
        <w:r w:rsidR="00CF67E6">
          <w:t xml:space="preserve"> </w:t>
        </w:r>
      </w:ins>
      <w:del w:id="414" w:author="Bede Davies" w:date="2024-11-14T11:55:00Z" w16du:dateUtc="2024-11-14T10:55:00Z">
        <w:r w:rsidDel="00CF67E6">
          <w:delText xml:space="preserve">, although submerged longer, </w:delText>
        </w:r>
      </w:del>
      <w:r>
        <w:t xml:space="preserve">experience prolonged </w:t>
      </w:r>
      <w:ins w:id="415" w:author="Bede Davies" w:date="2024-11-14T11:55:00Z" w16du:dateUtc="2024-11-14T10:55:00Z">
        <w:r w:rsidR="00CF67E6">
          <w:t>im</w:t>
        </w:r>
      </w:ins>
      <w:del w:id="416" w:author="Bede Davies" w:date="2024-11-14T11:55:00Z" w16du:dateUtc="2024-11-14T10:55:00Z">
        <w:r w:rsidDel="00CF67E6">
          <w:delText>e</w:delText>
        </w:r>
      </w:del>
      <w:r>
        <w:t xml:space="preserve">mersion </w:t>
      </w:r>
      <w:del w:id="417" w:author="Bede Davies" w:date="2024-11-14T11:55:00Z" w16du:dateUtc="2024-11-14T10:55:00Z">
        <w:r w:rsidDel="00CF67E6">
          <w:delText>during low</w:delText>
        </w:r>
      </w:del>
      <w:ins w:id="418" w:author="Bede Davies" w:date="2024-11-14T11:55:00Z" w16du:dateUtc="2024-11-14T10:55:00Z">
        <w:r w:rsidR="00CF67E6">
          <w:t>throughout</w:t>
        </w:r>
      </w:ins>
      <w:r>
        <w:t xml:space="preserve"> </w:t>
      </w:r>
      <w:ins w:id="419" w:author="Bede Davies" w:date="2024-11-14T11:55:00Z" w16du:dateUtc="2024-11-14T10:55:00Z">
        <w:r w:rsidR="00CF67E6">
          <w:t xml:space="preserve">the </w:t>
        </w:r>
      </w:ins>
      <w:r>
        <w:t>tid</w:t>
      </w:r>
      <w:ins w:id="420" w:author="Bede Davies" w:date="2024-11-14T11:55:00Z" w16du:dateUtc="2024-11-14T10:55:00Z">
        <w:r w:rsidR="00CF67E6">
          <w:t>al cycle</w:t>
        </w:r>
      </w:ins>
      <w:del w:id="421" w:author="Bede Davies" w:date="2024-11-14T11:55:00Z" w16du:dateUtc="2024-11-14T10:55:00Z">
        <w:r w:rsidDel="00CF67E6">
          <w:delText>es</w:delText>
        </w:r>
      </w:del>
      <w:r>
        <w:t xml:space="preserve">, making them susceptible to extreme marine heat events. As a result, both marine and atmospheric heatwaves can increase stress on seagrass meadows, with effects that may be intensified by tidal timing and amplitude. In our study, we observed a darkening effect in the seagrasses, despite our experimental setup simulating tides with consistent 6-hour exposure periods. In natural settings, however, bathymetry plays a significant role, and depending on depth variations, seagrasses may be exposed for even longer durations during low tides. This suggests that </w:t>
      </w:r>
      <w:r>
        <w:rPr>
          <w:i/>
          <w:iCs/>
        </w:rPr>
        <w:t>in situ</w:t>
      </w:r>
      <w:r>
        <w:t xml:space="preserve"> exposure times could exacerbate the stress effects observed, as seagrasses may endure prolonged air exposure beyond what our controlled conditions have replicated.</w:t>
      </w:r>
    </w:p>
    <w:p w14:paraId="6FF64FCE" w14:textId="77777777" w:rsidR="00326662" w:rsidRDefault="00000000">
      <w:pPr>
        <w:pStyle w:val="BodyText"/>
      </w:pPr>
      <w:r>
        <w:t xml:space="preserve">Species like </w:t>
      </w:r>
      <w:r>
        <w:rPr>
          <w:i/>
          <w:iCs/>
        </w:rPr>
        <w:t>Zostera noltei</w:t>
      </w:r>
      <w:r>
        <w:t xml:space="preserve"> display distinct seasonal patterns that become increasingly pronounced at higher latitudes (Davies et al., 2024a, 2024b). These patterns reflect the species’ adaptation to seasonal variations in temperature and light, but they also make </w:t>
      </w:r>
      <w:r>
        <w:rPr>
          <w:i/>
          <w:iCs/>
        </w:rPr>
        <w:t>Z. noltei</w:t>
      </w:r>
      <w:r>
        <w:t xml:space="preserve"> particularly sensitive to extreme events depending on their timing. For instance, if a heatwave coincides with early developmental stages or occurs after the biomass peak when leaf senescence has begun, the impact on meadow resilience can be severe.</w:t>
      </w:r>
    </w:p>
    <w:p w14:paraId="576091AA" w14:textId="77777777" w:rsidR="00326662" w:rsidRDefault="00000000">
      <w:pPr>
        <w:pStyle w:val="BodyText"/>
      </w:pPr>
      <w:r>
        <w:t xml:space="preserve">Environmental conditions can moderate seagrass resilience to thermal stress. Seagrass meadows located in areas benefiting from tidal cooling or positioned further from the warmer edges of their geographical ranges often experience reduced heat stress, resulting in higher shoot densities and enhanced resilience (Berger et al., 2024; </w:t>
      </w:r>
      <w:r>
        <w:lastRenderedPageBreak/>
        <w:t xml:space="preserve">Canadell and Jackson, 2021). In these cooler areas, </w:t>
      </w:r>
      <w:r>
        <w:rPr>
          <w:i/>
          <w:iCs/>
        </w:rPr>
        <w:t>Zostera noltei</w:t>
      </w:r>
      <w:r>
        <w:t xml:space="preserve"> exhibits high survival and photosynthetic performance up to 37°C, though temperatures above 39°C lead to near-total mortality within days, underscoring the species’ sensitivity to temperature thresholds that may become increasingly common under climate change scenarios (Franssen et al., 2014). Moreover, the frequency, duration, and intervals between heatwaves significantly affect seagrass biomass and recovery; prolonged and frequent heatwaves reduce resilience and complicate recovery processes (Hatum et al., 2024).</w:t>
      </w:r>
    </w:p>
    <w:p w14:paraId="2EC0FBF4" w14:textId="77777777" w:rsidR="00326662" w:rsidRDefault="00000000">
      <w:pPr>
        <w:pStyle w:val="BodyText"/>
      </w:pPr>
      <w:r>
        <w:t xml:space="preserve">The influence of other stressors, such as eutrophication and sulfide accumulation, complicates this resilience. Increased sediment sulfide levels, which often accompany nutrient enrichment, can be toxic to seagrasses, particularly under elevated temperatures that amplify sulfide toxicity. </w:t>
      </w:r>
      <w:r>
        <w:rPr>
          <w:i/>
          <w:iCs/>
        </w:rPr>
        <w:t>Zostera noltei</w:t>
      </w:r>
      <w:r>
        <w:t>, for example, has a mutualistic relationship with lucinid clams that helps detoxify sulfides. However, this interaction is compromised at high temperatures, reducing the efficacy of sulfide removal and further inhibiting nutrient uptake, growth, and overall resilience (De Fouw et al., 2022).</w:t>
      </w:r>
    </w:p>
    <w:p w14:paraId="3C8E8746" w14:textId="5C1D8412" w:rsidR="00326662" w:rsidRDefault="00000000">
      <w:pPr>
        <w:pStyle w:val="BodyText"/>
      </w:pPr>
      <w:commentRangeStart w:id="422"/>
      <w:r>
        <w:t xml:space="preserve">In a simulated heatwave experiment on </w:t>
      </w:r>
      <w:r>
        <w:rPr>
          <w:i/>
          <w:iCs/>
        </w:rPr>
        <w:t>Zostera noltei</w:t>
      </w:r>
      <w:r>
        <w:t>, resilience was evident under short-term moderate stress, with no significant changes in photosynthetic performance or survival</w:t>
      </w:r>
      <w:commentRangeEnd w:id="422"/>
      <w:r w:rsidR="00CF67E6">
        <w:rPr>
          <w:rStyle w:val="CommentReference"/>
        </w:rPr>
        <w:commentReference w:id="422"/>
      </w:r>
      <w:r>
        <w:t>. However, prolonged or more intense heat events posed a greater challenge, highlighting the species’ limited capacity to withstand chronic thermal stress (Franssen et al., 2014; Massa et al., 2009). The long-term impact of heatwaves is especially evident in changes to seagrass cover (SC). Before the heatwave event on 1st September 2021, impacted seagrass patches exhibited higher SCC than non-impacted areas. However, during the event on 6th September, SPC in the impacted patch experienced a sharp decline. By 8th October, one month post-event, the SPC of impacted seagrasses, initially higher, had fallen below that of non-impacted seagrasses (</w:t>
      </w:r>
      <w:hyperlink w:anchor="fig-NDVI_GLI_SPC">
        <w:r w:rsidR="00326662">
          <w:rPr>
            <w:rStyle w:val="Hyperlink"/>
          </w:rPr>
          <w:t>Figure 7</w:t>
        </w:r>
      </w:hyperlink>
      <w:r>
        <w:t xml:space="preserve">). The observed decrease in seagrass cover on 6th September was primarily due to leaf darkening, which influenced the NDVI measurements used to estimate SC. This darkening effect reduced the NDVI values, creating an apparent decrease in SC in the </w:t>
      </w:r>
      <w:r>
        <w:lastRenderedPageBreak/>
        <w:t>impacted patch when</w:t>
      </w:r>
      <w:proofErr w:type="gramStart"/>
      <w:r>
        <w:t>, in reality, the</w:t>
      </w:r>
      <w:proofErr w:type="gramEnd"/>
      <w:r>
        <w:t xml:space="preserve"> density of seagrass remained stable</w:t>
      </w:r>
      <w:ins w:id="423" w:author="Bede Davies" w:date="2024-11-14T12:00:00Z" w16du:dateUtc="2024-11-14T11:00:00Z">
        <w:r w:rsidR="00CF67E6">
          <w:t xml:space="preserve"> (Figure)</w:t>
        </w:r>
      </w:ins>
      <w:r>
        <w:t>. The bias introduced by remote sensing in this instance reflects a limitation in accurately capturing true seagrass cover during stress events. It was only after the heatwave that leaves began to detach, leading to an actual decline in seagrass density. This delayed physical response underscores how extreme events can compromise seagrass resilience, leaving previously robust patches in a weakened state compared to less disturbed areas (</w:t>
      </w:r>
      <w:hyperlink w:anchor="fig-NDVI_GLI_SPC">
        <w:r w:rsidR="00326662">
          <w:rPr>
            <w:rStyle w:val="Hyperlink"/>
          </w:rPr>
          <w:t>Figure 7</w:t>
        </w:r>
      </w:hyperlink>
      <w:r>
        <w:t>).</w:t>
      </w:r>
    </w:p>
    <w:p w14:paraId="42E854C8" w14:textId="77777777" w:rsidR="00326662" w:rsidRDefault="00000000">
      <w:pPr>
        <w:pStyle w:val="BodyText"/>
      </w:pPr>
      <w:r>
        <w:t xml:space="preserve">On a physiological level, seagrasses possess coping mechanisms such as photoprotective responses and heat-responsive gene expression, including the activation of heat-shock proteins (HSPs) and other stress-related genes (Hughes and Stachowicz, 2004; Reusch et al., 2005). </w:t>
      </w:r>
      <w:r>
        <w:rPr>
          <w:i/>
          <w:iCs/>
        </w:rPr>
        <w:t>Zostera noltei</w:t>
      </w:r>
      <w:r>
        <w:t>, in particular, has shown differential gene expression responses to heat stress, with a variety of genes involved in protein folding, membrane stability, and reactive oxygen species scavenging playing critical roles. However, the rapid pace of climate change raises concerns about whether these adaptations can keep up with the increasing frequency and severity of thermal events (Franssen et al., 2014).</w:t>
      </w:r>
    </w:p>
    <w:p w14:paraId="66095A04" w14:textId="77777777" w:rsidR="00326662" w:rsidRDefault="00000000">
      <w:pPr>
        <w:pStyle w:val="Heading2"/>
      </w:pPr>
      <w:bookmarkStart w:id="424" w:name="big-picture"/>
      <w:bookmarkEnd w:id="407"/>
      <w:r>
        <w:t>4.4 Big picture</w:t>
      </w:r>
    </w:p>
    <w:p w14:paraId="0FCF31BC" w14:textId="77777777" w:rsidR="00326662" w:rsidRDefault="00000000">
      <w:pPr>
        <w:pStyle w:val="FirstParagraph"/>
      </w:pPr>
      <w:r>
        <w:t xml:space="preserve">Given the combined pressures of temperature extremes, eutrophication, and other anthropogenic impacts, targeted management strategies are essential for enhancing seagrass resilience (Loarie et al., 2009). Approaches such as reducing local stressors, cultivating heat-tolerant genotypes, and investing in restoration initiatives are vital to supporting these ecosystems in a warming climate. Although challenges remain, the adaptability and potential resilience of certain seagrass species offer hope for their persistence amid accelerating ecological shifts. In particular, regions that can buffer seagrasses from extreme stressors or provide cooler refuges may play a critical role in </w:t>
      </w:r>
      <w:r>
        <w:lastRenderedPageBreak/>
        <w:t>maintaining these valuable ecosystems in the face of global climate change (Canadell and Jackson, 2021; De Fouw et al., 2022).</w:t>
      </w:r>
    </w:p>
    <w:p w14:paraId="1AB3AA74" w14:textId="148D09C5" w:rsidR="00326662" w:rsidRDefault="00000000">
      <w:pPr>
        <w:pStyle w:val="BodyText"/>
      </w:pPr>
      <w:commentRangeStart w:id="425"/>
      <w:r>
        <w:t>Seagrass meadows function as foundational components of coastal ecosystems, sustaining diverse marine communities by providing essential habitats, nursery grounds, and trophic resources for fish, invertebrates, and migratory birds (Zoffoli et al., 2023). Their dense canopies stabilize sediment and protect shorelines from erosion, an increasingly crucial role as sea levels rise due to climate change (Folmer et al., 2012; Gacia et al., 1999). Recurrent heatwave events, which induce physiological stress like leaf darkening, can severely diminish seagrass density, thereby reducing their effectiveness in sediment stabilization and wave attenuation, ultimately increasing the risk of coastal erosion (Calleja et al., 2007). From a biodiversity perspective, degradation of these meadows disrupts intricate food webs, impacting commercially significant fish and shellfish populations that rely on seagrass for sustenance and refuge. This loss can reduce local fisheries’ productivity and threaten the livelihoods of coastal communities (Unsworth and Cullen-Unsworth, 2014). Furthermore, as seagrasses decline, their capacity to act as a blue carbon sink—critical for climate mitigation—also diminishes, inadvertently contributing to increased atmospheric carbon levels (Armitage and Fourqurean, 2016; Samper-Villarreal et al., 2020)</w:t>
      </w:r>
      <w:ins w:id="426" w:author="Bede Davies" w:date="2024-11-14T12:03:00Z" w16du:dateUtc="2024-11-14T11:03:00Z">
        <w:r w:rsidR="00D01C51">
          <w:t>.</w:t>
        </w:r>
        <w:commentRangeEnd w:id="425"/>
        <w:r w:rsidR="00D01C51">
          <w:rPr>
            <w:rStyle w:val="CommentReference"/>
          </w:rPr>
          <w:commentReference w:id="425"/>
        </w:r>
      </w:ins>
    </w:p>
    <w:p w14:paraId="799EDD9C" w14:textId="77777777" w:rsidR="00326662" w:rsidRDefault="00000000">
      <w:pPr>
        <w:pStyle w:val="Heading1"/>
      </w:pPr>
      <w:bookmarkStart w:id="427" w:name="conclusion"/>
      <w:bookmarkEnd w:id="382"/>
      <w:bookmarkEnd w:id="424"/>
      <w:r>
        <w:t>5. Conclusion</w:t>
      </w:r>
    </w:p>
    <w:p w14:paraId="5EA88FB9" w14:textId="57BE8E1A" w:rsidR="00326662" w:rsidRDefault="00000000">
      <w:pPr>
        <w:pStyle w:val="FirstParagraph"/>
      </w:pPr>
      <w:r>
        <w:t xml:space="preserve">This research has investigated the effects of both marine and atmospheric heatwaves on the intertidal seagrass </w:t>
      </w:r>
      <w:r>
        <w:rPr>
          <w:i/>
          <w:iCs/>
        </w:rPr>
        <w:t>Zostera noltei</w:t>
      </w:r>
      <w:r>
        <w:t xml:space="preserve">, a critical component of coastal ecosystems facing increased thermal stress due to climate change. By examining reflectance and pigment composition under controlled experimental conditions and validating these findings with satellite data, we aimed to understand how extreme heat events impact seagrass health and assess the potential of remote sensing to monitor these effects effectively. </w:t>
      </w:r>
      <w:r>
        <w:lastRenderedPageBreak/>
        <w:t xml:space="preserve">Our findings reveal that heatwaves lead to substantial declines in seagrass reflectance, particularly in the green and near-infrared regions, </w:t>
      </w:r>
      <w:ins w:id="428" w:author="Bede Davies" w:date="2024-11-14T12:04:00Z" w16du:dateUtc="2024-11-14T11:04:00Z">
        <w:r w:rsidR="00D01C51">
          <w:t xml:space="preserve">likely </w:t>
        </w:r>
      </w:ins>
      <w:r>
        <w:t>driven by pigment degradation and structural damage. This change is reflected in significant reductions in key vegetation indices such as NDVI and GLI. The Seagrass Darkening Index (SDI), developed in this study, successfully detected seagrass darkening, a visible symptom of heatwave stress, demonstrating the viability of spectral monitoring to capture early-stage impacts of heat events on intertidal ecosystems. By connecting our findings with satellite data, we have also confirmed the broader spatial impact of heatwaves on seagrass meadows in Quiberon, France. The correlation between heatwave exposure and darkening of seagrass suggests that remote sensing, combined with targeted field observations, can enhance our understanding of ecosystem responses to climate-driven thermal events. These results advocate for integrating continuous spectral monitoring into conservation strategies, as it can help predict the resilience of these ecosystems and guide adaptive management practices. As climate change accelerates, with an anticipated increase in the frequency and intensity of heatwaves, the vulnerability of intertidal zones to such events will likely intensify. This study not only underscores the importance of seagrass meadows in coastal ecosystems but also highlights the urgency of protecting these critical habitats. Future work should focus on refining remote sensing tools and examining the cumulative effects of repeated heatwave events to support the resilience and conservation of intertidal seagrass meadows in a warming world.</w:t>
      </w:r>
    </w:p>
    <w:p w14:paraId="039E9530" w14:textId="77777777" w:rsidR="00326662" w:rsidRDefault="00000000">
      <w:pPr>
        <w:pStyle w:val="Heading1"/>
      </w:pPr>
      <w:bookmarkStart w:id="429" w:name="annexes"/>
      <w:bookmarkEnd w:id="427"/>
      <w:r>
        <w:lastRenderedPageBreak/>
        <w:t>6. Annexes</w:t>
      </w:r>
    </w:p>
    <w:p w14:paraId="75CDF1E8" w14:textId="77777777" w:rsidR="00326662" w:rsidRDefault="00000000">
      <w:pPr>
        <w:pStyle w:val="Heading2"/>
      </w:pPr>
      <w:bookmarkStart w:id="430" w:name="sec-AnnexeA"/>
      <w:r>
        <w:t>6.1 Annexes A - Temperatures of the experiment</w:t>
      </w:r>
    </w:p>
    <w:p w14:paraId="78C63635" w14:textId="77777777" w:rsidR="00326662" w:rsidRDefault="00000000">
      <w:pPr>
        <w:pStyle w:val="CaptionedFigure"/>
      </w:pPr>
      <w:r>
        <w:rPr>
          <w:noProof/>
        </w:rPr>
        <w:drawing>
          <wp:inline distT="0" distB="0" distL="0" distR="0" wp14:anchorId="74A2D48C" wp14:editId="25C0F134">
            <wp:extent cx="5943600" cy="5943600"/>
            <wp:effectExtent l="0" t="0" r="0" b="0"/>
            <wp:docPr id="104" name="Picture" descr="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
            <wp:cNvGraphicFramePr/>
            <a:graphic xmlns:a="http://schemas.openxmlformats.org/drawingml/2006/main">
              <a:graphicData uri="http://schemas.openxmlformats.org/drawingml/2006/picture">
                <pic:pic xmlns:pic="http://schemas.openxmlformats.org/drawingml/2006/picture">
                  <pic:nvPicPr>
                    <pic:cNvPr id="105" name="Picture" descr="Figs/High_res/Temperature_compare.png"/>
                    <pic:cNvPicPr>
                      <a:picLocks noChangeAspect="1" noChangeArrowheads="1"/>
                    </pic:cNvPicPr>
                  </pic:nvPicPr>
                  <pic:blipFill>
                    <a:blip r:embed="rId21"/>
                    <a:stretch>
                      <a:fillRect/>
                    </a:stretch>
                  </pic:blipFill>
                  <pic:spPr bwMode="auto">
                    <a:xfrm>
                      <a:off x="0" y="0"/>
                      <a:ext cx="5943600" cy="5943600"/>
                    </a:xfrm>
                    <a:prstGeom prst="rect">
                      <a:avLst/>
                    </a:prstGeom>
                    <a:noFill/>
                    <a:ln w="9525">
                      <a:noFill/>
                      <a:headEnd/>
                      <a:tailEnd/>
                    </a:ln>
                  </pic:spPr>
                </pic:pic>
              </a:graphicData>
            </a:graphic>
          </wp:inline>
        </w:drawing>
      </w:r>
    </w:p>
    <w:p w14:paraId="671A82DE" w14:textId="77777777" w:rsidR="00326662" w:rsidRDefault="00000000">
      <w:pPr>
        <w:pStyle w:val="ImageCaption"/>
      </w:pPr>
      <w:r>
        <w:t>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w:t>
      </w:r>
    </w:p>
    <w:p w14:paraId="7F1B62F9" w14:textId="77777777" w:rsidR="00326662" w:rsidRDefault="00000000">
      <w:pPr>
        <w:pStyle w:val="BodyText"/>
      </w:pPr>
      <w:r>
        <w:t xml:space="preserve">On average, </w:t>
      </w:r>
      <w:r>
        <w:rPr>
          <w:i/>
          <w:iCs/>
        </w:rPr>
        <w:t>in situ</w:t>
      </w:r>
      <w:r>
        <w:t xml:space="preserve"> temperatures were 3 ± 3.2°C higher than those recorded by Meteo France. Additionally, temperatures recorded by Meteo France were more stable </w:t>
      </w:r>
      <w:r>
        <w:lastRenderedPageBreak/>
        <w:t xml:space="preserve">than those from the </w:t>
      </w:r>
      <w:r>
        <w:rPr>
          <w:i/>
          <w:iCs/>
        </w:rPr>
        <w:t>in situ</w:t>
      </w:r>
      <w:r>
        <w:t xml:space="preserve"> sensors, likely due to the sheltered and shaded location of the Meteo France equipment. This difference was used to adjust heatwave temperatures measured by Meteo France to better reflect the conditions experienced by the seagrasses.</w:t>
      </w:r>
    </w:p>
    <w:p w14:paraId="58B0F2FA" w14:textId="77777777" w:rsidR="00326662" w:rsidRDefault="00000000">
      <w:pPr>
        <w:pStyle w:val="CaptionedFigure"/>
      </w:pPr>
      <w:r>
        <w:rPr>
          <w:noProof/>
        </w:rPr>
        <w:drawing>
          <wp:inline distT="0" distB="0" distL="0" distR="0" wp14:anchorId="75F21268" wp14:editId="62B91AA9">
            <wp:extent cx="5943600" cy="2718555"/>
            <wp:effectExtent l="0" t="0" r="0" b="0"/>
            <wp:docPr id="107" name="Picture" descr="Annexe A2: Temperature profiles of both the control (left) and the treatment (right) followed during the heatwave experiment. The red line indicates air temperature, whereas the blue line indicates water temperature. Due to the tidal cycle followed during the experiment, the seagrasses only experience temperatures representade by solid lines."/>
            <wp:cNvGraphicFramePr/>
            <a:graphic xmlns:a="http://schemas.openxmlformats.org/drawingml/2006/main">
              <a:graphicData uri="http://schemas.openxmlformats.org/drawingml/2006/picture">
                <pic:pic xmlns:pic="http://schemas.openxmlformats.org/drawingml/2006/picture">
                  <pic:nvPicPr>
                    <pic:cNvPr id="108" name="Picture" descr="Figs/Low_res/Chamber_Profils.png"/>
                    <pic:cNvPicPr>
                      <a:picLocks noChangeAspect="1" noChangeArrowheads="1"/>
                    </pic:cNvPicPr>
                  </pic:nvPicPr>
                  <pic:blipFill>
                    <a:blip r:embed="rId22"/>
                    <a:stretch>
                      <a:fillRect/>
                    </a:stretch>
                  </pic:blipFill>
                  <pic:spPr bwMode="auto">
                    <a:xfrm>
                      <a:off x="0" y="0"/>
                      <a:ext cx="5943600" cy="2718555"/>
                    </a:xfrm>
                    <a:prstGeom prst="rect">
                      <a:avLst/>
                    </a:prstGeom>
                    <a:noFill/>
                    <a:ln w="9525">
                      <a:noFill/>
                      <a:headEnd/>
                      <a:tailEnd/>
                    </a:ln>
                  </pic:spPr>
                </pic:pic>
              </a:graphicData>
            </a:graphic>
          </wp:inline>
        </w:drawing>
      </w:r>
    </w:p>
    <w:p w14:paraId="176638B7" w14:textId="77777777" w:rsidR="00326662" w:rsidRDefault="00000000">
      <w:pPr>
        <w:pStyle w:val="ImageCaption"/>
      </w:pPr>
      <w:r>
        <w:t>Annexe A2: Temperature profiles of both the control (left) and the treatment (right) followed during the heatwave experiment. The red line indicates air temperature, whereas the blue line indicates water temperature. Due to the tidal cycle followed during the experiment, the seagrasses only experience temperatures representade by solid lines.</w:t>
      </w:r>
    </w:p>
    <w:p w14:paraId="479A7A6E" w14:textId="77777777" w:rsidR="00326662" w:rsidRDefault="00000000">
      <w:pPr>
        <w:pStyle w:val="Heading2"/>
      </w:pPr>
      <w:bookmarkStart w:id="431" w:name="sec-AnnexeB"/>
      <w:bookmarkEnd w:id="430"/>
      <w:r>
        <w:lastRenderedPageBreak/>
        <w:t>6.2 Annexes B - SDI applied on Experiment samples</w:t>
      </w:r>
    </w:p>
    <w:p w14:paraId="0C579F69" w14:textId="77777777" w:rsidR="00326662" w:rsidRDefault="00000000">
      <w:pPr>
        <w:pStyle w:val="CaptionedFigure"/>
      </w:pPr>
      <w:r>
        <w:rPr>
          <w:noProof/>
        </w:rPr>
        <w:drawing>
          <wp:inline distT="0" distB="0" distL="0" distR="0" wp14:anchorId="7240C166" wp14:editId="3948577F">
            <wp:extent cx="5943600" cy="2971800"/>
            <wp:effectExtent l="0" t="0" r="0" b="0"/>
            <wp:docPr id="111" name="Picture" descr="Annexe B1: Development and Application of the Seagrass Darkening Index (SDI). The left panel displays the average reflectance values for both the Control and Treatment groups on the final day of the experiment. Shaded areas represent the standard deviation of reflectance, while markers indicate the spectral bands used to construct the SDI. The right panel shows the application of the SDI for both groups on the last day of the experiment."/>
            <wp:cNvGraphicFramePr/>
            <a:graphic xmlns:a="http://schemas.openxmlformats.org/drawingml/2006/main">
              <a:graphicData uri="http://schemas.openxmlformats.org/drawingml/2006/picture">
                <pic:pic xmlns:pic="http://schemas.openxmlformats.org/drawingml/2006/picture">
                  <pic:nvPicPr>
                    <pic:cNvPr id="112" name="Picture" descr="Figs/Low_res/PLOT_SDI_exp.png"/>
                    <pic:cNvPicPr>
                      <a:picLocks noChangeAspect="1" noChangeArrowheads="1"/>
                    </pic:cNvPicPr>
                  </pic:nvPicPr>
                  <pic:blipFill>
                    <a:blip r:embed="rId23"/>
                    <a:stretch>
                      <a:fillRect/>
                    </a:stretch>
                  </pic:blipFill>
                  <pic:spPr bwMode="auto">
                    <a:xfrm>
                      <a:off x="0" y="0"/>
                      <a:ext cx="5943600" cy="2971800"/>
                    </a:xfrm>
                    <a:prstGeom prst="rect">
                      <a:avLst/>
                    </a:prstGeom>
                    <a:noFill/>
                    <a:ln w="9525">
                      <a:noFill/>
                      <a:headEnd/>
                      <a:tailEnd/>
                    </a:ln>
                  </pic:spPr>
                </pic:pic>
              </a:graphicData>
            </a:graphic>
          </wp:inline>
        </w:drawing>
      </w:r>
    </w:p>
    <w:p w14:paraId="188B43A2" w14:textId="77777777" w:rsidR="00326662" w:rsidRDefault="00000000">
      <w:pPr>
        <w:pStyle w:val="ImageCaption"/>
      </w:pPr>
      <w:r>
        <w:t>Annexe B1: Development and Application of the Seagrass Darkening Index (SDI). The left panel displays the average reflectance values for both the Control and Treatment groups on the final day of the experiment. Shaded areas represent the standard deviation of reflectance, while markers indicate the spectral bands used to construct the SDI. The right panel shows the application of the SDI for both groups on the last day of the experiment.</w:t>
      </w:r>
    </w:p>
    <w:p w14:paraId="31AE5214" w14:textId="77777777" w:rsidR="00326662" w:rsidRDefault="00000000">
      <w:pPr>
        <w:pStyle w:val="Heading1"/>
      </w:pPr>
      <w:bookmarkStart w:id="432" w:name="references"/>
      <w:bookmarkEnd w:id="429"/>
      <w:bookmarkEnd w:id="431"/>
      <w:r>
        <w:t>7. References</w:t>
      </w:r>
    </w:p>
    <w:p w14:paraId="078F93E6" w14:textId="77777777" w:rsidR="00326662" w:rsidRDefault="00000000">
      <w:pPr>
        <w:pStyle w:val="FirstParagraph"/>
      </w:pPr>
      <w:r>
        <w:t>1</w:t>
      </w:r>
    </w:p>
    <w:p w14:paraId="2A298EBC" w14:textId="77777777" w:rsidR="00326662" w:rsidRDefault="00000000">
      <w:pPr>
        <w:pStyle w:val="Bibliography"/>
      </w:pPr>
      <w:bookmarkStart w:id="433" w:name="ref-akbar2020mangrove"/>
      <w:bookmarkStart w:id="434" w:name="refs"/>
      <w:r>
        <w:t>Akbar, M., Arisanto, P., Sukirno, B., Merdeka, P., Priadhi, M., Zallesa, S., 2020. Mangrove vegetation health index analysis by implementing NDVI (normalized difference vegetation index) classification method on sentinel-2 image data case study: Segara anakan, kabupaten cilacap, in: IOP Conference Series: Earth and Environmental Science. IOP Publishing, p. 012069.</w:t>
      </w:r>
    </w:p>
    <w:p w14:paraId="17559445" w14:textId="77777777" w:rsidR="00326662" w:rsidRDefault="00000000">
      <w:pPr>
        <w:pStyle w:val="Bibliography"/>
      </w:pPr>
      <w:bookmarkStart w:id="435" w:name="ref-armitage2016carbon"/>
      <w:bookmarkEnd w:id="433"/>
      <w:r>
        <w:t>Armitage, A., Fourqurean, J.W., 2016. Carbon storage in seagrass soils: Long-term nutrient history exceeds the effects of near-term nutrient enrichment. Biogeosciences 13, 313–321.</w:t>
      </w:r>
    </w:p>
    <w:p w14:paraId="4925E9F7" w14:textId="77777777" w:rsidR="00326662" w:rsidRDefault="00000000">
      <w:pPr>
        <w:pStyle w:val="Bibliography"/>
      </w:pPr>
      <w:bookmarkStart w:id="436" w:name="ref-berger2024eelgrass"/>
      <w:bookmarkEnd w:id="435"/>
      <w:r>
        <w:t xml:space="preserve">Berger, A.C., Berg, P., McGlathery, K.J., Aoki, L.R., Kerns, K., 2024. Eelgrass meadow response to heat stress. II. Impacts of ocean warming and marine heatwaves measured by novel metrics. Marine Ecology Progress Series 736, 47–62. </w:t>
      </w:r>
      <w:hyperlink r:id="rId24">
        <w:r w:rsidR="00326662">
          <w:rPr>
            <w:rStyle w:val="Hyperlink"/>
          </w:rPr>
          <w:t>https://doi.org/10.3354/meps14588</w:t>
        </w:r>
      </w:hyperlink>
    </w:p>
    <w:p w14:paraId="4E8D8CD6" w14:textId="77777777" w:rsidR="00326662" w:rsidRDefault="00000000">
      <w:pPr>
        <w:pStyle w:val="Bibliography"/>
      </w:pPr>
      <w:bookmarkStart w:id="437" w:name="ref-cabaco2009individual"/>
      <w:bookmarkEnd w:id="436"/>
      <w:r>
        <w:lastRenderedPageBreak/>
        <w:t>Cabaço, S., Machás, R., Santos, R., 2009. Individual and population plasticity of the seagrass zostera noltii along a vertical intertidal gradient. Estuarine, Coastal and Shelf Science 82, 301–308.</w:t>
      </w:r>
    </w:p>
    <w:p w14:paraId="2760BAFF" w14:textId="77777777" w:rsidR="00326662" w:rsidRDefault="00000000">
      <w:pPr>
        <w:pStyle w:val="Bibliography"/>
      </w:pPr>
      <w:bookmarkStart w:id="438" w:name="ref-calleja2007relationship"/>
      <w:bookmarkEnd w:id="437"/>
      <w:r>
        <w:t>Calleja, M.L., Marbà, N., Duarte, C.M., 2007. The relationship between seagrass (posidonia oceanica) decline and sulfide porewater concentration in carbonate sediments. Estuarine, Coastal and Shelf Science 73, 583–588.</w:t>
      </w:r>
    </w:p>
    <w:p w14:paraId="44F28687" w14:textId="77777777" w:rsidR="00326662" w:rsidRDefault="00000000">
      <w:pPr>
        <w:pStyle w:val="Bibliography"/>
      </w:pPr>
      <w:bookmarkStart w:id="439" w:name="ref-canadell2021ecosystem"/>
      <w:bookmarkEnd w:id="438"/>
      <w:r>
        <w:t>Canadell, J.G., Jackson, R.B., 2021. Ecosystem collapse and climate change. Springer.</w:t>
      </w:r>
    </w:p>
    <w:p w14:paraId="271FC43C" w14:textId="77777777" w:rsidR="00326662" w:rsidRDefault="00000000">
      <w:pPr>
        <w:pStyle w:val="Bibliography"/>
      </w:pPr>
      <w:bookmarkStart w:id="440" w:name="ref-carlan2020identifying"/>
      <w:bookmarkEnd w:id="439"/>
      <w:r>
        <w:t>Cârlan, I., Mihai, B.-A., Nistor, C., Große-Stoltenberg, A., 2020. Identifying urban vegetation stress factors based on open access remote sensing imagery and field observations. Ecological Informatics 55, 101032.</w:t>
      </w:r>
    </w:p>
    <w:p w14:paraId="08B7E773" w14:textId="77777777" w:rsidR="00326662" w:rsidRDefault="00000000">
      <w:pPr>
        <w:pStyle w:val="Bibliography"/>
      </w:pPr>
      <w:bookmarkStart w:id="441" w:name="ref-CMEMS_1"/>
      <w:bookmarkEnd w:id="440"/>
      <w:r>
        <w:t xml:space="preserve">CMEMS, 2024. European north west shelf/iberia biscay irish seas – high resolution ODYSSEA sea surface temperature multi-sensor L3 observations reprocessed, e.u. Copernicus marine service information (CMEMS). Marine data store (MDS). (Accessed on 17-10-2024). </w:t>
      </w:r>
      <w:hyperlink r:id="rId25">
        <w:r w:rsidR="00326662">
          <w:rPr>
            <w:rStyle w:val="Hyperlink"/>
          </w:rPr>
          <w:t>https://doi.org/10.48670/moi-00311</w:t>
        </w:r>
      </w:hyperlink>
    </w:p>
    <w:p w14:paraId="1236DC5B" w14:textId="77777777" w:rsidR="00326662" w:rsidRDefault="00000000">
      <w:pPr>
        <w:pStyle w:val="Bibliography"/>
      </w:pPr>
      <w:bookmarkStart w:id="442" w:name="ref-dascaliuc2007heat"/>
      <w:bookmarkEnd w:id="441"/>
      <w:proofErr w:type="spellStart"/>
      <w:r w:rsidRPr="001C485E">
        <w:rPr>
          <w:lang w:val="fr-FR"/>
        </w:rPr>
        <w:t>Dascaliuc</w:t>
      </w:r>
      <w:proofErr w:type="spellEnd"/>
      <w:r w:rsidRPr="001C485E">
        <w:rPr>
          <w:lang w:val="fr-FR"/>
        </w:rPr>
        <w:t xml:space="preserve">, A., </w:t>
      </w:r>
      <w:proofErr w:type="spellStart"/>
      <w:r w:rsidRPr="001C485E">
        <w:rPr>
          <w:lang w:val="fr-FR"/>
        </w:rPr>
        <w:t>Ralea</w:t>
      </w:r>
      <w:proofErr w:type="spellEnd"/>
      <w:r w:rsidRPr="001C485E">
        <w:rPr>
          <w:lang w:val="fr-FR"/>
        </w:rPr>
        <w:t xml:space="preserve">, T., Cuza, P., 2007. </w:t>
      </w:r>
      <w:r>
        <w:t xml:space="preserve">Influence of heat shock on chlorophyll fluorescence of white oak (quercus pubescens willd.) leaves. Photosynthetica 45, 469–471. </w:t>
      </w:r>
      <w:hyperlink r:id="rId26">
        <w:r w:rsidR="00326662">
          <w:rPr>
            <w:rStyle w:val="Hyperlink"/>
          </w:rPr>
          <w:t>https://doi.org/10.1007/s11099-007-0084-3</w:t>
        </w:r>
      </w:hyperlink>
    </w:p>
    <w:p w14:paraId="5DB03DAA" w14:textId="77777777" w:rsidR="00326662" w:rsidRDefault="00000000">
      <w:pPr>
        <w:pStyle w:val="Bibliography"/>
      </w:pPr>
      <w:bookmarkStart w:id="443" w:name="ref-davies2024sentinel"/>
      <w:bookmarkEnd w:id="442"/>
      <w:r>
        <w:t xml:space="preserve">Davies, B.F.R., Oiry, S., Rosa, P., Zoffoli, M.L., Sousa, A.I., Thomas, O.R., Smale, D.A., Austen, M.C., Biermann, L., Attrill, M.J., others, 2024a. A sentinel watching over inter-tidal seagrass phenology across western europe and north africa. Communications Earth &amp; Environment 5, 382. </w:t>
      </w:r>
      <w:hyperlink r:id="rId27">
        <w:r w:rsidR="00326662">
          <w:rPr>
            <w:rStyle w:val="Hyperlink"/>
          </w:rPr>
          <w:t>https://doi.org/10.1038/s43247-024-01543-z</w:t>
        </w:r>
      </w:hyperlink>
    </w:p>
    <w:p w14:paraId="4D3A7BD9" w14:textId="77777777" w:rsidR="00326662" w:rsidRDefault="00000000">
      <w:pPr>
        <w:pStyle w:val="Bibliography"/>
      </w:pPr>
      <w:bookmarkStart w:id="444" w:name="ref-davies2024intertidal"/>
      <w:bookmarkEnd w:id="443"/>
      <w:r>
        <w:t xml:space="preserve">Davies, B.F.R., Oiry, S., Rosa, P., Zoffoli, M.L., Sousa, A.I., Thomas, O.R., Smale, D.A., Austen, M.C., Biermann, L., Attrill, M.J., others, 2024b. Intertidal seagrass extent from sentinel-2 time-series show distinct trajectories in western europe. Remote Sensing of Environment 312, 114340. </w:t>
      </w:r>
      <w:hyperlink r:id="rId28">
        <w:r w:rsidR="00326662">
          <w:rPr>
            <w:rStyle w:val="Hyperlink"/>
          </w:rPr>
          <w:t>https://doi.org/10.1016/j.rse.2024.114340</w:t>
        </w:r>
      </w:hyperlink>
    </w:p>
    <w:p w14:paraId="57AE0C8C" w14:textId="77777777" w:rsidR="00326662" w:rsidRDefault="00000000">
      <w:pPr>
        <w:pStyle w:val="Bibliography"/>
      </w:pPr>
      <w:bookmarkStart w:id="445" w:name="ref-de2022increased"/>
      <w:bookmarkEnd w:id="444"/>
      <w:r>
        <w:t>De Fouw, J., Rehlmeyer, K., Geest, M. van der, Smolders, A.J., Van Der Heide, T., 2022. Increased temperature reduces the positive effect of sulfide-detoxification mutualism on zostera noltii nutrient uptake and growth. Marine Ecology Progress Series 692, 43–52.</w:t>
      </w:r>
    </w:p>
    <w:p w14:paraId="4B243319" w14:textId="77777777" w:rsidR="00326662" w:rsidRDefault="00000000">
      <w:pPr>
        <w:pStyle w:val="Bibliography"/>
      </w:pPr>
      <w:bookmarkStart w:id="446" w:name="ref-deguette2022physiological"/>
      <w:bookmarkEnd w:id="445"/>
      <w:r>
        <w:t>Deguette, A., Barrote, I., Silva, J., 2022. Physiological and morphological effects of a marine heatwave on the seagrass cymodocea nodosa. Scientific Reports 12, 7950.</w:t>
      </w:r>
    </w:p>
    <w:p w14:paraId="46C91090" w14:textId="77777777" w:rsidR="00326662" w:rsidRDefault="00000000">
      <w:pPr>
        <w:pStyle w:val="Bibliography"/>
      </w:pPr>
      <w:bookmarkStart w:id="447" w:name="ref-devi2024intensity"/>
      <w:bookmarkEnd w:id="446"/>
      <w:r>
        <w:t>Devi, R., Gouda, K., Lenka, S., 2024. Intensity duration and frequency of heat wave in different phases of MJO over india. Atmospheric Research 300, 107250.</w:t>
      </w:r>
    </w:p>
    <w:p w14:paraId="2A8D2CEB" w14:textId="77777777" w:rsidR="00326662" w:rsidRDefault="00000000">
      <w:pPr>
        <w:pStyle w:val="Bibliography"/>
      </w:pPr>
      <w:bookmarkStart w:id="448" w:name="ref-sen2cor"/>
      <w:bookmarkEnd w:id="447"/>
      <w:r>
        <w:t>European Space Agency, 2024b. Sen2Cor: Sentinel-2 atmospheric correction processor.</w:t>
      </w:r>
    </w:p>
    <w:p w14:paraId="05010D97" w14:textId="77777777" w:rsidR="00326662" w:rsidRDefault="00000000">
      <w:pPr>
        <w:pStyle w:val="Bibliography"/>
      </w:pPr>
      <w:bookmarkStart w:id="449" w:name="ref-copernicus_sentinel2"/>
      <w:bookmarkEnd w:id="448"/>
      <w:r>
        <w:lastRenderedPageBreak/>
        <w:t>European Space Agency, 2024a. Copernicus open access hub.</w:t>
      </w:r>
    </w:p>
    <w:p w14:paraId="147301A5" w14:textId="77777777" w:rsidR="00326662" w:rsidRDefault="00000000">
      <w:pPr>
        <w:pStyle w:val="Bibliography"/>
      </w:pPr>
      <w:bookmarkStart w:id="450" w:name="ref-folmer2012seagrass"/>
      <w:bookmarkEnd w:id="449"/>
      <w:r>
        <w:t>Folmer, E.O., Geest, M. van der, Jansen, E., Olff, H., Michael Anderson, T., Piersma, T., Gils, J.A. van, 2012. Seagrass–sediment feedback: An exploration using a non-recursive structural equation model. Ecosystems 15, 1380–1393.</w:t>
      </w:r>
    </w:p>
    <w:p w14:paraId="1B12DBBA" w14:textId="77777777" w:rsidR="00326662" w:rsidRDefault="00000000">
      <w:pPr>
        <w:pStyle w:val="Bibliography"/>
      </w:pPr>
      <w:bookmarkStart w:id="451" w:name="ref-franssen2014genome"/>
      <w:bookmarkEnd w:id="450"/>
      <w:r>
        <w:t>Franssen, S.U., Gu, J., Winters, G., Huylmans, A.-K., Wienpahl, I., Sparwel, M., Coyer, J.A., Olsen, J.L., Reusch, T.B., Bornberg-Bauer, E., 2014. Genome-wide transcriptomic responses of the seagrasses zostera marina and nanozostera noltii under a simulated heatwave confirm functional types. Marine Genomics 15, 65–73.</w:t>
      </w:r>
    </w:p>
    <w:p w14:paraId="3D843EAB" w14:textId="77777777" w:rsidR="00326662" w:rsidRDefault="00000000">
      <w:pPr>
        <w:pStyle w:val="Bibliography"/>
      </w:pPr>
      <w:bookmarkStart w:id="452" w:name="ref-gacia1999approach"/>
      <w:bookmarkEnd w:id="451"/>
      <w:r>
        <w:t>Gacia, E., Granata, T., Duarte, C., 1999. An approach to measurement of particle flux and sediment retention within seagrass (posidonia oceanica) meadows. Aquatic Botany 65, 255–268.</w:t>
      </w:r>
    </w:p>
    <w:p w14:paraId="156506A2" w14:textId="77777777" w:rsidR="00326662" w:rsidRDefault="00000000">
      <w:pPr>
        <w:pStyle w:val="Bibliography"/>
      </w:pPr>
      <w:bookmarkStart w:id="453" w:name="ref-gardner2018global"/>
      <w:bookmarkEnd w:id="452"/>
      <w:r>
        <w:t>Gardner, R.C., Finlayson, C., 2018. Global wetland outlook: State of the world’s wetlands and their services to people, in: Ramsar Convention Secretariat. pp. 2020–5.</w:t>
      </w:r>
    </w:p>
    <w:p w14:paraId="5FBC2687" w14:textId="77777777" w:rsidR="00326662" w:rsidRDefault="00000000">
      <w:pPr>
        <w:pStyle w:val="Bibliography"/>
      </w:pPr>
      <w:bookmarkStart w:id="454" w:name="ref-guerrero2020heat"/>
      <w:bookmarkEnd w:id="453"/>
      <w:r w:rsidRPr="001C485E">
        <w:rPr>
          <w:lang w:val="fr-FR"/>
        </w:rPr>
        <w:t>Guerrero-</w:t>
      </w:r>
      <w:proofErr w:type="spellStart"/>
      <w:r w:rsidRPr="001C485E">
        <w:rPr>
          <w:lang w:val="fr-FR"/>
        </w:rPr>
        <w:t>Meseguer</w:t>
      </w:r>
      <w:proofErr w:type="spellEnd"/>
      <w:r w:rsidRPr="001C485E">
        <w:rPr>
          <w:lang w:val="fr-FR"/>
        </w:rPr>
        <w:t xml:space="preserve">, L., </w:t>
      </w:r>
      <w:proofErr w:type="spellStart"/>
      <w:r w:rsidRPr="001C485E">
        <w:rPr>
          <w:lang w:val="fr-FR"/>
        </w:rPr>
        <w:t>Marı́n</w:t>
      </w:r>
      <w:proofErr w:type="spellEnd"/>
      <w:r w:rsidRPr="001C485E">
        <w:rPr>
          <w:lang w:val="fr-FR"/>
        </w:rPr>
        <w:t>, A., Sanz-</w:t>
      </w:r>
      <w:proofErr w:type="spellStart"/>
      <w:r w:rsidRPr="001C485E">
        <w:rPr>
          <w:lang w:val="fr-FR"/>
        </w:rPr>
        <w:t>Lázaro</w:t>
      </w:r>
      <w:proofErr w:type="spellEnd"/>
      <w:r w:rsidRPr="001C485E">
        <w:rPr>
          <w:lang w:val="fr-FR"/>
        </w:rPr>
        <w:t xml:space="preserve">, C., 2020. </w:t>
      </w:r>
      <w:r>
        <w:t>Heat wave intensity can vary the cumulative effects of multiple environmental stressors on posidonia oceanica seedlings. Marine Environmental Research 159, 105001.</w:t>
      </w:r>
    </w:p>
    <w:p w14:paraId="501EF34A" w14:textId="77777777" w:rsidR="00326662" w:rsidRDefault="00000000">
      <w:pPr>
        <w:pStyle w:val="Bibliography"/>
      </w:pPr>
      <w:bookmarkStart w:id="455" w:name="ref-hatum2024predicting"/>
      <w:bookmarkEnd w:id="454"/>
      <w:r>
        <w:t xml:space="preserve">Hatum, P.S., McMahon, K., Mengersen, K., Kilminster, K., Wu, P.P.-Y., 2024. Predicting seagrass ecosystem resilience to marine heatwave events of variable duration, frequency and re-occurrence patterns with gaps. Aquatic Conservation: Marine and Freshwater Ecosystems 34, e4210. </w:t>
      </w:r>
      <w:hyperlink r:id="rId29">
        <w:r w:rsidR="00326662">
          <w:rPr>
            <w:rStyle w:val="Hyperlink"/>
          </w:rPr>
          <w:t>https://doi.org/10.1002/aqc.4210</w:t>
        </w:r>
      </w:hyperlink>
    </w:p>
    <w:p w14:paraId="4E684D73" w14:textId="77777777" w:rsidR="00326662" w:rsidRDefault="00000000">
      <w:pPr>
        <w:pStyle w:val="Bibliography"/>
      </w:pPr>
      <w:bookmarkStart w:id="456" w:name="ref-hobday2016hierarchical"/>
      <w:bookmarkEnd w:id="455"/>
      <w:r>
        <w:t>Hobday, A.J., Alexander, L.V., Perkins, S.E., Smale, D.A., Straub, S.C., Oliver, E.C., Benthuysen, J.A., Burrows, M.T., Donat, M.G., Feng, M., others, 2016. A hierarchical approach to defining marine heatwaves. Progress in oceanography 141, 227–238.</w:t>
      </w:r>
    </w:p>
    <w:p w14:paraId="12702061" w14:textId="77777777" w:rsidR="00326662" w:rsidRDefault="00000000">
      <w:pPr>
        <w:pStyle w:val="Bibliography"/>
      </w:pPr>
      <w:bookmarkStart w:id="457" w:name="ref-hobday2018categorizing"/>
      <w:bookmarkEnd w:id="456"/>
      <w:r>
        <w:t>Hobday, A.J., Oliver, E.C., Gupta, A.S., Benthuysen, J.A., Burrows, M.T., Donat, M.G., Holbrook, N.J., Moore, P.J., Thomsen, M.S., Wernberg, T., others, 2018. Categorizing and naming marine heatwaves. Oceanography 31, 162–173.</w:t>
      </w:r>
    </w:p>
    <w:p w14:paraId="7296D66B" w14:textId="77777777" w:rsidR="00326662" w:rsidRDefault="00000000">
      <w:pPr>
        <w:pStyle w:val="Bibliography"/>
      </w:pPr>
      <w:bookmarkStart w:id="458" w:name="ref-huete2012vegetation"/>
      <w:bookmarkEnd w:id="457"/>
      <w:r>
        <w:t>Huete, A.R., 2012. Vegetation indices, remote sensing and forest monitoring. Geography Compass 6, 513–532.</w:t>
      </w:r>
    </w:p>
    <w:p w14:paraId="1FACB505" w14:textId="77777777" w:rsidR="00326662" w:rsidRDefault="00000000">
      <w:pPr>
        <w:pStyle w:val="Bibliography"/>
      </w:pPr>
      <w:bookmarkStart w:id="459" w:name="ref-hughes2004genetic"/>
      <w:bookmarkEnd w:id="458"/>
      <w:r>
        <w:t xml:space="preserve">Hughes, A.R., Stachowicz, J.J., 2004. Genetic diversity enhances the resistance of a seagrass ecosystem to disturbance. Proceedings of the National Academy of Sciences 101, 8998–9002. </w:t>
      </w:r>
      <w:hyperlink r:id="rId30">
        <w:r w:rsidR="00326662">
          <w:rPr>
            <w:rStyle w:val="Hyperlink"/>
          </w:rPr>
          <w:t>https://doi.org/10.1073/pnas.0402642101</w:t>
        </w:r>
      </w:hyperlink>
    </w:p>
    <w:p w14:paraId="3FA934BE" w14:textId="77777777" w:rsidR="00326662" w:rsidRDefault="00000000">
      <w:pPr>
        <w:pStyle w:val="Bibliography"/>
      </w:pPr>
      <w:bookmarkStart w:id="460" w:name="ref-ioc_sea_level_lecy"/>
      <w:bookmarkEnd w:id="459"/>
      <w:r>
        <w:t xml:space="preserve">IOC, 2024. </w:t>
      </w:r>
      <w:hyperlink r:id="rId31">
        <w:r w:rsidR="00326662">
          <w:rPr>
            <w:rStyle w:val="Hyperlink"/>
          </w:rPr>
          <w:t>Intergovernmental oceanographic commission ; sea level monitoring station - le conquet, france (LECY)</w:t>
        </w:r>
      </w:hyperlink>
      <w:r>
        <w:t>.</w:t>
      </w:r>
    </w:p>
    <w:p w14:paraId="59593224" w14:textId="77777777" w:rsidR="00326662" w:rsidRDefault="00000000">
      <w:pPr>
        <w:pStyle w:val="Bibliography"/>
      </w:pPr>
      <w:bookmarkStart w:id="461" w:name="ref-jankowska2019stabilizing"/>
      <w:bookmarkEnd w:id="460"/>
      <w:r>
        <w:lastRenderedPageBreak/>
        <w:t>Jankowska, E., Michel, L.N., Lepoint, G., Włodarska-Kowalczuk, M., 2019. Stabilizing effects of seagrass meadows on coastal water benthic food webs. Journal of Experimental Marine Biology and Ecology 510, 54–63.</w:t>
      </w:r>
    </w:p>
    <w:p w14:paraId="4DE5761B" w14:textId="77777777" w:rsidR="00326662" w:rsidRDefault="00000000">
      <w:pPr>
        <w:pStyle w:val="Bibliography"/>
      </w:pPr>
      <w:bookmarkStart w:id="462" w:name="ref-jones1992leaf"/>
      <w:bookmarkEnd w:id="461"/>
      <w:r>
        <w:t xml:space="preserve">Jones, R.B., Clayton-Greene, K.A., 1992. The role of photosynthesis and oxidative reactions in leaf blackening of protea neriifolia r. Br. leaves. Scientia Horticulturae 50, 137–145. </w:t>
      </w:r>
      <w:hyperlink r:id="rId32">
        <w:r w:rsidR="00326662">
          <w:rPr>
            <w:rStyle w:val="Hyperlink"/>
          </w:rPr>
          <w:t>https://doi.org/10.1016/S0304-4238(05)80016-0</w:t>
        </w:r>
      </w:hyperlink>
    </w:p>
    <w:p w14:paraId="76F0BA47" w14:textId="77777777" w:rsidR="00326662" w:rsidRDefault="00000000">
      <w:pPr>
        <w:pStyle w:val="Bibliography"/>
      </w:pPr>
      <w:bookmarkStart w:id="463" w:name="ref-kloos2021agricultural"/>
      <w:bookmarkEnd w:id="462"/>
      <w:r>
        <w:t>Kloos, S., Yuan, Y., Castelli, M., Menzel, A., 2021. Agricultural drought detection with MODIS based vegetation health indices in southeast germany. Remote Sensing 13, 3907.</w:t>
      </w:r>
    </w:p>
    <w:p w14:paraId="0C273925" w14:textId="77777777" w:rsidR="00326662" w:rsidRDefault="00000000">
      <w:pPr>
        <w:pStyle w:val="Bibliography"/>
      </w:pPr>
      <w:bookmarkStart w:id="464" w:name="ref-knipling1970reflectance"/>
      <w:bookmarkEnd w:id="463"/>
      <w:r>
        <w:t xml:space="preserve">Knipling, E.B., 1970. Physical and physiological basis for the reflectance of visible and near-infrared radiation from vegetation. Remote Sensing of Environment 1, 155–159. </w:t>
      </w:r>
      <w:hyperlink r:id="rId33">
        <w:r w:rsidR="00326662">
          <w:rPr>
            <w:rStyle w:val="Hyperlink"/>
          </w:rPr>
          <w:t>https://doi.org/10.1016/S0034-4257(70)80021-9</w:t>
        </w:r>
      </w:hyperlink>
    </w:p>
    <w:p w14:paraId="57C803F3" w14:textId="77777777" w:rsidR="00326662" w:rsidRDefault="00000000">
      <w:pPr>
        <w:pStyle w:val="Bibliography"/>
      </w:pPr>
      <w:bookmarkStart w:id="465" w:name="ref-loarie2009velocity"/>
      <w:bookmarkEnd w:id="464"/>
      <w:r>
        <w:t>Loarie, S.R., Duffy, P.B., Hamilton, H., Asner, G.P., Field, C.B., Ackerly, D.D., 2009. The velocity of climate change. Nature 462, 1052–1055.</w:t>
      </w:r>
    </w:p>
    <w:p w14:paraId="2F4C745E" w14:textId="77777777" w:rsidR="00326662" w:rsidRDefault="00000000">
      <w:pPr>
        <w:pStyle w:val="Bibliography"/>
      </w:pPr>
      <w:bookmarkStart w:id="466" w:name="ref-louhaichi2001spatially"/>
      <w:bookmarkEnd w:id="465"/>
      <w:r>
        <w:t>Louhaichi, M., Borman, M.M., Johnson, D.E., 2001. Spatially located platform and aerial photography for documentation of grazing impacts on wheat. Geocarto International 16, 65–70.</w:t>
      </w:r>
    </w:p>
    <w:p w14:paraId="231913FD" w14:textId="77777777" w:rsidR="00326662" w:rsidRDefault="00000000">
      <w:pPr>
        <w:pStyle w:val="Bibliography"/>
      </w:pPr>
      <w:bookmarkStart w:id="467" w:name="ref-massa2009temperature"/>
      <w:bookmarkEnd w:id="466"/>
      <w:r>
        <w:t>Massa, S., Arnaud-Haond, S., Pearson, G., Serrão, E., 2009. Temperature tolerance and survival of intertidal populations of the seagrass zostera noltii (hornemann) in southern europe (ria formosa, portugal). Hydrobiologia 619, 195–201.</w:t>
      </w:r>
    </w:p>
    <w:p w14:paraId="1420A296" w14:textId="77777777" w:rsidR="00326662" w:rsidRDefault="00000000">
      <w:pPr>
        <w:pStyle w:val="Bibliography"/>
      </w:pPr>
      <w:bookmarkStart w:id="468" w:name="ref-mazdiyasni2019hidf"/>
      <w:bookmarkEnd w:id="467"/>
      <w:r>
        <w:t xml:space="preserve">Mazdiyasni, O., Sadegh, M., Chiang, F., AghaKouchak, A., 2019. Heat wave intensity duration frequency curve: A multivariate approach for hazard and attribution analysis. Scientific Reports 9, 14117. </w:t>
      </w:r>
      <w:hyperlink r:id="rId34">
        <w:r w:rsidR="00326662">
          <w:rPr>
            <w:rStyle w:val="Hyperlink"/>
          </w:rPr>
          <w:t>https://doi.org/10.1038/s41598-019-50643-w</w:t>
        </w:r>
      </w:hyperlink>
    </w:p>
    <w:p w14:paraId="430A0785" w14:textId="77777777" w:rsidR="00326662" w:rsidRDefault="00000000">
      <w:pPr>
        <w:pStyle w:val="Bibliography"/>
      </w:pPr>
      <w:bookmarkStart w:id="469" w:name="ref-o2018seagrass"/>
      <w:bookmarkEnd w:id="468"/>
      <w:r>
        <w:t>O’Brien, K.R., Waycott, M., Maxwell, P., Kendrick, G.A., Udy, J.W., Ferguson, A.J., Kilminster, K., Scanes, P., McKenzie, L.J., McMahon, K., others, 2018. Seagrass ecosystem trajectory depends on the relative timescales of resistance, recovery and disturbance. Marine Pollution Bulletin 134, 166–176.</w:t>
      </w:r>
    </w:p>
    <w:p w14:paraId="72CF478A" w14:textId="77777777" w:rsidR="00326662" w:rsidRDefault="00000000">
      <w:pPr>
        <w:pStyle w:val="Bibliography"/>
      </w:pPr>
      <w:bookmarkStart w:id="470" w:name="ref-oliver2019projected"/>
      <w:bookmarkEnd w:id="469"/>
      <w:r>
        <w:t xml:space="preserve">Oliver, E.C.J., Burrows, M.T., Donat, M.G., others, 2019. Projected marine heatwaves in the 21st century and the potential for ecological impact. Frontiers in Marine Science 6, 734. </w:t>
      </w:r>
      <w:hyperlink r:id="rId35">
        <w:r w:rsidR="00326662">
          <w:rPr>
            <w:rStyle w:val="Hyperlink"/>
          </w:rPr>
          <w:t>https://doi.org/10.3389/fmars.2019.00734</w:t>
        </w:r>
      </w:hyperlink>
    </w:p>
    <w:p w14:paraId="14F86B40" w14:textId="77777777" w:rsidR="00326662" w:rsidRDefault="00000000">
      <w:pPr>
        <w:pStyle w:val="Bibliography"/>
      </w:pPr>
      <w:bookmarkStart w:id="471" w:name="ref-pansch2018heat"/>
      <w:bookmarkEnd w:id="470"/>
      <w:r>
        <w:t xml:space="preserve">Pansch, C., Scotti, M., Barboza, F.R., others, 2018. Heat waves and their significance for a temperate benthic community: A near-natural experimental approach. Global Change Biology 24, 4357–4367. </w:t>
      </w:r>
      <w:hyperlink r:id="rId36">
        <w:r w:rsidR="00326662">
          <w:rPr>
            <w:rStyle w:val="Hyperlink"/>
          </w:rPr>
          <w:t>https://doi.org/10.1111/gcb.14282</w:t>
        </w:r>
      </w:hyperlink>
    </w:p>
    <w:p w14:paraId="1937424E" w14:textId="77777777" w:rsidR="00326662" w:rsidRDefault="00000000">
      <w:pPr>
        <w:pStyle w:val="Bibliography"/>
      </w:pPr>
      <w:bookmarkStart w:id="472" w:name="ref-papathanasopoulou2019satellite"/>
      <w:bookmarkEnd w:id="471"/>
      <w:r>
        <w:lastRenderedPageBreak/>
        <w:t>Papathanasopoulou, E., Simis, S., Alikas, K., Ansper, A., Anttila, J., Barillé, A., Barillé, L., Brando, V., Bresciani, M., Bučas, M., others, 2019. Satellite-assisted monitoring of water quality to support the implementation of the water framework directive. EOMORES white paper.</w:t>
      </w:r>
    </w:p>
    <w:p w14:paraId="77F76BD2" w14:textId="77777777" w:rsidR="00326662" w:rsidRDefault="00000000">
      <w:pPr>
        <w:pStyle w:val="Bibliography"/>
      </w:pPr>
      <w:bookmarkStart w:id="473" w:name="ref-perkins2013measurement"/>
      <w:bookmarkEnd w:id="472"/>
      <w:r>
        <w:t>Perkins, S.E., Alexander, L.V., 2013. On the measurement of heat waves. Journal of climate 26, 4500–4517.</w:t>
      </w:r>
    </w:p>
    <w:p w14:paraId="69F04E0C" w14:textId="77777777" w:rsidR="00326662" w:rsidRDefault="00000000">
      <w:pPr>
        <w:pStyle w:val="Bibliography"/>
      </w:pPr>
      <w:bookmarkStart w:id="474" w:name="ref-ramesh2020seagrass"/>
      <w:bookmarkEnd w:id="473"/>
      <w:r>
        <w:t>Ramesh, C., Mohanraju, R., 2020. Seagrass ecosystems of andaman and nicobar islands: Status and future perspective. Environmental &amp; Earth Sciences Research Journal 7.</w:t>
      </w:r>
    </w:p>
    <w:p w14:paraId="42EF1ED1" w14:textId="77777777" w:rsidR="00326662" w:rsidRDefault="00000000">
      <w:pPr>
        <w:pStyle w:val="Bibliography"/>
      </w:pPr>
      <w:bookmarkStart w:id="475" w:name="ref-reusch2005ecosystem"/>
      <w:bookmarkEnd w:id="474"/>
      <w:r>
        <w:t xml:space="preserve">Reusch, T.B., Ehlers, A., Hämmerli, A., Worm, B., 2005. Ecosystem recovery after climatic extremes enhanced by genotypic diversity. Proceedings of the National Academy of Sciences 102, 2826–2831. </w:t>
      </w:r>
      <w:hyperlink r:id="rId37">
        <w:r w:rsidR="00326662">
          <w:rPr>
            <w:rStyle w:val="Hyperlink"/>
          </w:rPr>
          <w:t>https://doi.org/10.1073/pnas.0500008102</w:t>
        </w:r>
      </w:hyperlink>
    </w:p>
    <w:p w14:paraId="6A7E0673" w14:textId="77777777" w:rsidR="00326662" w:rsidRDefault="00000000">
      <w:pPr>
        <w:pStyle w:val="Bibliography"/>
      </w:pPr>
      <w:bookmarkStart w:id="476" w:name="ref-rouse1974monitoring"/>
      <w:bookmarkEnd w:id="475"/>
      <w:r>
        <w:t>Rouse, J.W., Haas, R.H., Schell, J.A., Deering, D.W., others, 1974. Monitoring vegetation systems in the great plains with ERTS. NASA Spec. Publ 351, 309.</w:t>
      </w:r>
    </w:p>
    <w:p w14:paraId="7FCA5166" w14:textId="77777777" w:rsidR="00326662" w:rsidRDefault="00000000">
      <w:pPr>
        <w:pStyle w:val="Bibliography"/>
      </w:pPr>
      <w:bookmarkStart w:id="477" w:name="ref-russo2023intensity"/>
      <w:bookmarkEnd w:id="476"/>
      <w:r>
        <w:t xml:space="preserve">Russo, E., Domeisen, D.I.V., 2023. Increasing intensity of extreme heatwaves: The crucial role of metrics. Geophysical Research Letters 50, e2023GL103540. </w:t>
      </w:r>
      <w:hyperlink r:id="rId38">
        <w:r w:rsidR="00326662">
          <w:rPr>
            <w:rStyle w:val="Hyperlink"/>
          </w:rPr>
          <w:t>https://doi.org/10.1029/2023GL103540</w:t>
        </w:r>
      </w:hyperlink>
    </w:p>
    <w:p w14:paraId="0FA1BE47" w14:textId="77777777" w:rsidR="00326662" w:rsidRDefault="00000000">
      <w:pPr>
        <w:pStyle w:val="Bibliography"/>
      </w:pPr>
      <w:bookmarkStart w:id="478" w:name="ref-samper2020characterization"/>
      <w:bookmarkEnd w:id="477"/>
      <w:r>
        <w:t>Samper-Villarreal, J., Bolaños, R.C., Heidemeyer, M., Vargas, M.M., Vargas, R.M., 2020. Characterization of seagrasses at two new locations in the eastern tropical pacific (el jobo and matapalito, costa rica). Aquatic botany 165, 103237.</w:t>
      </w:r>
    </w:p>
    <w:p w14:paraId="4B0D65CF" w14:textId="77777777" w:rsidR="00326662" w:rsidRDefault="00000000">
      <w:pPr>
        <w:pStyle w:val="Bibliography"/>
      </w:pPr>
      <w:bookmarkStart w:id="479" w:name="ref-sawall2021chronically"/>
      <w:bookmarkEnd w:id="478"/>
      <w:r>
        <w:t>Sawall, Y., Ito, M., Pansch, C., 2021. Chronically elevated sea surface temperatures revealed high susceptibility of the eelgrass zostera marina to winter and spring warming. Limnology and Oceanography 66, 4112–4124.</w:t>
      </w:r>
    </w:p>
    <w:p w14:paraId="5C07A2FE" w14:textId="77777777" w:rsidR="00326662" w:rsidRDefault="00000000">
      <w:pPr>
        <w:pStyle w:val="Bibliography"/>
      </w:pPr>
      <w:bookmarkStart w:id="480" w:name="ref-heatwaveR"/>
      <w:bookmarkEnd w:id="479"/>
      <w:r>
        <w:t xml:space="preserve">Schlegel, R.W., Smit, A.J., 2018. heatwaveR: A central algorithm for the detection of heatwaves and cold-spells. Journal of Open Source Software 3, 821. </w:t>
      </w:r>
      <w:hyperlink r:id="rId39">
        <w:r w:rsidR="00326662">
          <w:rPr>
            <w:rStyle w:val="Hyperlink"/>
          </w:rPr>
          <w:t>https://doi.org/10.21105/joss.00821</w:t>
        </w:r>
      </w:hyperlink>
    </w:p>
    <w:p w14:paraId="2C04E096" w14:textId="77777777" w:rsidR="00326662" w:rsidRDefault="00000000">
      <w:pPr>
        <w:pStyle w:val="Bibliography"/>
      </w:pPr>
      <w:bookmarkStart w:id="481" w:name="ref-scott2018role"/>
      <w:bookmarkEnd w:id="480"/>
      <w:r>
        <w:t>Scott, A.L., York, P.H., Duncan, C., Macreadie, P.I., Connolly, R.M., Ellis, M.T., Jarvis, J.C., Jinks, K.I., Marsh, H., Rasheed, M.A., 2018. The role of herbivory in structuring tropical seagrass ecosystem service delivery. Frontiers in Plant Science 9, 127.</w:t>
      </w:r>
    </w:p>
    <w:p w14:paraId="5228AD10" w14:textId="77777777" w:rsidR="00326662" w:rsidRPr="001C485E" w:rsidRDefault="00000000">
      <w:pPr>
        <w:pStyle w:val="Bibliography"/>
        <w:rPr>
          <w:lang w:val="fr-FR"/>
        </w:rPr>
      </w:pPr>
      <w:bookmarkStart w:id="482" w:name="ref-sevgi2022bitkilerde"/>
      <w:bookmarkEnd w:id="481"/>
      <w:r>
        <w:t xml:space="preserve">Sevgi, K., Leblebici, S., 2022. Bitkilerde ağır metal stresine verilen fizyolojik ve moleküler yanıtlar. </w:t>
      </w:r>
      <w:r w:rsidRPr="001C485E">
        <w:rPr>
          <w:lang w:val="fr-FR"/>
        </w:rPr>
        <w:t xml:space="preserve">Journal of </w:t>
      </w:r>
      <w:proofErr w:type="spellStart"/>
      <w:r w:rsidRPr="001C485E">
        <w:rPr>
          <w:lang w:val="fr-FR"/>
        </w:rPr>
        <w:t>Anatolian</w:t>
      </w:r>
      <w:proofErr w:type="spellEnd"/>
      <w:r w:rsidRPr="001C485E">
        <w:rPr>
          <w:lang w:val="fr-FR"/>
        </w:rPr>
        <w:t xml:space="preserve"> </w:t>
      </w:r>
      <w:proofErr w:type="spellStart"/>
      <w:r w:rsidRPr="001C485E">
        <w:rPr>
          <w:lang w:val="fr-FR"/>
        </w:rPr>
        <w:t>Environmental</w:t>
      </w:r>
      <w:proofErr w:type="spellEnd"/>
      <w:r w:rsidRPr="001C485E">
        <w:rPr>
          <w:lang w:val="fr-FR"/>
        </w:rPr>
        <w:t xml:space="preserve"> and Animal Sciences 7, 528–536.</w:t>
      </w:r>
    </w:p>
    <w:p w14:paraId="7D841F18" w14:textId="77777777" w:rsidR="00326662" w:rsidRPr="001C485E" w:rsidRDefault="00000000">
      <w:pPr>
        <w:pStyle w:val="Bibliography"/>
        <w:rPr>
          <w:lang w:val="fr-FR"/>
        </w:rPr>
      </w:pPr>
      <w:bookmarkStart w:id="483" w:name="ref-shom_ram_2022"/>
      <w:bookmarkEnd w:id="482"/>
      <w:proofErr w:type="spellStart"/>
      <w:r w:rsidRPr="001C485E">
        <w:rPr>
          <w:lang w:val="fr-FR"/>
        </w:rPr>
        <w:lastRenderedPageBreak/>
        <w:t>Shom</w:t>
      </w:r>
      <w:proofErr w:type="spellEnd"/>
      <w:r w:rsidRPr="001C485E">
        <w:rPr>
          <w:lang w:val="fr-FR"/>
        </w:rPr>
        <w:t xml:space="preserve">, 2022. </w:t>
      </w:r>
      <w:r w:rsidR="00326662">
        <w:fldChar w:fldCharType="begin"/>
      </w:r>
      <w:r w:rsidR="00326662" w:rsidRPr="001C1460">
        <w:rPr>
          <w:lang w:val="fr-FR"/>
          <w:rPrChange w:id="484" w:author="Bede Davies" w:date="2024-11-14T09:38:00Z" w16du:dateUtc="2024-11-14T08:38:00Z">
            <w:rPr/>
          </w:rPrChange>
        </w:rPr>
        <w:instrText>HYPERLINK "https://diffusion.shom.fr/references-altimetriques-maritimes-ram.html" \h</w:instrText>
      </w:r>
      <w:r w:rsidR="00326662">
        <w:fldChar w:fldCharType="separate"/>
      </w:r>
      <w:r w:rsidR="00326662" w:rsidRPr="001C485E">
        <w:rPr>
          <w:rStyle w:val="Hyperlink"/>
          <w:lang w:val="fr-FR"/>
        </w:rPr>
        <w:t xml:space="preserve">Service hydrographique et océanographique de la marine ; références altimétriques </w:t>
      </w:r>
      <w:proofErr w:type="gramStart"/>
      <w:r w:rsidR="00326662" w:rsidRPr="001C485E">
        <w:rPr>
          <w:rStyle w:val="Hyperlink"/>
          <w:lang w:val="fr-FR"/>
        </w:rPr>
        <w:t>maritimes:</w:t>
      </w:r>
      <w:proofErr w:type="gramEnd"/>
      <w:r w:rsidR="00326662" w:rsidRPr="001C485E">
        <w:rPr>
          <w:rStyle w:val="Hyperlink"/>
          <w:lang w:val="fr-FR"/>
        </w:rPr>
        <w:t xml:space="preserve"> Ports de </w:t>
      </w:r>
      <w:proofErr w:type="spellStart"/>
      <w:r w:rsidR="00326662" w:rsidRPr="001C485E">
        <w:rPr>
          <w:rStyle w:val="Hyperlink"/>
          <w:lang w:val="fr-FR"/>
        </w:rPr>
        <w:t>france</w:t>
      </w:r>
      <w:proofErr w:type="spellEnd"/>
      <w:r w:rsidR="00326662" w:rsidRPr="001C485E">
        <w:rPr>
          <w:rStyle w:val="Hyperlink"/>
          <w:lang w:val="fr-FR"/>
        </w:rPr>
        <w:t xml:space="preserve"> métropolitaine et d’outre-mer, </w:t>
      </w:r>
      <w:proofErr w:type="spellStart"/>
      <w:r w:rsidR="00326662" w:rsidRPr="001C485E">
        <w:rPr>
          <w:rStyle w:val="Hyperlink"/>
          <w:lang w:val="fr-FR"/>
        </w:rPr>
        <w:t>cotes</w:t>
      </w:r>
      <w:proofErr w:type="spellEnd"/>
      <w:r w:rsidR="00326662" w:rsidRPr="001C485E">
        <w:rPr>
          <w:rStyle w:val="Hyperlink"/>
          <w:lang w:val="fr-FR"/>
        </w:rPr>
        <w:t xml:space="preserve"> du zéro hydrographique et niveaux caractéristiques de la marée</w:t>
      </w:r>
      <w:r w:rsidR="00326662">
        <w:rPr>
          <w:rStyle w:val="Hyperlink"/>
          <w:lang w:val="fr-FR"/>
        </w:rPr>
        <w:fldChar w:fldCharType="end"/>
      </w:r>
      <w:r w:rsidRPr="001C485E">
        <w:rPr>
          <w:lang w:val="fr-FR"/>
        </w:rPr>
        <w:t xml:space="preserve">. </w:t>
      </w:r>
      <w:proofErr w:type="spellStart"/>
      <w:r w:rsidRPr="001C485E">
        <w:rPr>
          <w:lang w:val="fr-FR"/>
        </w:rPr>
        <w:t>Shom</w:t>
      </w:r>
      <w:proofErr w:type="spellEnd"/>
      <w:r w:rsidRPr="001C485E">
        <w:rPr>
          <w:lang w:val="fr-FR"/>
        </w:rPr>
        <w:t>, Brest, France.</w:t>
      </w:r>
    </w:p>
    <w:p w14:paraId="50A9C538" w14:textId="77777777" w:rsidR="00326662" w:rsidRPr="001C485E" w:rsidRDefault="00000000">
      <w:pPr>
        <w:pStyle w:val="Bibliography"/>
        <w:rPr>
          <w:lang w:val="fr-FR"/>
        </w:rPr>
      </w:pPr>
      <w:bookmarkStart w:id="485" w:name="Xbef41143b4d4042e58f11cfc27e216202646012"/>
      <w:bookmarkEnd w:id="483"/>
      <w:r w:rsidRPr="001C485E">
        <w:rPr>
          <w:lang w:val="fr-FR"/>
        </w:rPr>
        <w:t xml:space="preserve">SHOM, 2021. </w:t>
      </w:r>
      <w:r w:rsidR="00326662">
        <w:fldChar w:fldCharType="begin"/>
      </w:r>
      <w:r w:rsidR="00326662" w:rsidRPr="001C1460">
        <w:rPr>
          <w:lang w:val="fr-FR"/>
          <w:rPrChange w:id="486" w:author="Bede Davies" w:date="2024-11-14T09:41:00Z" w16du:dateUtc="2024-11-14T08:41:00Z">
            <w:rPr/>
          </w:rPrChange>
        </w:rPr>
        <w:instrText>HYPERLINK "https://services.data.shom.fr/geonetwork/srv/fre/catalog.search" \l "/metadata/BATHYMETRIE_LITTO3D_BZH_2018_2021.xml" \h</w:instrText>
      </w:r>
      <w:r w:rsidR="00326662">
        <w:fldChar w:fldCharType="separate"/>
      </w:r>
      <w:r w:rsidR="00326662" w:rsidRPr="001C485E">
        <w:rPr>
          <w:rStyle w:val="Hyperlink"/>
          <w:lang w:val="fr-FR"/>
        </w:rPr>
        <w:t>Service hydrographique et océanographique de la marine ; bathymétrie Litto3D® bretagne 2018-2021</w:t>
      </w:r>
      <w:r w:rsidR="00326662">
        <w:rPr>
          <w:rStyle w:val="Hyperlink"/>
          <w:lang w:val="fr-FR"/>
        </w:rPr>
        <w:fldChar w:fldCharType="end"/>
      </w:r>
      <w:r w:rsidRPr="001C485E">
        <w:rPr>
          <w:lang w:val="fr-FR"/>
        </w:rPr>
        <w:t>.</w:t>
      </w:r>
    </w:p>
    <w:p w14:paraId="1BFFC598" w14:textId="77777777" w:rsidR="00326662" w:rsidRDefault="00000000">
      <w:pPr>
        <w:pStyle w:val="Bibliography"/>
      </w:pPr>
      <w:bookmarkStart w:id="487" w:name="ref-simolo2022quantifying"/>
      <w:bookmarkEnd w:id="485"/>
      <w:r>
        <w:t xml:space="preserve">Simolo, C., Corti, S., 2022. Quantifying the role of variability in future intensification of heat extremes. Nature Communications 13. </w:t>
      </w:r>
      <w:hyperlink r:id="rId40">
        <w:r w:rsidR="00326662">
          <w:rPr>
            <w:rStyle w:val="Hyperlink"/>
          </w:rPr>
          <w:t>https://doi.org/10.1038/s41467-022-35571-0</w:t>
        </w:r>
      </w:hyperlink>
    </w:p>
    <w:p w14:paraId="3E4C204D" w14:textId="77777777" w:rsidR="00326662" w:rsidRDefault="00000000">
      <w:pPr>
        <w:pStyle w:val="Bibliography"/>
      </w:pPr>
      <w:bookmarkStart w:id="488" w:name="ref-smale2019marine"/>
      <w:bookmarkEnd w:id="487"/>
      <w:r>
        <w:t xml:space="preserve">Smale, D.A., Wernberg, T., Oliver, E.C.J., others, 2019. Marine heatwaves threaten global biodiversity and the provision of ecosystem services. Nature Climate Change 9, 306–312. </w:t>
      </w:r>
      <w:hyperlink r:id="rId41">
        <w:r w:rsidR="00326662">
          <w:rPr>
            <w:rStyle w:val="Hyperlink"/>
          </w:rPr>
          <w:t>https://doi.org/10.1038/s41558-019-0412-1</w:t>
        </w:r>
      </w:hyperlink>
    </w:p>
    <w:p w14:paraId="097FF9C6" w14:textId="77777777" w:rsidR="00326662" w:rsidRDefault="00000000">
      <w:pPr>
        <w:pStyle w:val="Bibliography"/>
      </w:pPr>
      <w:bookmarkStart w:id="489" w:name="ref-sousa2019blue"/>
      <w:bookmarkEnd w:id="488"/>
      <w:r>
        <w:t>Sousa, A.I., Silva, J.F. da, Azevedo, A., Lillebø, A.I., 2019. Blue carbon stock in zostera noltei meadows at ria de aveiro coastal lagoon (portugal) over a decade. Scientific reports 9, 14387.</w:t>
      </w:r>
    </w:p>
    <w:p w14:paraId="0D9DE591" w14:textId="77777777" w:rsidR="00326662" w:rsidRDefault="00000000">
      <w:pPr>
        <w:pStyle w:val="Bibliography"/>
      </w:pPr>
      <w:bookmarkStart w:id="490" w:name="ref-stillman2019heat"/>
      <w:bookmarkEnd w:id="489"/>
      <w:r>
        <w:t xml:space="preserve">Stillman, J.H., 2019. Heat waves, the new normal: Summertime temperature extremes will impact animals, ecosystems, and human communities. Physiology 34, 86–100. </w:t>
      </w:r>
      <w:hyperlink r:id="rId42">
        <w:r w:rsidR="00326662">
          <w:rPr>
            <w:rStyle w:val="Hyperlink"/>
          </w:rPr>
          <w:t>https://doi.org/10.1152/physiol.00040.2018</w:t>
        </w:r>
      </w:hyperlink>
    </w:p>
    <w:p w14:paraId="7D7CADD6" w14:textId="77777777" w:rsidR="00326662" w:rsidRDefault="00000000">
      <w:pPr>
        <w:pStyle w:val="Bibliography"/>
      </w:pPr>
      <w:bookmarkStart w:id="491" w:name="ref-thomsen2023meadow"/>
      <w:bookmarkEnd w:id="490"/>
      <w:r>
        <w:t>Thomsen, E., Herbeck, L.S., Viana, I.G., Jennerjahn, T.C., 2023. Meadow trophic status regulates the nitrogen filter function of tropical seagrasses in seasonally eutrophic coastal waters. Limnology and Oceanography 68, 1906–1919.</w:t>
      </w:r>
    </w:p>
    <w:p w14:paraId="3325D37E" w14:textId="77777777" w:rsidR="00326662" w:rsidRDefault="00000000">
      <w:pPr>
        <w:pStyle w:val="Bibliography"/>
      </w:pPr>
      <w:bookmarkStart w:id="492" w:name="ref-unsworth2014biodiversity"/>
      <w:bookmarkEnd w:id="491"/>
      <w:r>
        <w:t>Unsworth, R., Cullen-Unsworth, L.C., 2014. Biodiversity, ecosystem services, and the conservation of seagrass meadows. Coast. Conserv 19, 95.</w:t>
      </w:r>
    </w:p>
    <w:p w14:paraId="4D2F6010" w14:textId="77777777" w:rsidR="00326662" w:rsidRDefault="00000000">
      <w:pPr>
        <w:pStyle w:val="Bibliography"/>
      </w:pPr>
      <w:bookmarkStart w:id="493" w:name="ref-unsworth2022planetary"/>
      <w:bookmarkEnd w:id="492"/>
      <w:r>
        <w:t>Unsworth, R.K., Cullen-Unsworth, L.C., Jones, B.L., Lilley, R.J., 2022. The planetary role of seagrass conservation. Science 377, 609–613.</w:t>
      </w:r>
    </w:p>
    <w:p w14:paraId="2D85371B" w14:textId="77777777" w:rsidR="00326662" w:rsidRDefault="00000000">
      <w:pPr>
        <w:pStyle w:val="Bibliography"/>
      </w:pPr>
      <w:bookmarkStart w:id="494" w:name="ref-waycott2009accelerating"/>
      <w:bookmarkEnd w:id="493"/>
      <w:r>
        <w:t>Waycott, M., Duarte, C.M., Carruthers, T.J., Orth, R.J., Dennison, W.C., Olyarnik, S., Calladine, A., Fourqurean, J.W., Heck Jr, K.L., Hughes, A.R., others, 2009. Accelerating loss of seagrasses across the globe threatens coastal ecosystems. Proceedings of the national academy of sciences 106, 12377–12381.</w:t>
      </w:r>
    </w:p>
    <w:p w14:paraId="6A9FD2DC" w14:textId="77777777" w:rsidR="00326662" w:rsidRDefault="00000000">
      <w:pPr>
        <w:pStyle w:val="Bibliography"/>
      </w:pPr>
      <w:bookmarkStart w:id="495" w:name="ref-winters2011effects"/>
      <w:bookmarkEnd w:id="494"/>
      <w:r>
        <w:t>Winters, G., Nelle, P., Fricke, B., Rauch, G., Reusch, T.B., 2011. Effects of a simulated heat wave on photophysiology and gene expression of high-and low-latitude populations of zostera marina. Marine Ecology Progress Series 435, 83–95.</w:t>
      </w:r>
    </w:p>
    <w:p w14:paraId="106929C7" w14:textId="77777777" w:rsidR="00326662" w:rsidRDefault="00000000">
      <w:pPr>
        <w:pStyle w:val="Bibliography"/>
      </w:pPr>
      <w:bookmarkStart w:id="496" w:name="ref-zoffoli2021decadal"/>
      <w:bookmarkEnd w:id="495"/>
      <w:r>
        <w:t>Zoffoli, M.L., Gernez, P., Godet, L., Peters, S., Oiry, S., Barillé, L., 2021. Decadal increase in the ecological status of a north-atlantic intertidal seagrass meadow observed with multi-mission satellite time-series. Ecological Indicators 130, 108033.</w:t>
      </w:r>
    </w:p>
    <w:p w14:paraId="2D746154" w14:textId="77777777" w:rsidR="00326662" w:rsidRDefault="00000000">
      <w:pPr>
        <w:pStyle w:val="Bibliography"/>
      </w:pPr>
      <w:bookmarkStart w:id="497" w:name="ref-zoffoli2023remote"/>
      <w:bookmarkEnd w:id="496"/>
      <w:r>
        <w:lastRenderedPageBreak/>
        <w:t xml:space="preserve">Zoffoli, M.L., Gernez, P., Oiry, S., Godet, L., Dalloyau, S., Davies, B.F.R., Barillé, L., 2023. Remote sensing in seagrass ecology: Coupled dynamics between migratory herbivorous birds and intertidal meadows observed by satellite during four decades. Remote Sensing in Ecology and Conservation 9, 420–433. </w:t>
      </w:r>
      <w:hyperlink r:id="rId43">
        <w:r w:rsidR="00326662">
          <w:rPr>
            <w:rStyle w:val="Hyperlink"/>
          </w:rPr>
          <w:t>https://doi.org/10.1002/rse2.319</w:t>
        </w:r>
      </w:hyperlink>
    </w:p>
    <w:p w14:paraId="64C6A988" w14:textId="77777777" w:rsidR="00326662" w:rsidRDefault="00000000">
      <w:pPr>
        <w:pStyle w:val="Bibliography"/>
      </w:pPr>
      <w:bookmarkStart w:id="498" w:name="ref-zoffoli2020sentinel"/>
      <w:bookmarkEnd w:id="497"/>
      <w:r>
        <w:t>Zoffoli, M.L., Gernez, P., Rosa, P., Le Bris, A., Brando, V.E., Barillé, A.-L., Harin, N., Peters, S., Poser, K., Spaias, L., others, 2020. Sentinel-2 remote sensing of zostera noltei-dominated intertidal seagrass meadows. Remote Sensing of Environment 251, 112020.</w:t>
      </w:r>
      <w:bookmarkEnd w:id="432"/>
      <w:bookmarkEnd w:id="434"/>
      <w:bookmarkEnd w:id="498"/>
    </w:p>
    <w:sectPr w:rsidR="00326662">
      <w:footerReference w:type="default" r:id="rId4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 w:author="Bede Davies" w:date="2024-11-13T16:06:00Z" w:initials="BFRD">
    <w:p w14:paraId="1E06C3F0" w14:textId="77777777" w:rsidR="00E90558" w:rsidRDefault="00E90558" w:rsidP="00E90558">
      <w:r>
        <w:rPr>
          <w:rStyle w:val="CommentReference"/>
        </w:rPr>
        <w:annotationRef/>
      </w:r>
      <w:r>
        <w:rPr>
          <w:sz w:val="20"/>
          <w:szCs w:val="20"/>
        </w:rPr>
        <w:t>Odd Ref, but will be changed once paper is published?</w:t>
      </w:r>
    </w:p>
  </w:comment>
  <w:comment w:id="8" w:author="Bede Davies" w:date="2024-11-13T16:07:00Z" w:initials="BFRD">
    <w:p w14:paraId="020C0E63" w14:textId="77777777" w:rsidR="00E90558" w:rsidRDefault="00E90558" w:rsidP="00E90558">
      <w:r>
        <w:rPr>
          <w:rStyle w:val="CommentReference"/>
        </w:rPr>
        <w:annotationRef/>
      </w:r>
      <w:r>
        <w:rPr>
          <w:sz w:val="20"/>
          <w:szCs w:val="20"/>
        </w:rPr>
        <w:t>??</w:t>
      </w:r>
    </w:p>
  </w:comment>
  <w:comment w:id="40" w:author="Bede Davies" w:date="2024-11-13T16:32:00Z" w:initials="BFRD">
    <w:p w14:paraId="34172E89" w14:textId="77777777" w:rsidR="00F309E4" w:rsidRDefault="00F309E4" w:rsidP="00F309E4">
      <w:r>
        <w:rPr>
          <w:rStyle w:val="CommentReference"/>
        </w:rPr>
        <w:annotationRef/>
      </w:r>
      <w:r>
        <w:rPr>
          <w:sz w:val="20"/>
          <w:szCs w:val="20"/>
        </w:rPr>
        <w:t>Specify the moving window and the package used to do it.</w:t>
      </w:r>
    </w:p>
  </w:comment>
  <w:comment w:id="68" w:author="Bede Davies" w:date="2024-11-14T10:06:00Z" w:initials="BFRD">
    <w:p w14:paraId="4820116B" w14:textId="77777777" w:rsidR="001B6B7E" w:rsidRDefault="001B6B7E" w:rsidP="001B6B7E">
      <w:r>
        <w:rPr>
          <w:rStyle w:val="CommentReference"/>
        </w:rPr>
        <w:annotationRef/>
      </w:r>
      <w:r>
        <w:rPr>
          <w:sz w:val="20"/>
          <w:szCs w:val="20"/>
        </w:rPr>
        <w:t>Legend doesn’t need seagrasses for the two points. Its Impacted and Unimpacted.</w:t>
      </w:r>
    </w:p>
  </w:comment>
  <w:comment w:id="84" w:author="Bede Davies" w:date="2024-11-14T09:43:00Z" w:initials="BFRD">
    <w:p w14:paraId="571623D7" w14:textId="5BC3FB1C" w:rsidR="00DF304B" w:rsidRDefault="00DF304B" w:rsidP="00DF304B">
      <w:r>
        <w:rPr>
          <w:rStyle w:val="CommentReference"/>
        </w:rPr>
        <w:annotationRef/>
      </w:r>
      <w:r>
        <w:rPr>
          <w:sz w:val="20"/>
          <w:szCs w:val="20"/>
        </w:rPr>
        <w:t>I lost all the comments I made after this point so having to redo this morning.</w:t>
      </w:r>
    </w:p>
  </w:comment>
  <w:comment w:id="116" w:author="Bede Davies" w:date="2024-11-14T10:20:00Z" w:initials="BFRD">
    <w:p w14:paraId="08442501" w14:textId="77777777" w:rsidR="00B8608A" w:rsidRDefault="00B8608A" w:rsidP="00B8608A">
      <w:r>
        <w:rPr>
          <w:rStyle w:val="CommentReference"/>
        </w:rPr>
        <w:annotationRef/>
      </w:r>
      <w:r>
        <w:rPr>
          <w:sz w:val="20"/>
          <w:szCs w:val="20"/>
        </w:rPr>
        <w:t>I just realised you never mention the statistics you carry out.</w:t>
      </w:r>
    </w:p>
  </w:comment>
  <w:comment w:id="136" w:author="Bede Davies" w:date="2024-11-14T10:31:00Z" w:initials="BFRD">
    <w:p w14:paraId="56FA3B9B" w14:textId="77777777" w:rsidR="00531196" w:rsidRDefault="00531196" w:rsidP="00531196">
      <w:r>
        <w:rPr>
          <w:rStyle w:val="CommentReference"/>
        </w:rPr>
        <w:annotationRef/>
      </w:r>
      <w:r>
        <w:rPr>
          <w:sz w:val="20"/>
          <w:szCs w:val="20"/>
        </w:rPr>
        <w:t>Bürkner, P.-C. Bayesian item response modeling in R with brms and</w:t>
      </w:r>
    </w:p>
    <w:p w14:paraId="58CD8698" w14:textId="77777777" w:rsidR="00531196" w:rsidRDefault="00531196" w:rsidP="00531196">
      <w:r>
        <w:rPr>
          <w:sz w:val="20"/>
          <w:szCs w:val="20"/>
        </w:rPr>
        <w:t>Stan. J. Stat. Softw. 100, 1–54 (2021).</w:t>
      </w:r>
    </w:p>
    <w:p w14:paraId="5FB15487" w14:textId="77777777" w:rsidR="00531196" w:rsidRDefault="00531196" w:rsidP="00531196">
      <w:r>
        <w:rPr>
          <w:sz w:val="20"/>
          <w:szCs w:val="20"/>
        </w:rPr>
        <w:t>70. Stan Development Team. RStan: The R interface to Stan (2018).</w:t>
      </w:r>
    </w:p>
    <w:p w14:paraId="31049AAE" w14:textId="77777777" w:rsidR="00531196" w:rsidRDefault="00531196" w:rsidP="00531196">
      <w:r>
        <w:rPr>
          <w:sz w:val="20"/>
          <w:szCs w:val="20"/>
        </w:rPr>
        <w:t>71. Carpenter, B. et al. Stan: a probabilistic programming language. J.</w:t>
      </w:r>
    </w:p>
    <w:p w14:paraId="18AEE4AC" w14:textId="77777777" w:rsidR="00531196" w:rsidRDefault="00531196" w:rsidP="00531196">
      <w:r>
        <w:rPr>
          <w:sz w:val="20"/>
          <w:szCs w:val="20"/>
        </w:rPr>
        <w:t>Stat. Softw. 76, 1 (2017).</w:t>
      </w:r>
    </w:p>
    <w:p w14:paraId="08875DB3" w14:textId="77777777" w:rsidR="00531196" w:rsidRDefault="00531196" w:rsidP="00531196">
      <w:r>
        <w:rPr>
          <w:sz w:val="20"/>
          <w:szCs w:val="20"/>
        </w:rPr>
        <w:t>72. R Core Team. R: A Language and Environment for Statistical</w:t>
      </w:r>
    </w:p>
    <w:p w14:paraId="49AE1C4D" w14:textId="77777777" w:rsidR="00531196" w:rsidRDefault="00531196" w:rsidP="00531196">
      <w:r>
        <w:rPr>
          <w:sz w:val="20"/>
          <w:szCs w:val="20"/>
        </w:rPr>
        <w:t>Computing. (R Foundation for Statistical Computing, 2023).</w:t>
      </w:r>
    </w:p>
  </w:comment>
  <w:comment w:id="208" w:author="Bede Davies" w:date="2024-11-14T09:50:00Z" w:initials="BFRD">
    <w:p w14:paraId="1E52D91A" w14:textId="5AEC3E0F" w:rsidR="00EF7E12" w:rsidRDefault="00EF7E12" w:rsidP="00EF7E12">
      <w:r>
        <w:rPr>
          <w:rStyle w:val="CommentReference"/>
        </w:rPr>
        <w:annotationRef/>
      </w:r>
      <w:r>
        <w:rPr>
          <w:sz w:val="20"/>
          <w:szCs w:val="20"/>
        </w:rPr>
        <w:t>Sort the percentages to be absolute, or don’t say decline but say change with the negative/positive symbol.</w:t>
      </w:r>
    </w:p>
  </w:comment>
  <w:comment w:id="264" w:author="Bede Davies" w:date="2024-11-14T09:59:00Z" w:initials="BFRD">
    <w:p w14:paraId="0766BFCF" w14:textId="77777777" w:rsidR="001B6B7E" w:rsidRDefault="001B6B7E" w:rsidP="001B6B7E">
      <w:r>
        <w:rPr>
          <w:rStyle w:val="CommentReference"/>
        </w:rPr>
        <w:annotationRef/>
      </w:r>
      <w:r>
        <w:rPr>
          <w:sz w:val="20"/>
          <w:szCs w:val="20"/>
        </w:rPr>
        <w:t>New graph is needed. Just showing Y axis is SDI true value, x is time step and colour is treatment and control, similar style to figure 7. No need for stats just means plus/minus standard error or deviation.</w:t>
      </w:r>
    </w:p>
  </w:comment>
  <w:comment w:id="283" w:author="Bede Davies" w:date="2024-11-14T10:04:00Z" w:initials="BFRD">
    <w:p w14:paraId="79FC77A7" w14:textId="77777777" w:rsidR="001B6B7E" w:rsidRDefault="001B6B7E" w:rsidP="001B6B7E">
      <w:r>
        <w:rPr>
          <w:rStyle w:val="CommentReference"/>
        </w:rPr>
        <w:annotationRef/>
      </w:r>
      <w:r>
        <w:rPr>
          <w:sz w:val="20"/>
          <w:szCs w:val="20"/>
        </w:rPr>
        <w:t>Sort legend for QPs, don’t need to say seagrasses, as above for original map.</w:t>
      </w:r>
    </w:p>
  </w:comment>
  <w:comment w:id="284" w:author="Bede Davies" w:date="2024-11-14T10:05:00Z" w:initials="BFRD">
    <w:p w14:paraId="30573B65" w14:textId="77777777" w:rsidR="001B6B7E" w:rsidRDefault="001B6B7E" w:rsidP="001B6B7E">
      <w:r>
        <w:rPr>
          <w:rStyle w:val="CommentReference"/>
        </w:rPr>
        <w:annotationRef/>
      </w:r>
      <w:r>
        <w:rPr>
          <w:sz w:val="20"/>
          <w:szCs w:val="20"/>
        </w:rPr>
        <w:t>Just “QPs: [Yellow] Impacted, [Green] Unimpacted”</w:t>
      </w:r>
    </w:p>
    <w:p w14:paraId="1D8E62EB" w14:textId="77777777" w:rsidR="001B6B7E" w:rsidRDefault="001B6B7E" w:rsidP="001B6B7E"/>
    <w:p w14:paraId="4E2F1B1A" w14:textId="77777777" w:rsidR="001B6B7E" w:rsidRDefault="001B6B7E" w:rsidP="001B6B7E">
      <w:r>
        <w:rPr>
          <w:sz w:val="20"/>
          <w:szCs w:val="20"/>
        </w:rPr>
        <w:t>Make sure this is the same colour scheme used throughout all the other figures for Impacted and Unimpacted QPs! Currently Figure 2 and Figure 7 use different colours.</w:t>
      </w:r>
    </w:p>
  </w:comment>
  <w:comment w:id="285" w:author="Bede Davies" w:date="2024-11-14T10:07:00Z" w:initials="BFRD">
    <w:p w14:paraId="22C3D56B" w14:textId="77777777" w:rsidR="001B6B7E" w:rsidRDefault="001B6B7E" w:rsidP="001B6B7E">
      <w:r>
        <w:rPr>
          <w:rStyle w:val="CommentReference"/>
        </w:rPr>
        <w:annotationRef/>
      </w:r>
      <w:r>
        <w:rPr>
          <w:sz w:val="20"/>
          <w:szCs w:val="20"/>
        </w:rPr>
        <w:t xml:space="preserve">For the maps, I personally prefer the yellow and green used here. (But above in Figure 2, keep the outlines as green and red just change the QPs) </w:t>
      </w:r>
    </w:p>
  </w:comment>
  <w:comment w:id="297" w:author="Bede Davies" w:date="2024-11-14T10:10:00Z" w:initials="BFRD">
    <w:p w14:paraId="6EBC5045" w14:textId="77777777" w:rsidR="00FA0A0E" w:rsidRDefault="00FA0A0E" w:rsidP="00FA0A0E">
      <w:r>
        <w:rPr>
          <w:rStyle w:val="CommentReference"/>
        </w:rPr>
        <w:annotationRef/>
      </w:r>
      <w:r>
        <w:rPr>
          <w:sz w:val="20"/>
          <w:szCs w:val="20"/>
        </w:rPr>
        <w:t>If you say dropped or declined or increased etc no symbol. Above is fine because you say changes.</w:t>
      </w:r>
    </w:p>
  </w:comment>
  <w:comment w:id="339" w:author="Bede Davies" w:date="2024-11-14T10:14:00Z" w:initials="BFRD">
    <w:p w14:paraId="233A860E" w14:textId="77777777" w:rsidR="00B171AD" w:rsidRDefault="00B171AD" w:rsidP="00B171AD">
      <w:r>
        <w:rPr>
          <w:rStyle w:val="CommentReference"/>
        </w:rPr>
        <w:annotationRef/>
      </w:r>
      <w:r>
        <w:rPr>
          <w:sz w:val="20"/>
          <w:szCs w:val="20"/>
        </w:rPr>
        <w:t>Nice plot, just the legend title that needs making nice.</w:t>
      </w:r>
    </w:p>
  </w:comment>
  <w:comment w:id="357" w:author="Bede Davies" w:date="2024-11-14T10:16:00Z" w:initials="BFRD">
    <w:p w14:paraId="35F27721" w14:textId="77777777" w:rsidR="00DA0ED2" w:rsidRDefault="00DA0ED2" w:rsidP="00DA0ED2">
      <w:r>
        <w:rPr>
          <w:rStyle w:val="CommentReference"/>
        </w:rPr>
        <w:annotationRef/>
      </w:r>
      <w:r>
        <w:rPr>
          <w:sz w:val="20"/>
          <w:szCs w:val="20"/>
        </w:rPr>
        <w:t>You copying my style eh? I like it.</w:t>
      </w:r>
    </w:p>
  </w:comment>
  <w:comment w:id="380" w:author="Bede Davies" w:date="2024-11-14T10:19:00Z" w:initials="BFRD">
    <w:p w14:paraId="1DBF5CA2" w14:textId="77777777" w:rsidR="00B8608A" w:rsidRDefault="00B8608A" w:rsidP="00B8608A">
      <w:r>
        <w:rPr>
          <w:rStyle w:val="CommentReference"/>
        </w:rPr>
        <w:annotationRef/>
      </w:r>
      <w:r>
        <w:rPr>
          <w:sz w:val="20"/>
          <w:szCs w:val="20"/>
        </w:rPr>
        <w:t>In some figure captions you redefine the acronyms and some you don’t. Either redefine every figure caption or never redefine after the first time in methods.</w:t>
      </w:r>
    </w:p>
  </w:comment>
  <w:comment w:id="381" w:author="Bede Davies" w:date="2024-11-14T10:33:00Z" w:initials="BFRD">
    <w:p w14:paraId="48EDAFEB" w14:textId="77777777" w:rsidR="00E326F2" w:rsidRDefault="00E326F2" w:rsidP="00E326F2">
      <w:r>
        <w:rPr>
          <w:rStyle w:val="CommentReference"/>
        </w:rPr>
        <w:annotationRef/>
      </w:r>
      <w:r>
        <w:rPr>
          <w:sz w:val="20"/>
          <w:szCs w:val="20"/>
        </w:rPr>
        <w:t>Same for stats stuff.</w:t>
      </w:r>
    </w:p>
  </w:comment>
  <w:comment w:id="392" w:author="Bede Davies" w:date="2024-11-14T11:41:00Z" w:initials="BFRD">
    <w:p w14:paraId="15D40A36" w14:textId="77777777" w:rsidR="00D5289B" w:rsidRDefault="00D5289B" w:rsidP="00D5289B">
      <w:r>
        <w:rPr>
          <w:rStyle w:val="CommentReference"/>
        </w:rPr>
        <w:annotationRef/>
      </w:r>
      <w:r>
        <w:rPr>
          <w:sz w:val="20"/>
          <w:szCs w:val="20"/>
        </w:rPr>
        <w:t>Cite after first sentence, not at end.</w:t>
      </w:r>
    </w:p>
  </w:comment>
  <w:comment w:id="397" w:author="Bede Davies" w:date="2024-11-14T11:46:00Z" w:initials="BFRD">
    <w:p w14:paraId="5A741164" w14:textId="77777777" w:rsidR="0018065C" w:rsidRDefault="0018065C" w:rsidP="0018065C">
      <w:r>
        <w:rPr>
          <w:rStyle w:val="CommentReference"/>
        </w:rPr>
        <w:annotationRef/>
      </w:r>
      <w:r>
        <w:rPr>
          <w:sz w:val="20"/>
          <w:szCs w:val="20"/>
        </w:rPr>
        <w:t>A distinct lack of citations in this paragraph.</w:t>
      </w:r>
    </w:p>
  </w:comment>
  <w:comment w:id="400" w:author="Bede Davies" w:date="2024-11-14T11:46:00Z" w:initials="BFRD">
    <w:p w14:paraId="0A75D90F" w14:textId="77777777" w:rsidR="0018065C" w:rsidRDefault="0018065C" w:rsidP="0018065C">
      <w:r>
        <w:rPr>
          <w:rStyle w:val="CommentReference"/>
        </w:rPr>
        <w:annotationRef/>
      </w:r>
      <w:r>
        <w:rPr>
          <w:sz w:val="20"/>
          <w:szCs w:val="20"/>
        </w:rPr>
        <w:t>Cite</w:t>
      </w:r>
    </w:p>
  </w:comment>
  <w:comment w:id="406" w:author="Bede Davies" w:date="2024-11-14T11:49:00Z" w:initials="BFRD">
    <w:p w14:paraId="58D32A92" w14:textId="77777777" w:rsidR="0018065C" w:rsidRDefault="0018065C" w:rsidP="0018065C">
      <w:r>
        <w:rPr>
          <w:rStyle w:val="CommentReference"/>
        </w:rPr>
        <w:annotationRef/>
      </w:r>
      <w:r>
        <w:rPr>
          <w:sz w:val="20"/>
          <w:szCs w:val="20"/>
        </w:rPr>
        <w:t>cite</w:t>
      </w:r>
    </w:p>
  </w:comment>
  <w:comment w:id="401" w:author="Bede Davies" w:date="2024-11-14T11:51:00Z" w:initials="BFRD">
    <w:p w14:paraId="547F91DE" w14:textId="77777777" w:rsidR="0018065C" w:rsidRDefault="0018065C" w:rsidP="0018065C">
      <w:r>
        <w:rPr>
          <w:rStyle w:val="CommentReference"/>
        </w:rPr>
        <w:annotationRef/>
      </w:r>
      <w:r>
        <w:rPr>
          <w:sz w:val="20"/>
          <w:szCs w:val="20"/>
        </w:rPr>
        <w:t>While a good review of lit for heatwaves you don’t really relate it to this work, I think this needs trimming down and relating to the current study.</w:t>
      </w:r>
    </w:p>
  </w:comment>
  <w:comment w:id="408" w:author="Bede Davies" w:date="2024-11-14T11:52:00Z" w:initials="BFRD">
    <w:p w14:paraId="493E6B74" w14:textId="77777777" w:rsidR="0018065C" w:rsidRDefault="0018065C" w:rsidP="0018065C">
      <w:r>
        <w:rPr>
          <w:rStyle w:val="CommentReference"/>
        </w:rPr>
        <w:annotationRef/>
      </w:r>
      <w:r>
        <w:rPr>
          <w:sz w:val="20"/>
          <w:szCs w:val="20"/>
        </w:rPr>
        <w:t>Nice :)</w:t>
      </w:r>
    </w:p>
  </w:comment>
  <w:comment w:id="422" w:author="Bede Davies" w:date="2024-11-14T11:59:00Z" w:initials="BFRD">
    <w:p w14:paraId="14D39A8E" w14:textId="77777777" w:rsidR="00CF67E6" w:rsidRDefault="00CF67E6" w:rsidP="00CF67E6">
      <w:r>
        <w:rPr>
          <w:rStyle w:val="CommentReference"/>
        </w:rPr>
        <w:annotationRef/>
      </w:r>
      <w:r>
        <w:rPr>
          <w:sz w:val="20"/>
          <w:szCs w:val="20"/>
        </w:rPr>
        <w:t>citation</w:t>
      </w:r>
    </w:p>
  </w:comment>
  <w:comment w:id="425" w:author="Bede Davies" w:date="2024-11-14T12:03:00Z" w:initials="BFRD">
    <w:p w14:paraId="165FC937" w14:textId="77777777" w:rsidR="00D01C51" w:rsidRDefault="00D01C51" w:rsidP="00D01C51">
      <w:r>
        <w:rPr>
          <w:rStyle w:val="CommentReference"/>
        </w:rPr>
        <w:annotationRef/>
      </w:r>
      <w:r>
        <w:rPr>
          <w:sz w:val="20"/>
          <w:szCs w:val="20"/>
        </w:rPr>
        <w:t>This is more introduction to me, again it should be brought back and related to your work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E06C3F0" w15:done="0"/>
  <w15:commentEx w15:paraId="020C0E63" w15:done="0"/>
  <w15:commentEx w15:paraId="34172E89" w15:done="0"/>
  <w15:commentEx w15:paraId="4820116B" w15:done="0"/>
  <w15:commentEx w15:paraId="571623D7" w15:done="0"/>
  <w15:commentEx w15:paraId="08442501" w15:done="0"/>
  <w15:commentEx w15:paraId="49AE1C4D" w15:done="0"/>
  <w15:commentEx w15:paraId="1E52D91A" w15:done="0"/>
  <w15:commentEx w15:paraId="0766BFCF" w15:done="0"/>
  <w15:commentEx w15:paraId="79FC77A7" w15:done="0"/>
  <w15:commentEx w15:paraId="4E2F1B1A" w15:paraIdParent="79FC77A7" w15:done="0"/>
  <w15:commentEx w15:paraId="22C3D56B" w15:paraIdParent="79FC77A7" w15:done="0"/>
  <w15:commentEx w15:paraId="6EBC5045" w15:done="0"/>
  <w15:commentEx w15:paraId="233A860E" w15:done="0"/>
  <w15:commentEx w15:paraId="35F27721" w15:done="0"/>
  <w15:commentEx w15:paraId="1DBF5CA2" w15:done="0"/>
  <w15:commentEx w15:paraId="48EDAFEB" w15:done="0"/>
  <w15:commentEx w15:paraId="15D40A36" w15:done="0"/>
  <w15:commentEx w15:paraId="5A741164" w15:done="0"/>
  <w15:commentEx w15:paraId="0A75D90F" w15:done="0"/>
  <w15:commentEx w15:paraId="58D32A92" w15:done="0"/>
  <w15:commentEx w15:paraId="547F91DE" w15:done="0"/>
  <w15:commentEx w15:paraId="493E6B74" w15:done="0"/>
  <w15:commentEx w15:paraId="14D39A8E" w15:done="0"/>
  <w15:commentEx w15:paraId="165FC9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3496D8D" w16cex:dateUtc="2024-11-13T15:06:00Z"/>
  <w16cex:commentExtensible w16cex:durableId="6919C846" w16cex:dateUtc="2024-11-13T15:07:00Z"/>
  <w16cex:commentExtensible w16cex:durableId="2FF4DA08" w16cex:dateUtc="2024-11-13T15:32:00Z"/>
  <w16cex:commentExtensible w16cex:durableId="2E4F7786" w16cex:dateUtc="2024-11-14T09:06:00Z"/>
  <w16cex:commentExtensible w16cex:durableId="172B62E7" w16cex:dateUtc="2024-11-14T08:43:00Z"/>
  <w16cex:commentExtensible w16cex:durableId="72650992" w16cex:dateUtc="2024-11-14T09:20:00Z"/>
  <w16cex:commentExtensible w16cex:durableId="319E4FDA" w16cex:dateUtc="2024-11-14T09:31:00Z"/>
  <w16cex:commentExtensible w16cex:durableId="4DB3E018" w16cex:dateUtc="2024-11-14T08:50:00Z"/>
  <w16cex:commentExtensible w16cex:durableId="27BCC83A" w16cex:dateUtc="2024-11-14T08:59:00Z"/>
  <w16cex:commentExtensible w16cex:durableId="0039F7FE" w16cex:dateUtc="2024-11-14T09:04:00Z"/>
  <w16cex:commentExtensible w16cex:durableId="55CA6B03" w16cex:dateUtc="2024-11-14T09:05:00Z"/>
  <w16cex:commentExtensible w16cex:durableId="7E27B2C6" w16cex:dateUtc="2024-11-14T09:07:00Z"/>
  <w16cex:commentExtensible w16cex:durableId="5D8A3763" w16cex:dateUtc="2024-11-14T09:10:00Z"/>
  <w16cex:commentExtensible w16cex:durableId="1BC0A537" w16cex:dateUtc="2024-11-14T09:14:00Z"/>
  <w16cex:commentExtensible w16cex:durableId="62356946" w16cex:dateUtc="2024-11-14T09:16:00Z"/>
  <w16cex:commentExtensible w16cex:durableId="5E6D69FC" w16cex:dateUtc="2024-11-14T09:19:00Z"/>
  <w16cex:commentExtensible w16cex:durableId="1A20F012" w16cex:dateUtc="2024-11-14T09:33:00Z"/>
  <w16cex:commentExtensible w16cex:durableId="0B1B7892" w16cex:dateUtc="2024-11-14T10:41:00Z"/>
  <w16cex:commentExtensible w16cex:durableId="6B7069C2" w16cex:dateUtc="2024-11-14T10:46:00Z"/>
  <w16cex:commentExtensible w16cex:durableId="03AE1175" w16cex:dateUtc="2024-11-14T10:46:00Z"/>
  <w16cex:commentExtensible w16cex:durableId="2995F21E" w16cex:dateUtc="2024-11-14T10:49:00Z"/>
  <w16cex:commentExtensible w16cex:durableId="36227EF7" w16cex:dateUtc="2024-11-14T10:51:00Z"/>
  <w16cex:commentExtensible w16cex:durableId="217806FD" w16cex:dateUtc="2024-11-14T10:52:00Z"/>
  <w16cex:commentExtensible w16cex:durableId="30B250D7" w16cex:dateUtc="2024-11-14T10:59:00Z"/>
  <w16cex:commentExtensible w16cex:durableId="108C19CA" w16cex:dateUtc="2024-11-14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E06C3F0" w16cid:durableId="33496D8D"/>
  <w16cid:commentId w16cid:paraId="020C0E63" w16cid:durableId="6919C846"/>
  <w16cid:commentId w16cid:paraId="34172E89" w16cid:durableId="2FF4DA08"/>
  <w16cid:commentId w16cid:paraId="4820116B" w16cid:durableId="2E4F7786"/>
  <w16cid:commentId w16cid:paraId="571623D7" w16cid:durableId="172B62E7"/>
  <w16cid:commentId w16cid:paraId="08442501" w16cid:durableId="72650992"/>
  <w16cid:commentId w16cid:paraId="49AE1C4D" w16cid:durableId="319E4FDA"/>
  <w16cid:commentId w16cid:paraId="1E52D91A" w16cid:durableId="4DB3E018"/>
  <w16cid:commentId w16cid:paraId="0766BFCF" w16cid:durableId="27BCC83A"/>
  <w16cid:commentId w16cid:paraId="79FC77A7" w16cid:durableId="0039F7FE"/>
  <w16cid:commentId w16cid:paraId="4E2F1B1A" w16cid:durableId="55CA6B03"/>
  <w16cid:commentId w16cid:paraId="22C3D56B" w16cid:durableId="7E27B2C6"/>
  <w16cid:commentId w16cid:paraId="6EBC5045" w16cid:durableId="5D8A3763"/>
  <w16cid:commentId w16cid:paraId="233A860E" w16cid:durableId="1BC0A537"/>
  <w16cid:commentId w16cid:paraId="35F27721" w16cid:durableId="62356946"/>
  <w16cid:commentId w16cid:paraId="1DBF5CA2" w16cid:durableId="5E6D69FC"/>
  <w16cid:commentId w16cid:paraId="48EDAFEB" w16cid:durableId="1A20F012"/>
  <w16cid:commentId w16cid:paraId="15D40A36" w16cid:durableId="0B1B7892"/>
  <w16cid:commentId w16cid:paraId="5A741164" w16cid:durableId="6B7069C2"/>
  <w16cid:commentId w16cid:paraId="0A75D90F" w16cid:durableId="03AE1175"/>
  <w16cid:commentId w16cid:paraId="58D32A92" w16cid:durableId="2995F21E"/>
  <w16cid:commentId w16cid:paraId="547F91DE" w16cid:durableId="36227EF7"/>
  <w16cid:commentId w16cid:paraId="493E6B74" w16cid:durableId="217806FD"/>
  <w16cid:commentId w16cid:paraId="14D39A8E" w16cid:durableId="30B250D7"/>
  <w16cid:commentId w16cid:paraId="165FC937" w16cid:durableId="108C19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CB9FC" w14:textId="77777777" w:rsidR="00FB2048" w:rsidRDefault="00FB2048">
      <w:pPr>
        <w:spacing w:after="0"/>
      </w:pPr>
      <w:r>
        <w:separator/>
      </w:r>
    </w:p>
  </w:endnote>
  <w:endnote w:type="continuationSeparator" w:id="0">
    <w:p w14:paraId="5BE5D9E5" w14:textId="77777777" w:rsidR="00FB2048" w:rsidRDefault="00FB20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3285314"/>
      <w:docPartObj>
        <w:docPartGallery w:val="Page Numbers (Bottom of Page)"/>
        <w:docPartUnique/>
      </w:docPartObj>
    </w:sdtPr>
    <w:sdtEndPr>
      <w:rPr>
        <w:noProof/>
      </w:rPr>
    </w:sdtEndPr>
    <w:sdtContent>
      <w:p w14:paraId="4A2723DA" w14:textId="77777777" w:rsidR="00270B5B" w:rsidRDefault="0000000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5A973A4F" w14:textId="77777777" w:rsidR="00270B5B" w:rsidRDefault="00270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819FA8" w14:textId="77777777" w:rsidR="00FB2048" w:rsidRDefault="00FB2048">
      <w:pPr>
        <w:spacing w:after="0"/>
      </w:pPr>
      <w:r>
        <w:separator/>
      </w:r>
    </w:p>
  </w:footnote>
  <w:footnote w:type="continuationSeparator" w:id="0">
    <w:p w14:paraId="4D8CF2E2" w14:textId="77777777" w:rsidR="00FB2048" w:rsidRDefault="00FB2048">
      <w:pPr>
        <w:spacing w:after="0"/>
      </w:pPr>
      <w:r>
        <w:continuationSeparator/>
      </w:r>
    </w:p>
  </w:footnote>
  <w:footnote w:id="1">
    <w:p w14:paraId="5D983B1C" w14:textId="77777777" w:rsidR="00326662" w:rsidRPr="001C485E" w:rsidRDefault="00000000">
      <w:pPr>
        <w:pStyle w:val="FootnoteText"/>
        <w:rPr>
          <w:lang w:val="fr-FR"/>
        </w:rPr>
      </w:pPr>
      <w:r>
        <w:rPr>
          <w:rStyle w:val="FootnoteReference"/>
        </w:rPr>
        <w:footnoteRef/>
      </w:r>
      <w:r w:rsidRPr="001C485E">
        <w:rPr>
          <w:lang w:val="fr-FR"/>
        </w:rPr>
        <w:t xml:space="preserve"> Institut des Substances et Organismes de la Mer, ISOMer, Nantes Université, UR 2160, F-44000 Nantes, France</w:t>
      </w:r>
    </w:p>
  </w:footnote>
  <w:footnote w:id="2">
    <w:p w14:paraId="3420978F" w14:textId="77777777" w:rsidR="00326662" w:rsidRPr="001C485E" w:rsidRDefault="00000000">
      <w:pPr>
        <w:pStyle w:val="FootnoteText"/>
        <w:rPr>
          <w:lang w:val="fr-FR"/>
        </w:rPr>
      </w:pPr>
      <w:r>
        <w:rPr>
          <w:rStyle w:val="FootnoteReference"/>
        </w:rPr>
        <w:footnoteRef/>
      </w:r>
      <w:r w:rsidRPr="001C485E">
        <w:rPr>
          <w:lang w:val="fr-FR"/>
        </w:rPr>
        <w:t xml:space="preserve"> Consiglio Nazionale delle Ricerche, Istituto di Scienze Marine (CNR-ISMAR), 00133 Rome, Italy</w:t>
      </w:r>
    </w:p>
  </w:footnote>
  <w:footnote w:id="3">
    <w:p w14:paraId="6163227D" w14:textId="77777777" w:rsidR="00326662" w:rsidRPr="001C485E" w:rsidRDefault="00000000">
      <w:pPr>
        <w:pStyle w:val="FootnoteText"/>
        <w:rPr>
          <w:lang w:val="fr-FR"/>
        </w:rPr>
      </w:pPr>
      <w:r>
        <w:rPr>
          <w:rStyle w:val="FootnoteReference"/>
        </w:rPr>
        <w:footnoteRef/>
      </w:r>
      <w:r w:rsidRPr="001C485E">
        <w:rPr>
          <w:lang w:val="fr-FR"/>
        </w:rPr>
        <w:t xml:space="preserve"> Bio-littoral, Immeuble Le Nevada, 2 Rue du Château de l’Eraudière, 44300 Nantes,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94CD6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50376692">
    <w:abstractNumId w:val="0"/>
  </w:num>
  <w:num w:numId="2" w16cid:durableId="2043355522">
    <w:abstractNumId w:val="0"/>
  </w:num>
  <w:num w:numId="3" w16cid:durableId="234439833">
    <w:abstractNumId w:val="1"/>
  </w:num>
  <w:num w:numId="4" w16cid:durableId="650378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ede Davies">
    <w15:presenceInfo w15:providerId="AD" w15:userId="S::bede.davies@univ-nantes.fr::459133fa-dce2-466b-8167-49bec569af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662"/>
    <w:rsid w:val="0018065C"/>
    <w:rsid w:val="00191AD6"/>
    <w:rsid w:val="001B6B7E"/>
    <w:rsid w:val="001C1460"/>
    <w:rsid w:val="001C485E"/>
    <w:rsid w:val="00246341"/>
    <w:rsid w:val="00270B5B"/>
    <w:rsid w:val="00326662"/>
    <w:rsid w:val="003379D0"/>
    <w:rsid w:val="0039102D"/>
    <w:rsid w:val="004F082D"/>
    <w:rsid w:val="00531196"/>
    <w:rsid w:val="00632120"/>
    <w:rsid w:val="00646D38"/>
    <w:rsid w:val="00700B3F"/>
    <w:rsid w:val="0070143B"/>
    <w:rsid w:val="0074479F"/>
    <w:rsid w:val="007E6900"/>
    <w:rsid w:val="009A6F15"/>
    <w:rsid w:val="009C49A6"/>
    <w:rsid w:val="00A37CC9"/>
    <w:rsid w:val="00AC1E99"/>
    <w:rsid w:val="00B171AD"/>
    <w:rsid w:val="00B35A1A"/>
    <w:rsid w:val="00B8608A"/>
    <w:rsid w:val="00C11073"/>
    <w:rsid w:val="00CF67E6"/>
    <w:rsid w:val="00D01C51"/>
    <w:rsid w:val="00D24E8A"/>
    <w:rsid w:val="00D5289B"/>
    <w:rsid w:val="00DA0ED2"/>
    <w:rsid w:val="00DF304B"/>
    <w:rsid w:val="00E326F2"/>
    <w:rsid w:val="00E90558"/>
    <w:rsid w:val="00EB7E46"/>
    <w:rsid w:val="00EF7E12"/>
    <w:rsid w:val="00F26F24"/>
    <w:rsid w:val="00F309E4"/>
    <w:rsid w:val="00F75169"/>
    <w:rsid w:val="00FA0A0E"/>
    <w:rsid w:val="00FB2048"/>
    <w:rsid w:val="00FD6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78BC"/>
  <w15:docId w15:val="{19E9C62E-03F5-3049-9517-1897181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Heading1">
    <w:name w:val="heading 1"/>
    <w:basedOn w:val="Normal"/>
    <w:next w:val="BodyText"/>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Heading3">
    <w:name w:val="heading 3"/>
    <w:basedOn w:val="Normal"/>
    <w:next w:val="BodyText"/>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BodyText"/>
    <w:next w:val="BodyText"/>
    <w:autoRedefine/>
    <w:qFormat/>
    <w:rsid w:val="00AC6758"/>
    <w:pPr>
      <w:ind w:firstLine="0"/>
    </w:pPr>
  </w:style>
  <w:style w:type="paragraph" w:customStyle="1" w:styleId="Compact">
    <w:name w:val="Compact"/>
    <w:basedOn w:val="BodyText"/>
    <w:autoRedefine/>
    <w:qFormat/>
    <w:rsid w:val="00AC6758"/>
    <w:pPr>
      <w:spacing w:before="0" w:after="0" w:line="240" w:lineRule="auto"/>
      <w:ind w:firstLine="0"/>
    </w:pPr>
    <w:rPr>
      <w:sz w:val="20"/>
    </w:rPr>
  </w:style>
  <w:style w:type="paragraph" w:styleId="Title">
    <w:name w:val="Title"/>
    <w:basedOn w:val="Normal"/>
    <w:next w:val="BodyText"/>
    <w:autoRedefine/>
    <w:qFormat/>
    <w:rsid w:val="00AC6758"/>
    <w:pPr>
      <w:keepNext/>
      <w:keepLines/>
      <w:spacing w:before="480" w:after="240"/>
    </w:pPr>
    <w:rPr>
      <w:rFonts w:eastAsiaTheme="majorEastAsia" w:cstheme="majorBidi"/>
      <w:b/>
      <w:bCs/>
      <w:sz w:val="36"/>
      <w:szCs w:val="36"/>
    </w:rPr>
  </w:style>
  <w:style w:type="paragraph" w:styleId="Subtitle">
    <w:name w:val="Subtitle"/>
    <w:basedOn w:val="Title"/>
    <w:next w:val="BodyText"/>
    <w:autoRedefine/>
    <w:qFormat/>
    <w:rsid w:val="00AC6758"/>
    <w:pPr>
      <w:spacing w:before="240"/>
      <w:jc w:val="center"/>
    </w:pPr>
    <w:rPr>
      <w:sz w:val="30"/>
      <w:szCs w:val="30"/>
    </w:rPr>
  </w:style>
  <w:style w:type="paragraph" w:customStyle="1" w:styleId="Author">
    <w:name w:val="Author"/>
    <w:next w:val="BodyText"/>
    <w:autoRedefine/>
    <w:qFormat/>
    <w:rsid w:val="00AC6758"/>
    <w:pPr>
      <w:keepNext/>
      <w:keepLines/>
    </w:pPr>
    <w:rPr>
      <w:rFonts w:ascii="Arial Black" w:hAnsi="Arial Black"/>
    </w:rPr>
  </w:style>
  <w:style w:type="paragraph" w:styleId="Date">
    <w:name w:val="Date"/>
    <w:next w:val="BodyText"/>
    <w:autoRedefine/>
    <w:qFormat/>
    <w:rsid w:val="00AC6758"/>
    <w:pPr>
      <w:keepNext/>
      <w:keepLines/>
    </w:pPr>
  </w:style>
  <w:style w:type="paragraph" w:customStyle="1" w:styleId="Abstract">
    <w:name w:val="Abstract"/>
    <w:basedOn w:val="Normal"/>
    <w:next w:val="BodyText"/>
    <w:autoRedefine/>
    <w:qFormat/>
    <w:rsid w:val="00AC6758"/>
    <w:pPr>
      <w:keepNext/>
      <w:keepLines/>
      <w:spacing w:before="300" w:after="300"/>
    </w:pPr>
    <w:rPr>
      <w:sz w:val="20"/>
      <w:szCs w:val="20"/>
    </w:rPr>
  </w:style>
  <w:style w:type="paragraph" w:styleId="Bibliography">
    <w:name w:val="Bibliography"/>
    <w:basedOn w:val="Normal"/>
    <w:autoRedefine/>
    <w:qFormat/>
    <w:rsid w:val="00AC6758"/>
  </w:style>
  <w:style w:type="paragraph" w:styleId="BlockText">
    <w:name w:val="Block Text"/>
    <w:basedOn w:val="BodyText"/>
    <w:next w:val="BodyText"/>
    <w:uiPriority w:val="9"/>
    <w:unhideWhenUsed/>
    <w:qFormat/>
    <w:rsid w:val="00AC6758"/>
    <w:pPr>
      <w:spacing w:before="100" w:after="100"/>
      <w:ind w:left="480" w:right="480"/>
    </w:pPr>
  </w:style>
  <w:style w:type="paragraph" w:styleId="FootnoteText">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nhideWhenUsed/>
    <w:rsid w:val="00F21051"/>
    <w:pPr>
      <w:tabs>
        <w:tab w:val="center" w:pos="4680"/>
        <w:tab w:val="right" w:pos="9360"/>
      </w:tabs>
      <w:spacing w:after="0"/>
    </w:pPr>
  </w:style>
  <w:style w:type="character" w:customStyle="1" w:styleId="HeaderChar">
    <w:name w:val="Header Char"/>
    <w:basedOn w:val="DefaultParagraphFont"/>
    <w:link w:val="Header"/>
    <w:rsid w:val="00F21051"/>
    <w:rPr>
      <w:rFonts w:ascii="Palatino Linotype" w:hAnsi="Palatino Linotype"/>
    </w:rPr>
  </w:style>
  <w:style w:type="paragraph" w:styleId="Footer">
    <w:name w:val="footer"/>
    <w:basedOn w:val="Normal"/>
    <w:link w:val="FooterChar"/>
    <w:uiPriority w:val="99"/>
    <w:unhideWhenUsed/>
    <w:rsid w:val="00F21051"/>
    <w:pPr>
      <w:tabs>
        <w:tab w:val="center" w:pos="4680"/>
        <w:tab w:val="right" w:pos="9360"/>
      </w:tabs>
      <w:spacing w:after="0"/>
    </w:pPr>
  </w:style>
  <w:style w:type="character" w:customStyle="1" w:styleId="FooterChar">
    <w:name w:val="Footer Char"/>
    <w:basedOn w:val="DefaultParagraphFont"/>
    <w:link w:val="Footer"/>
    <w:uiPriority w:val="99"/>
    <w:rsid w:val="00F21051"/>
    <w:rPr>
      <w:rFonts w:ascii="Palatino Linotype" w:hAnsi="Palatino Linotype"/>
    </w:rPr>
  </w:style>
  <w:style w:type="paragraph" w:styleId="Revision">
    <w:name w:val="Revision"/>
    <w:hidden/>
    <w:semiHidden/>
    <w:rsid w:val="00E90558"/>
    <w:pPr>
      <w:spacing w:after="0"/>
    </w:pPr>
    <w:rPr>
      <w:rFonts w:ascii="Palatino Linotype" w:hAnsi="Palatino Linotype"/>
    </w:rPr>
  </w:style>
  <w:style w:type="character" w:styleId="CommentReference">
    <w:name w:val="annotation reference"/>
    <w:basedOn w:val="DefaultParagraphFont"/>
    <w:semiHidden/>
    <w:unhideWhenUsed/>
    <w:rsid w:val="00E90558"/>
    <w:rPr>
      <w:sz w:val="16"/>
      <w:szCs w:val="16"/>
    </w:rPr>
  </w:style>
  <w:style w:type="paragraph" w:styleId="CommentText">
    <w:name w:val="annotation text"/>
    <w:basedOn w:val="Normal"/>
    <w:link w:val="CommentTextChar"/>
    <w:semiHidden/>
    <w:unhideWhenUsed/>
    <w:rsid w:val="00E90558"/>
    <w:rPr>
      <w:sz w:val="20"/>
      <w:szCs w:val="20"/>
    </w:rPr>
  </w:style>
  <w:style w:type="character" w:customStyle="1" w:styleId="CommentTextChar">
    <w:name w:val="Comment Text Char"/>
    <w:basedOn w:val="DefaultParagraphFont"/>
    <w:link w:val="CommentText"/>
    <w:semiHidden/>
    <w:rsid w:val="00E90558"/>
    <w:rPr>
      <w:rFonts w:ascii="Palatino Linotype" w:hAnsi="Palatino Linotype"/>
      <w:sz w:val="20"/>
      <w:szCs w:val="20"/>
    </w:rPr>
  </w:style>
  <w:style w:type="paragraph" w:styleId="CommentSubject">
    <w:name w:val="annotation subject"/>
    <w:basedOn w:val="CommentText"/>
    <w:next w:val="CommentText"/>
    <w:link w:val="CommentSubjectChar"/>
    <w:semiHidden/>
    <w:unhideWhenUsed/>
    <w:rsid w:val="00E90558"/>
    <w:rPr>
      <w:b/>
      <w:bCs/>
    </w:rPr>
  </w:style>
  <w:style w:type="character" w:customStyle="1" w:styleId="CommentSubjectChar">
    <w:name w:val="Comment Subject Char"/>
    <w:basedOn w:val="CommentTextChar"/>
    <w:link w:val="CommentSubject"/>
    <w:semiHidden/>
    <w:rsid w:val="00E90558"/>
    <w:rPr>
      <w:rFonts w:ascii="Palatino Linotype" w:hAnsi="Palatino Linotype"/>
      <w:b/>
      <w:bCs/>
      <w:sz w:val="20"/>
      <w:szCs w:val="20"/>
    </w:rPr>
  </w:style>
  <w:style w:type="character" w:styleId="FollowedHyperlink">
    <w:name w:val="FollowedHyperlink"/>
    <w:basedOn w:val="DefaultParagraphFont"/>
    <w:rsid w:val="00191A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doi.org/10.1007/s11099-007-0084-3" TargetMode="External"/><Relationship Id="rId39" Type="http://schemas.openxmlformats.org/officeDocument/2006/relationships/hyperlink" Target="https://doi.org/10.21105/joss.00821" TargetMode="External"/><Relationship Id="rId21" Type="http://schemas.openxmlformats.org/officeDocument/2006/relationships/image" Target="media/image10.png"/><Relationship Id="rId34" Type="http://schemas.openxmlformats.org/officeDocument/2006/relationships/hyperlink" Target="https://doi.org/10.1038/s41598-019-50643-w" TargetMode="External"/><Relationship Id="rId42" Type="http://schemas.openxmlformats.org/officeDocument/2006/relationships/hyperlink" Target="https://doi.org/10.1152/physiol.00040.2018" TargetMode="External"/><Relationship Id="rId47"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1002/aqc.42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3354/meps14588" TargetMode="External"/><Relationship Id="rId32" Type="http://schemas.openxmlformats.org/officeDocument/2006/relationships/hyperlink" Target="https://doi.org/10.1016/S0304-4238(05)80016-0" TargetMode="External"/><Relationship Id="rId37" Type="http://schemas.openxmlformats.org/officeDocument/2006/relationships/hyperlink" Target="https://doi.org/10.1073/pnas.0500008102" TargetMode="External"/><Relationship Id="rId40" Type="http://schemas.openxmlformats.org/officeDocument/2006/relationships/hyperlink" Target="https://doi.org/10.1038/s41467-022-35571-0"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16/j.rse.2024.114340" TargetMode="External"/><Relationship Id="rId36" Type="http://schemas.openxmlformats.org/officeDocument/2006/relationships/hyperlink" Target="https://doi.org/10.1111/gcb.14282" TargetMode="External"/><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hyperlink" Target="https://www.ioc-sealevelmonitoring.org/station.php?code=lecy" TargetMode="External"/><Relationship Id="rId44"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github.com/SigOiry/HeatWave_Seagrasses/blob/main/Scripts/MeteoFrance_Extraction.qmd" TargetMode="External"/><Relationship Id="rId22" Type="http://schemas.openxmlformats.org/officeDocument/2006/relationships/image" Target="media/image11.png"/><Relationship Id="rId27" Type="http://schemas.openxmlformats.org/officeDocument/2006/relationships/hyperlink" Target="https://doi.org/10.1038/s43247-024-01543-z" TargetMode="External"/><Relationship Id="rId30" Type="http://schemas.openxmlformats.org/officeDocument/2006/relationships/hyperlink" Target="https://doi.org/10.1073/pnas.0402642101" TargetMode="External"/><Relationship Id="rId35" Type="http://schemas.openxmlformats.org/officeDocument/2006/relationships/hyperlink" Target="https://doi.org/10.3389/fmars.2019.00734" TargetMode="External"/><Relationship Id="rId43" Type="http://schemas.openxmlformats.org/officeDocument/2006/relationships/hyperlink" Target="https://doi.org/10.1002/rse2.319"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oi.org/10.48670/moi-00311" TargetMode="External"/><Relationship Id="rId33" Type="http://schemas.openxmlformats.org/officeDocument/2006/relationships/hyperlink" Target="https://doi.org/10.1016/S0034-4257(70)80021-9" TargetMode="External"/><Relationship Id="rId38" Type="http://schemas.openxmlformats.org/officeDocument/2006/relationships/hyperlink" Target="https://doi.org/10.1029/2023GL103540" TargetMode="External"/><Relationship Id="rId46" Type="http://schemas.microsoft.com/office/2011/relationships/people" Target="people.xml"/><Relationship Id="rId20" Type="http://schemas.openxmlformats.org/officeDocument/2006/relationships/image" Target="media/image9.png"/><Relationship Id="rId41" Type="http://schemas.openxmlformats.org/officeDocument/2006/relationships/hyperlink" Target="https://doi.org/10.1038/s41558-019-04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44</Pages>
  <Words>11227</Words>
  <Characters>63994</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Effect of Marine and Atmospheric Heatwaves on Reflectance and Pigment Composition of Intertidal Zostera noltei</vt:lpstr>
    </vt:vector>
  </TitlesOfParts>
  <Company/>
  <LinksUpToDate>false</LinksUpToDate>
  <CharactersWithSpaces>75071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Marine and Atmospheric Heatwaves on Reflectance and Pigment Composition of Intertidal Zostera noltei</dc:title>
  <dc:creator>Simon Oiry; Bede Ffinian Rowe Davies¹; Philippe Rosa¹; Augustin Debly¹; Maria Laura Zoffoli; Anne-Laure Barillé; Nicolas Harin³; Pierre Gernez¹; Laurent Barillé¹</dc:creator>
  <cp:keywords>Remote Sensing, Pigment Composition, Seagrass, Coastal Ecosystems, Heatwaves</cp:keywords>
  <cp:lastModifiedBy>Bede Davies</cp:lastModifiedBy>
  <cp:revision>25</cp:revision>
  <dcterms:created xsi:type="dcterms:W3CDTF">2024-11-13T13:59:00Z</dcterms:created>
  <dcterms:modified xsi:type="dcterms:W3CDTF">2024-11-14T11:06:00Z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pigment composition and reflectance of the intertidal seagrass Zostera noltei. We performed laboratory experiments, exposing N. noltei samples to controlled heatwave conditions while measuring hyperspectral reflectance and pigment concentration to assess impact over time. We found that heatwaves induced significant declines in seagrass reflectance, particularly in the green and near-infrared regions, most likely due to pigment degradation. Furthemore, key vegetation indices, such as the Normalized Difference Vegetation Index (NDVI) and Green Leaf Index (GLI), displayed marked reductions under heatwave stress, with NDVI values decreasing by up to 34% and GLI by 57%. A novel Seagrass Darkening Index (SDI) was developed to identify seagrass darkening, showing a strong correlation with heatwave exposure. This research suggests that spectral monitoring can effectively track the early impacts of heatwaves on seagrasses, providing a valuable tool for remote sensing-based habitat assessment. Multispectral satellite observations confirmed these findings, showing widespread seagrass darkening during atmospheric and marine heatwave events in Quiberon, France. Darkened seagrasses were observed in areas within the intertidal zone that were exposed to atmospheric heatwave more than 13.5 hours a day. This work highlights the need for continuous monitoring of seagrass meadows under the current and futur climate regimes, underscoring the potential of remote sensing to capture rapid environmental changes in intertidal zones.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2024-11-13</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