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0EA2C" w14:textId="77777777" w:rsidR="006E2672" w:rsidRDefault="00000000">
      <w:pPr>
        <w:pStyle w:val="Titre"/>
      </w:pPr>
      <w:r>
        <w:t>Heatwave impacts on intertidal seagrass reflectance: from laboratory experiment to satellite mapping of seagrass heat shock index</w:t>
      </w:r>
    </w:p>
    <w:p w14:paraId="584462BD" w14:textId="77777777" w:rsidR="006E2672" w:rsidRDefault="00000000">
      <w:pPr>
        <w:pStyle w:val="Author"/>
      </w:pPr>
      <w:r>
        <w:t>Simon Oiry</w:t>
      </w:r>
      <w:r>
        <w:rPr>
          <w:rStyle w:val="Appelnotedebasdep"/>
        </w:rPr>
        <w:footnoteReference w:id="1"/>
      </w:r>
    </w:p>
    <w:p w14:paraId="528CD4CF" w14:textId="77777777" w:rsidR="006E2672" w:rsidRDefault="00000000">
      <w:pPr>
        <w:pStyle w:val="Author"/>
      </w:pPr>
      <w:r>
        <w:t>Bede Ffinian Rowe Davies¹</w:t>
      </w:r>
    </w:p>
    <w:p w14:paraId="7FCCF578" w14:textId="77777777" w:rsidR="006E2672" w:rsidRPr="00EE3A02" w:rsidRDefault="00000000">
      <w:pPr>
        <w:pStyle w:val="Author"/>
        <w:rPr>
          <w:lang w:val="fr-FR"/>
        </w:rPr>
      </w:pPr>
      <w:r w:rsidRPr="00EE3A02">
        <w:rPr>
          <w:lang w:val="fr-FR"/>
        </w:rPr>
        <w:t>Philippe Rosa¹</w:t>
      </w:r>
    </w:p>
    <w:p w14:paraId="74F1E87D" w14:textId="77777777" w:rsidR="006E2672" w:rsidRPr="00EE3A02" w:rsidRDefault="00000000">
      <w:pPr>
        <w:pStyle w:val="Author"/>
        <w:rPr>
          <w:lang w:val="fr-FR"/>
        </w:rPr>
      </w:pPr>
      <w:r w:rsidRPr="00EE3A02">
        <w:rPr>
          <w:lang w:val="fr-FR"/>
        </w:rPr>
        <w:t>Augustin Debly¹</w:t>
      </w:r>
    </w:p>
    <w:p w14:paraId="7F70F2D3" w14:textId="77777777" w:rsidR="006E2672" w:rsidRPr="00EE3A02" w:rsidRDefault="00000000">
      <w:pPr>
        <w:pStyle w:val="Author"/>
        <w:rPr>
          <w:lang w:val="fr-FR"/>
        </w:rPr>
      </w:pPr>
      <w:r w:rsidRPr="00EE3A02">
        <w:rPr>
          <w:lang w:val="fr-FR"/>
        </w:rPr>
        <w:t>Maria Laura Zoffoli</w:t>
      </w:r>
      <w:r>
        <w:rPr>
          <w:rStyle w:val="Appelnotedebasdep"/>
        </w:rPr>
        <w:footnoteReference w:id="2"/>
      </w:r>
    </w:p>
    <w:p w14:paraId="2B208CC1" w14:textId="77777777" w:rsidR="006E2672" w:rsidRPr="00EE3A02" w:rsidRDefault="00000000">
      <w:pPr>
        <w:pStyle w:val="Author"/>
        <w:rPr>
          <w:lang w:val="fr-FR"/>
        </w:rPr>
      </w:pPr>
      <w:r w:rsidRPr="00EE3A02">
        <w:rPr>
          <w:lang w:val="fr-FR"/>
        </w:rPr>
        <w:t>Anne-Laure Barillé</w:t>
      </w:r>
      <w:r>
        <w:rPr>
          <w:rStyle w:val="Appelnotedebasdep"/>
        </w:rPr>
        <w:footnoteReference w:id="3"/>
      </w:r>
    </w:p>
    <w:p w14:paraId="1AC48495" w14:textId="77777777" w:rsidR="006E2672" w:rsidRPr="00EE3A02" w:rsidRDefault="00000000">
      <w:pPr>
        <w:pStyle w:val="Author"/>
        <w:rPr>
          <w:lang w:val="fr-FR"/>
        </w:rPr>
      </w:pPr>
      <w:r w:rsidRPr="00EE3A02">
        <w:rPr>
          <w:lang w:val="fr-FR"/>
        </w:rPr>
        <w:t>Nicolas Harin³</w:t>
      </w:r>
    </w:p>
    <w:p w14:paraId="001F1203" w14:textId="77777777" w:rsidR="006E2672" w:rsidRPr="00EE3A02" w:rsidRDefault="00000000">
      <w:pPr>
        <w:pStyle w:val="Author"/>
        <w:rPr>
          <w:lang w:val="fr-FR"/>
        </w:rPr>
      </w:pPr>
      <w:r w:rsidRPr="00EE3A02">
        <w:rPr>
          <w:lang w:val="fr-FR"/>
        </w:rPr>
        <w:t>Marta Román¹⁴</w:t>
      </w:r>
    </w:p>
    <w:p w14:paraId="4302B450" w14:textId="77777777" w:rsidR="006E2672" w:rsidRPr="00EE3A02" w:rsidRDefault="00000000">
      <w:pPr>
        <w:pStyle w:val="Author"/>
        <w:rPr>
          <w:lang w:val="fr-FR"/>
        </w:rPr>
      </w:pPr>
      <w:r w:rsidRPr="00EE3A02">
        <w:rPr>
          <w:lang w:val="fr-FR"/>
        </w:rPr>
        <w:t>Pierre Gernez¹</w:t>
      </w:r>
    </w:p>
    <w:p w14:paraId="59CC35E2" w14:textId="77777777" w:rsidR="006E2672" w:rsidRPr="00EE3A02" w:rsidRDefault="00000000">
      <w:pPr>
        <w:pStyle w:val="Author"/>
        <w:rPr>
          <w:lang w:val="fr-FR"/>
        </w:rPr>
      </w:pPr>
      <w:r w:rsidRPr="00EE3A02">
        <w:rPr>
          <w:lang w:val="fr-FR"/>
        </w:rPr>
        <w:t>Laurent Barillé¹</w:t>
      </w:r>
    </w:p>
    <w:p w14:paraId="0A3BF8A5" w14:textId="77777777" w:rsidR="006E2672" w:rsidRDefault="00000000">
      <w:pPr>
        <w:pStyle w:val="Date"/>
      </w:pPr>
      <w:r>
        <w:t>2025-09-30</w:t>
      </w:r>
    </w:p>
    <w:p w14:paraId="39BE87BE" w14:textId="77777777" w:rsidR="006E2672" w:rsidRDefault="00000000">
      <w:r>
        <w:t>Abstract</w:t>
      </w:r>
    </w:p>
    <w:p w14:paraId="5D6A4788" w14:textId="77777777" w:rsidR="006E2672" w:rsidRDefault="00000000">
      <w:pPr>
        <w:pStyle w:val="Abstract"/>
      </w:pPr>
      <w:r>
        <w:lastRenderedPageBreak/>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w:t>
      </w:r>
      <w:r>
        <w:rPr>
          <w:i/>
          <w:iCs/>
        </w:rPr>
        <w:t>Zostera noltei</w:t>
      </w:r>
      <w:r>
        <w:t>.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p w14:paraId="51471F7F" w14:textId="77777777" w:rsidR="006E2672" w:rsidRDefault="00000000">
      <w:pPr>
        <w:pStyle w:val="Titre1"/>
      </w:pPr>
      <w:bookmarkStart w:id="0" w:name="introduction"/>
      <w:r>
        <w:t>1. Introduction</w:t>
      </w:r>
    </w:p>
    <w:p w14:paraId="309024FA" w14:textId="77777777" w:rsidR="006E2672" w:rsidRDefault="00000000">
      <w:pPr>
        <w:pStyle w:val="FirstParagraph"/>
      </w:pPr>
      <w:r>
        <w:t>Seagrasses play a crucial role in coastal ecosystems by providing habitats and feeding grounds for various marine species, supporting marine biodiversity, and contributing to primary production and carbon sequestration (Sousa et al., 2019; Unsworth et al., 2022). Seagrasses are essential for several ecological functions, such as sediment stabilization (Infantes et al., 2022) or eutrophication mitigation by consuming nutrients (Gladstone-Gallagher et al., 2018). This justifies their use as indicators of environmental changes due to their sensitivity to water quality variations (Zoffoli et al., 2021). The interactions between seagrass meadows and their associated herbivores further enhance the delivery of ecosystem services, including coastal protection, fisheries support and provision of habitat and resources for birds (Gardner and Finlayson, 2018; Jankowska et al., 2019; Unsworth and Butterworth, 2021; Zoffoli et al., 2023). Understanding and preserving seagrass is vital for maintaining the biodiversity and productivity of coastal regions (Ramesh and Mohanraju, 2020; Scott et al., 2018).</w:t>
      </w:r>
    </w:p>
    <w:p w14:paraId="24E75C7E" w14:textId="77777777" w:rsidR="006E2672" w:rsidRDefault="00000000">
      <w:pPr>
        <w:pStyle w:val="Corpsdetexte"/>
      </w:pPr>
      <w:r>
        <w:lastRenderedPageBreak/>
        <w:t>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 (Waycott et al., 2009). Seagrasses are also threatened by runoff from agricultural fields and urban areas leading to nutrient enrichment. Eutrophication promotes the growth of seaweed in coastal waters, causing macroalgal blooms that compete with seagrasses for light and nutrients (Brun et al., 2003; Oiry et al., 2024; Thomsen et al., 2023). Pollution from industrial and agricultural sources introduces harmful chemicals and heavy metals into coastal waters, posing toxic risks to seagrass health (Bastos et al., 2023; Green et al., 2021; Zahoor and Mushtaq, 2023). Among manifold anthropogenic stressors, heatwaves (HWs), exacerbated by climate change, pose a severe threat to seagrasses, with catastrophic dieback events observed woldwide (Carlson et al., 2018; Marbà and Duarte, 2010; Moore and Jarvis, 2008; Strydom et al., 2020; Thomson et al., 2015).</w:t>
      </w:r>
    </w:p>
    <w:p w14:paraId="5AD42729" w14:textId="77777777" w:rsidR="006E2672" w:rsidRDefault="00000000">
      <w:pPr>
        <w:pStyle w:val="Corpsdetexte"/>
      </w:pPr>
      <w:r>
        <w:t xml:space="preserve">Marine Heatwaves (MHWs) are defined by Hobday et al. (2016) as prolonged discrete anomalously warm water events, while Atmospheric Heatwaves (AHW) are defined by Perkins and Alexander (2013) 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 </w:t>
      </w:r>
      <w:r>
        <w:rPr>
          <w:i/>
          <w:iCs/>
        </w:rPr>
        <w:t>Zostera marina</w:t>
      </w:r>
      <w:r>
        <w:t xml:space="preserve"> exhibits high susceptibility to elevated sea surface temperatures during winter and spring, leading to advanced flowering, high mortality rates, and reduced biomass (Sawall et al., 2021). Similarly, </w:t>
      </w:r>
      <w:r>
        <w:rPr>
          <w:i/>
          <w:iCs/>
        </w:rPr>
        <w:t>Cymodocea nodosa</w:t>
      </w:r>
      <w:r>
        <w:t xml:space="preserve"> shows increased photosynthetic activity during HWs but </w:t>
      </w:r>
      <w:r>
        <w:lastRenderedPageBreak/>
        <w:t xml:space="preserve">suffers negative effects on photosynthetic performance and leaf biomass during recovery (Deguette et al., 2022).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 (Winters et al., 2011). These events intensify other stressors, such as overgrazing and seed burial, compromising recruitment (Guerrero-Meseguer et al., 2020). Although extensive research exists on marine heatwaves’ effects on subtidal seagrasses (Arias-Ortiz et al., 2018; Deguette et al., 2022; Strydom et al., 2020), less attention has been given to intertidal habitats and even less to the effect of atmospheric extreme events on intertidal seagrass. Nonetheless, recent research showed that the low tide exposure of </w:t>
      </w:r>
      <w:r>
        <w:rPr>
          <w:i/>
          <w:iCs/>
        </w:rPr>
        <w:t>Zostera noltei</w:t>
      </w:r>
      <w:r>
        <w:t xml:space="preserve"> to a simulated four-day atmospheric HW caused significant decreases in its photosynthetic efficiency, resulting in leaf necrosis and decay (Román et al., 2023).</w:t>
      </w:r>
    </w:p>
    <w:p w14:paraId="17EF447C" w14:textId="77777777" w:rsidR="006E2672" w:rsidRDefault="00000000">
      <w:pPr>
        <w:pStyle w:val="Corpsdetexte"/>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 (Davies et al., 2024a, 2024b; Oiry et al., 2024; Román et al., 2021), proved useful to study the changes in seagrass coverage caused by extreme HW event (Strydom et al., 2020). The pigment composition of plants, such as chlorophylls, carotenoids, and anthocyanins, significantly influences their spectral signature in the visible range due to their specific light absorption properties (Davies et al., 2023; Douay et al., 2022; Olmedo-Masat et al., 2020; Ustin and Jacquemoud, 2020). During the senescence phase of seagrass’ life-cycle, the degradation of chlorophyll and the unmasking of accessory pigments result in noticeable changes in leaf coloration and </w:t>
      </w:r>
      <w:r>
        <w:lastRenderedPageBreak/>
        <w:t>reflectance, including increased reflectance in the red and green wavelengths and shifts in the red-edge position (Boyer et al., 1988; Mariën et al., 2019; Peñuelas et al., 2004). Leaf browning, often observed after stress events, produces reflectance changes similar to those caused by senescence, enabling the detection of vegetation stress through remote sensing (Boyer et al., 1988; Peñuelas et al., 2004). Spectral indices such as the Brown Pigment Index (BPI) and the Photochemical Reflectance Index (PRI) have been developed to assess changes in terrestrial plant physiological status, including oxidative and drought stress (Garbulsky et al., 2011; Skendzic, 2023). While these effects are well-documented in terrestrial plants, the spectral reflectance changes associated with senescence and stress events such as MHWs or AHWs remain poorly studied on intertidal seagrasses.</w:t>
      </w:r>
    </w:p>
    <w:p w14:paraId="512314CC" w14:textId="77777777" w:rsidR="006E2672" w:rsidRDefault="00000000">
      <w:pPr>
        <w:pStyle w:val="Corpsdetexte"/>
      </w:pPr>
      <w:r>
        <w:t xml:space="preserve">This study aims to experimentally test the hypothesis that HWs alter the reflectance of the intertidal seagrass </w:t>
      </w:r>
      <w:r>
        <w:rPr>
          <w:i/>
          <w:iCs/>
        </w:rPr>
        <w:t>Zostera noltei</w:t>
      </w:r>
      <w:r>
        <w:t>.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p w14:paraId="49E1C873" w14:textId="77777777" w:rsidR="006E2672" w:rsidRDefault="00000000">
      <w:pPr>
        <w:pStyle w:val="Titre1"/>
      </w:pPr>
      <w:bookmarkStart w:id="1" w:name="material-methods"/>
      <w:bookmarkEnd w:id="0"/>
      <w:r>
        <w:t>2. Material &amp; Methods</w:t>
      </w:r>
    </w:p>
    <w:p w14:paraId="75D3C4A8" w14:textId="77777777" w:rsidR="006E2672" w:rsidRDefault="00000000">
      <w:pPr>
        <w:pStyle w:val="Titre2"/>
      </w:pPr>
      <w:bookmarkStart w:id="2" w:name="laboratory-experiment"/>
      <w:r>
        <w:t>2.1 Laboratory Experiment</w:t>
      </w:r>
    </w:p>
    <w:p w14:paraId="582C5BEA" w14:textId="77777777" w:rsidR="006E2672" w:rsidRDefault="00000000">
      <w:pPr>
        <w:pStyle w:val="Titre3"/>
      </w:pPr>
      <w:bookmarkStart w:id="3" w:name="sampling-and-acclimation-of-seagrasses"/>
      <w:r>
        <w:t>2.1.1 Sampling and acclimation of seagrasses</w:t>
      </w:r>
    </w:p>
    <w:p w14:paraId="38CEF5A7" w14:textId="77777777" w:rsidR="006E2672" w:rsidRDefault="00000000">
      <w:pPr>
        <w:pStyle w:val="FirstParagraph"/>
      </w:pPr>
      <w:r>
        <w:t xml:space="preserve">Seagrass samples were taken in summer 2024, at low tide, from a </w:t>
      </w:r>
      <w:r>
        <w:rPr>
          <w:i/>
          <w:iCs/>
        </w:rPr>
        <w:t>Zostera noltei</w:t>
      </w:r>
      <w:r>
        <w:t xml:space="preserve"> (dwarf eelgrass) meadow located in Bourgneuf Bay, France (46°57’32.0”N, 2°10’37.0”W). A </w:t>
      </w:r>
      <w:r>
        <w:lastRenderedPageBreak/>
        <w:t>metal coring devices was used to sample seagrass from an area of 30x15x5 cm (length x width x depth, respectively), maintaining the sediment structure and avoiding damage to seagrass rhizomes and leaves (</w:t>
      </w:r>
      <w:hyperlink w:anchor="fig-design">
        <w:r>
          <w:rPr>
            <w:rStyle w:val="Lienhypertexte"/>
          </w:rPr>
          <w:t>Figure 1</w:t>
        </w:r>
      </w:hyperlink>
      <w:r>
        <w:t xml:space="preserve"> 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 </w:t>
      </w:r>
      <w:r>
        <w:rPr>
          <w:i/>
          <w:iCs/>
        </w:rPr>
        <w:t>in situ</w:t>
      </w:r>
      <w:r>
        <w:t xml:space="preserve"> temperature during sampling, and a photosynthetically active radiation (PAR) of 150 µmol.s</w:t>
      </w:r>
      <w:r>
        <w:rPr>
          <w:vertAlign w:val="superscript"/>
        </w:rPr>
        <w:t>-1</w:t>
      </w:r>
      <w:r>
        <w:t>.m</w:t>
      </w:r>
      <w:r>
        <w:rPr>
          <w:vertAlign w:val="superscript"/>
        </w:rPr>
        <w:t>-2</w:t>
      </w:r>
      <w:r>
        <w:t>.</w:t>
      </w:r>
    </w:p>
    <w:tbl>
      <w:tblPr>
        <w:tblStyle w:val="Table"/>
        <w:tblW w:w="5000" w:type="pct"/>
        <w:tblLayout w:type="fixed"/>
        <w:tblLook w:val="0000" w:firstRow="0" w:lastRow="0" w:firstColumn="0" w:lastColumn="0" w:noHBand="0" w:noVBand="0"/>
      </w:tblPr>
      <w:tblGrid>
        <w:gridCol w:w="9360"/>
      </w:tblGrid>
      <w:tr w:rsidR="006E2672" w14:paraId="06931990" w14:textId="77777777">
        <w:tc>
          <w:tcPr>
            <w:tcW w:w="7920" w:type="dxa"/>
          </w:tcPr>
          <w:p w14:paraId="76B2D2BE" w14:textId="77777777" w:rsidR="006E2672" w:rsidRDefault="00000000">
            <w:pPr>
              <w:pStyle w:val="Compact"/>
              <w:jc w:val="center"/>
            </w:pPr>
            <w:bookmarkStart w:id="4" w:name="fig-design"/>
            <w:bookmarkStart w:id="5" w:name="cell-fig-design"/>
            <w:r>
              <w:rPr>
                <w:noProof/>
              </w:rPr>
              <w:lastRenderedPageBreak/>
              <w:drawing>
                <wp:inline distT="0" distB="0" distL="0" distR="0" wp14:anchorId="63C6356C" wp14:editId="45FC4E1F">
                  <wp:extent cx="5646420" cy="5554024"/>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s/Low_res/Experimental_design.png"/>
                          <pic:cNvPicPr>
                            <a:picLocks noChangeAspect="1" noChangeArrowheads="1"/>
                          </pic:cNvPicPr>
                        </pic:nvPicPr>
                        <pic:blipFill>
                          <a:blip r:embed="rId7"/>
                          <a:stretch>
                            <a:fillRect/>
                          </a:stretch>
                        </pic:blipFill>
                        <pic:spPr bwMode="auto">
                          <a:xfrm>
                            <a:off x="0" y="0"/>
                            <a:ext cx="5646420" cy="5554024"/>
                          </a:xfrm>
                          <a:prstGeom prst="rect">
                            <a:avLst/>
                          </a:prstGeom>
                          <a:noFill/>
                          <a:ln w="9525">
                            <a:noFill/>
                            <a:headEnd/>
                            <a:tailEnd/>
                          </a:ln>
                        </pic:spPr>
                      </pic:pic>
                    </a:graphicData>
                  </a:graphic>
                </wp:inline>
              </w:drawing>
            </w:r>
          </w:p>
          <w:p w14:paraId="454BC360" w14:textId="77777777" w:rsidR="006E2672" w:rsidRDefault="00000000">
            <w:pPr>
              <w:pStyle w:val="ImageCaption"/>
              <w:spacing w:before="200"/>
            </w:pPr>
            <w:r>
              <w:t>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tc>
        <w:bookmarkEnd w:id="4"/>
      </w:tr>
    </w:tbl>
    <w:p w14:paraId="54485B10" w14:textId="77777777" w:rsidR="006E2672" w:rsidRDefault="00000000">
      <w:pPr>
        <w:pStyle w:val="Titre3"/>
      </w:pPr>
      <w:bookmarkStart w:id="6" w:name="experimental-design"/>
      <w:bookmarkEnd w:id="3"/>
      <w:bookmarkEnd w:id="5"/>
      <w:r>
        <w:t>2.1.2 Experimental design</w:t>
      </w:r>
    </w:p>
    <w:p w14:paraId="76DA6607" w14:textId="77777777" w:rsidR="006E2672" w:rsidRDefault="00000000">
      <w:pPr>
        <w:pStyle w:val="FirstParagraph"/>
      </w:pPr>
      <w:r>
        <w:t>A tidal cycle (i.e. regularly alternating 6h of low-tide and 6h of high-tide) was simulated in the laboratory using an intertidal chamber system from ElectricBlue® (</w:t>
      </w:r>
      <w:hyperlink w:anchor="fig-design">
        <w:r>
          <w:rPr>
            <w:rStyle w:val="Lienhypertexte"/>
          </w:rPr>
          <w:t>Figure 1</w:t>
        </w:r>
      </w:hyperlink>
      <w:r>
        <w:t xml:space="preserve"> B ; Electric Blue (2023)). The experimental setup allowed only two tidal states: high tide or low tide, with no intermediate stages. The transition between these states took about 15 </w:t>
      </w:r>
      <w:r>
        <w:lastRenderedPageBreak/>
        <w:t>minutes to complete after initiation. During the phase of high tide, a volume of 30 L of filtered seawater was pumped and circulated through the chamber (</w:t>
      </w:r>
      <w:hyperlink w:anchor="fig-design">
        <w:r>
          <w:rPr>
            <w:rStyle w:val="Lienhypertexte"/>
          </w:rPr>
          <w:t>Figure 1</w:t>
        </w:r>
      </w:hyperlink>
      <w:r>
        <w:t xml:space="preserve"> 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14:paraId="338905FE" w14:textId="77777777" w:rsidR="006E2672" w:rsidRDefault="00000000">
      <w:pPr>
        <w:pStyle w:val="Corpsdetexte"/>
      </w:pPr>
      <w:r>
        <w:t>Air temperature and water temperature were controlled inside the experiment chambers in order to reproduce the range of variability observed in the field (</w:t>
      </w:r>
      <w:hyperlink w:anchor="fig-Profile">
        <w:r>
          <w:rPr>
            <w:rStyle w:val="Lienhypertexte"/>
          </w:rPr>
          <w:t>Figure 2</w:t>
        </w:r>
      </w:hyperlink>
      <w:r>
        <w:t xml:space="preserve">). Field temperature was measured using </w:t>
      </w:r>
      <w:r>
        <w:rPr>
          <w:i/>
          <w:iCs/>
        </w:rPr>
        <w:t>in situ</w:t>
      </w:r>
      <w:r>
        <w:t xml:space="preserve"> 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 </w:t>
      </w:r>
      <w:r>
        <w:rPr>
          <w:i/>
          <w:iCs/>
        </w:rPr>
        <w:t>in situ</w:t>
      </w:r>
      <w:r>
        <w:t xml:space="preserve"> were compared with measurements from the nearest Météo France weather station (Annexe A1, </w:t>
      </w:r>
      <w:hyperlink w:anchor="sec-AnnexeA">
        <w:r>
          <w:rPr>
            <w:rStyle w:val="Lienhypertexte"/>
          </w:rPr>
          <w:t>Section 6.1</w:t>
        </w:r>
      </w:hyperlink>
      <w:r>
        <w:t>). The control chamber was kept at temperatures representing typical summer conditions, with water temperatures at 18°C and air temperatures from 19°C to 23°C, following natural daily temperature fluctuations (</w:t>
      </w:r>
      <w:hyperlink w:anchor="fig-Profile">
        <w:r>
          <w:rPr>
            <w:rStyle w:val="Lienhypertexte"/>
          </w:rPr>
          <w:t>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t>
      </w:r>
      <w:r>
        <w:lastRenderedPageBreak/>
        <w:t>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Lienhypertexte"/>
          </w:rPr>
          <w:t>Figure 2</w:t>
        </w:r>
      </w:hyperlink>
      <w:r>
        <w:t>). The experiment, with both treatment and control chambers, was repeated three times to obtain replicates (hereafter referred to as “Run”).</w:t>
      </w:r>
    </w:p>
    <w:tbl>
      <w:tblPr>
        <w:tblStyle w:val="Table"/>
        <w:tblW w:w="5000" w:type="pct"/>
        <w:tblLayout w:type="fixed"/>
        <w:tblLook w:val="0000" w:firstRow="0" w:lastRow="0" w:firstColumn="0" w:lastColumn="0" w:noHBand="0" w:noVBand="0"/>
      </w:tblPr>
      <w:tblGrid>
        <w:gridCol w:w="9360"/>
      </w:tblGrid>
      <w:tr w:rsidR="006E2672" w14:paraId="3F2704F2" w14:textId="77777777">
        <w:tc>
          <w:tcPr>
            <w:tcW w:w="7920" w:type="dxa"/>
          </w:tcPr>
          <w:p w14:paraId="2AB7A709" w14:textId="77777777" w:rsidR="006E2672" w:rsidRDefault="00000000">
            <w:pPr>
              <w:pStyle w:val="Compact"/>
              <w:jc w:val="center"/>
            </w:pPr>
            <w:bookmarkStart w:id="7" w:name="fig-Profile"/>
            <w:bookmarkStart w:id="8" w:name="cell-fig-Profile"/>
            <w:r>
              <w:rPr>
                <w:noProof/>
              </w:rPr>
              <w:drawing>
                <wp:inline distT="0" distB="0" distL="0" distR="0" wp14:anchorId="7B4DC596" wp14:editId="71A212E3">
                  <wp:extent cx="5646420" cy="2582627"/>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s/Low_res/Chamber_Profils.png"/>
                          <pic:cNvPicPr>
                            <a:picLocks noChangeAspect="1" noChangeArrowheads="1"/>
                          </pic:cNvPicPr>
                        </pic:nvPicPr>
                        <pic:blipFill>
                          <a:blip r:embed="rId8"/>
                          <a:stretch>
                            <a:fillRect/>
                          </a:stretch>
                        </pic:blipFill>
                        <pic:spPr bwMode="auto">
                          <a:xfrm>
                            <a:off x="0" y="0"/>
                            <a:ext cx="5646420" cy="2582627"/>
                          </a:xfrm>
                          <a:prstGeom prst="rect">
                            <a:avLst/>
                          </a:prstGeom>
                          <a:noFill/>
                          <a:ln w="9525">
                            <a:noFill/>
                            <a:headEnd/>
                            <a:tailEnd/>
                          </a:ln>
                        </pic:spPr>
                      </pic:pic>
                    </a:graphicData>
                  </a:graphic>
                </wp:inline>
              </w:drawing>
            </w:r>
          </w:p>
          <w:p w14:paraId="628FBBDD" w14:textId="77777777" w:rsidR="006E2672" w:rsidRDefault="00000000">
            <w:pPr>
              <w:pStyle w:val="ImageCaption"/>
              <w:spacing w:before="200"/>
            </w:pPr>
            <w:r>
              <w:t>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tc>
        <w:bookmarkEnd w:id="7"/>
      </w:tr>
    </w:tbl>
    <w:p w14:paraId="56F594D3" w14:textId="77777777" w:rsidR="006E2672" w:rsidRDefault="00000000">
      <w:pPr>
        <w:pStyle w:val="Titre3"/>
      </w:pPr>
      <w:bookmarkStart w:id="9" w:name="optical-measurements"/>
      <w:bookmarkEnd w:id="6"/>
      <w:bookmarkEnd w:id="8"/>
      <w:r>
        <w:t>2.1.3 Optical measurements</w:t>
      </w:r>
    </w:p>
    <w:p w14:paraId="265B457C" w14:textId="77777777" w:rsidR="006E2672" w:rsidRDefault="00000000">
      <w:pPr>
        <w:pStyle w:val="Titre4"/>
      </w:pPr>
      <w:bookmarkStart w:id="10" w:name="hyperspectral-reflectance-measurements"/>
      <w:r>
        <w:t>2.1.3.1 Hyperspectral reflectance measurements</w:t>
      </w:r>
    </w:p>
    <w:p w14:paraId="16856FEE" w14:textId="77777777" w:rsidR="006E2672" w:rsidRDefault="00000000">
      <w:pPr>
        <w:pStyle w:val="FirstParagraph"/>
      </w:pPr>
      <w:r>
        <w:t xml:space="preserve">Throughout the experiment, the hyperspectral reflectance, </w:t>
      </w:r>
      <m:oMath>
        <m:r>
          <w:rPr>
            <w:rFonts w:ascii="Cambria Math" w:hAnsi="Cambria Math"/>
          </w:rPr>
          <m:t>R</m:t>
        </m:r>
        <m:d>
          <m:dPr>
            <m:ctrlPr>
              <w:rPr>
                <w:rFonts w:ascii="Cambria Math" w:hAnsi="Cambria Math"/>
              </w:rPr>
            </m:ctrlPr>
          </m:dPr>
          <m:e>
            <m:r>
              <w:rPr>
                <w:rFonts w:ascii="Cambria Math" w:hAnsi="Cambria Math"/>
              </w:rPr>
              <m:t>λ</m:t>
            </m:r>
          </m:e>
        </m:d>
      </m:oMath>
      <w:r>
        <w:t xml:space="preserve">, of both the control and treatment seagrasses was measured using an ASD HandHeld 2 equipped with a fiber optic extension placed inside the chamber. The measurement set up made it possible to automatically acquire </w:t>
      </w:r>
      <m:oMath>
        <m:r>
          <w:rPr>
            <w:rFonts w:ascii="Cambria Math" w:hAnsi="Cambria Math"/>
          </w:rPr>
          <m:t>R</m:t>
        </m:r>
        <m:d>
          <m:dPr>
            <m:ctrlPr>
              <w:rPr>
                <w:rFonts w:ascii="Cambria Math" w:hAnsi="Cambria Math"/>
              </w:rPr>
            </m:ctrlPr>
          </m:dPr>
          <m:e>
            <m:r>
              <w:rPr>
                <w:rFonts w:ascii="Cambria Math" w:hAnsi="Cambria Math"/>
              </w:rPr>
              <m:t>λ</m:t>
            </m:r>
          </m:e>
        </m:d>
      </m:oMath>
      <w:r>
        <w:t xml:space="preserve"> without opening the chamber. An average of five </w:t>
      </w:r>
      <m:oMath>
        <m:r>
          <w:rPr>
            <w:rFonts w:ascii="Cambria Math" w:hAnsi="Cambria Math"/>
          </w:rPr>
          <m:t>R</m:t>
        </m:r>
        <m:d>
          <m:dPr>
            <m:ctrlPr>
              <w:rPr>
                <w:rFonts w:ascii="Cambria Math" w:hAnsi="Cambria Math"/>
              </w:rPr>
            </m:ctrlPr>
          </m:dPr>
          <m:e>
            <m:r>
              <w:rPr>
                <w:rFonts w:ascii="Cambria Math" w:hAnsi="Cambria Math"/>
              </w:rPr>
              <m:t>λ</m:t>
            </m:r>
          </m:e>
        </m:d>
      </m:oMath>
      <w:r>
        <w:t xml:space="preserve"> spectra, each with an integration time of 544 ms, was taken every minute during daytime (Malvern Panalytical, 2023). Every 10 minutes, the fiber optic was switched </w:t>
      </w:r>
      <w:r>
        <w:lastRenderedPageBreak/>
        <w:t xml:space="preserve">from one intertidal chamber to the other, in order to measure </w:t>
      </w:r>
      <m:oMath>
        <m:r>
          <w:rPr>
            <w:rFonts w:ascii="Cambria Math" w:hAnsi="Cambria Math"/>
          </w:rPr>
          <m:t>R</m:t>
        </m:r>
        <m:d>
          <m:dPr>
            <m:ctrlPr>
              <w:rPr>
                <w:rFonts w:ascii="Cambria Math" w:hAnsi="Cambria Math"/>
              </w:rPr>
            </m:ctrlPr>
          </m:dPr>
          <m:e>
            <m:r>
              <w:rPr>
                <w:rFonts w:ascii="Cambria Math" w:hAnsi="Cambria Math"/>
              </w:rPr>
              <m:t>λ</m:t>
            </m:r>
          </m:e>
        </m:d>
      </m:oMath>
      <w:r>
        <w:t xml:space="preserve"> in both the treatment and control. Light conditions were controlled inside of the chambers and the reflectance calibration was performed each morning at the very first moment of low tide using a Spectralon white reference with 99% Lambertian reflectivity.</w:t>
      </w:r>
    </w:p>
    <w:p w14:paraId="1823B4B0" w14:textId="77777777" w:rsidR="006E2672" w:rsidRDefault="00000000">
      <w:pPr>
        <w:pStyle w:val="Titre4"/>
      </w:pPr>
      <w:bookmarkStart w:id="11" w:name="spectrum-post-processing"/>
      <w:bookmarkEnd w:id="10"/>
      <w:r>
        <w:t>2.1.3.2 Spectrum post-processing</w:t>
      </w:r>
    </w:p>
    <w:p w14:paraId="2CD77265" w14:textId="77777777" w:rsidR="006E2672" w:rsidRDefault="00000000">
      <w:pPr>
        <w:pStyle w:val="FirstParagraph"/>
      </w:pPr>
      <w:r>
        <w:t>A Savitzky-Golay smoothing function with a 5 nm moving window was applied to each spectrum using the “hsdar” package in R (Lehnert et al., 2017). The second derivative at 665 nm (δδ665), showing the highest variability between the control and the treatment, was tested as an indicator of the spectral changes following HWs.</w:t>
      </w:r>
    </w:p>
    <w:p w14:paraId="604C57D8" w14:textId="77777777" w:rsidR="006E2672" w:rsidRDefault="00000000">
      <w:pPr>
        <w:pStyle w:val="Corpsdetexte"/>
      </w:pPr>
      <w:r>
        <w:t xml:space="preserve">The effect the HW on </w:t>
      </w:r>
      <m:oMath>
        <m:r>
          <w:rPr>
            <w:rFonts w:ascii="Cambria Math" w:hAnsi="Cambria Math"/>
          </w:rPr>
          <m:t>R</m:t>
        </m:r>
        <m:d>
          <m:dPr>
            <m:ctrlPr>
              <w:rPr>
                <w:rFonts w:ascii="Cambria Math" w:hAnsi="Cambria Math"/>
              </w:rPr>
            </m:ctrlPr>
          </m:dPr>
          <m:e>
            <m:r>
              <w:rPr>
                <w:rFonts w:ascii="Cambria Math" w:hAnsi="Cambria Math"/>
              </w:rPr>
              <m:t>λ</m:t>
            </m:r>
          </m:e>
        </m:d>
      </m:oMath>
      <w:r>
        <w:t xml:space="preserve"> was also quantified using two radiometric indices:</w:t>
      </w:r>
    </w:p>
    <w:p w14:paraId="6BD2DA6C" w14:textId="77777777" w:rsidR="006E2672" w:rsidRDefault="00000000">
      <w:pPr>
        <w:pStyle w:val="Compact"/>
        <w:numPr>
          <w:ilvl w:val="0"/>
          <w:numId w:val="3"/>
        </w:numPr>
      </w:pPr>
      <w:r>
        <w:t>The Normalized Difference Vegetation Index (NDVI, Rouse et al. (1974)), a proxy of chlorophyll-a concentration (</w:t>
      </w:r>
      <w:hyperlink w:anchor="eq-ndvi">
        <w:r>
          <w:rPr>
            <w:rStyle w:val="Lienhypertexte"/>
          </w:rPr>
          <w:t>Equation 1</w:t>
        </w:r>
      </w:hyperlink>
      <w:r>
        <w:t>)</w:t>
      </w:r>
    </w:p>
    <w:p w14:paraId="13126317" w14:textId="77777777" w:rsidR="006E2672" w:rsidRDefault="00000000">
      <w:pPr>
        <w:pStyle w:val="FirstParagraph"/>
      </w:pPr>
      <w:bookmarkStart w:id="12" w:name="eq-ndvi"/>
      <m:oMathPara>
        <m:oMathParaPr>
          <m:jc m:val="center"/>
        </m:oMathParaPr>
        <m:oMath>
          <m:r>
            <w:rPr>
              <w:rFonts w:ascii="Cambria Math" w:hAnsi="Cambria Math"/>
            </w:rPr>
            <m:t>NDVI</m:t>
          </m:r>
          <m:r>
            <m:rPr>
              <m:sty m:val="p"/>
            </m:rPr>
            <w:rPr>
              <w:rFonts w:ascii="Cambria Math" w:hAnsi="Cambria Math"/>
            </w:rPr>
            <m:t>=</m:t>
          </m:r>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num>
            <m:den>
              <m:r>
                <w:rPr>
                  <w:rFonts w:ascii="Cambria Math" w:hAnsi="Cambria Math"/>
                </w:rPr>
                <m:t>R</m:t>
              </m:r>
              <m:d>
                <m:dPr>
                  <m:ctrlPr>
                    <w:rPr>
                      <w:rFonts w:ascii="Cambria Math" w:hAnsi="Cambria Math"/>
                    </w:rPr>
                  </m:ctrlPr>
                </m:dPr>
                <m:e>
                  <m:r>
                    <w:rPr>
                      <w:rFonts w:ascii="Cambria Math" w:hAnsi="Cambria Math"/>
                    </w:rPr>
                    <m:t>840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den>
          </m:f>
          <m:r>
            <w:rPr>
              <w:rFonts w:ascii="Cambria Math" w:hAnsi="Cambria Math"/>
            </w:rPr>
            <m:t>  </m:t>
          </m:r>
          <m:d>
            <m:dPr>
              <m:ctrlPr>
                <w:rPr>
                  <w:rFonts w:ascii="Cambria Math" w:hAnsi="Cambria Math"/>
                </w:rPr>
              </m:ctrlPr>
            </m:dPr>
            <m:e>
              <m:r>
                <w:rPr>
                  <w:rFonts w:ascii="Cambria Math" w:hAnsi="Cambria Math"/>
                </w:rPr>
                <m:t>1</m:t>
              </m:r>
            </m:e>
          </m:d>
        </m:oMath>
      </m:oMathPara>
      <w:bookmarkEnd w:id="12"/>
    </w:p>
    <w:p w14:paraId="43701497" w14:textId="77777777" w:rsidR="006E2672"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840</m:t>
            </m:r>
          </m:e>
        </m:d>
      </m:oMath>
      <w:r>
        <w:t xml:space="preserve"> and </w:t>
      </w:r>
      <m:oMath>
        <m:r>
          <w:rPr>
            <w:rFonts w:ascii="Cambria Math" w:hAnsi="Cambria Math"/>
          </w:rPr>
          <m:t>R</m:t>
        </m:r>
        <m:d>
          <m:dPr>
            <m:ctrlPr>
              <w:rPr>
                <w:rFonts w:ascii="Cambria Math" w:hAnsi="Cambria Math"/>
              </w:rPr>
            </m:ctrlPr>
          </m:dPr>
          <m:e>
            <m:r>
              <w:rPr>
                <w:rFonts w:ascii="Cambria Math" w:hAnsi="Cambria Math"/>
              </w:rPr>
              <m:t>668</m:t>
            </m:r>
          </m:e>
        </m:d>
      </m:oMath>
      <w:r>
        <w:t xml:space="preserve"> are the reflectance at 840 and 668 nm respectively.</w:t>
      </w:r>
    </w:p>
    <w:p w14:paraId="3DD2B747" w14:textId="77777777" w:rsidR="006E2672" w:rsidRDefault="00000000">
      <w:pPr>
        <w:pStyle w:val="Compact"/>
        <w:numPr>
          <w:ilvl w:val="0"/>
          <w:numId w:val="4"/>
        </w:numPr>
      </w:pPr>
      <w:r>
        <w:t>The Green Leaf Index (GLI, Louhaichi et al. (2001)), a quantification of the seagrass leaves greenness (</w:t>
      </w:r>
      <w:hyperlink w:anchor="eq-gli">
        <w:r>
          <w:rPr>
            <w:rStyle w:val="Lienhypertexte"/>
          </w:rPr>
          <w:t>Equation 2</w:t>
        </w:r>
      </w:hyperlink>
      <w:r>
        <w:t>)</w:t>
      </w:r>
    </w:p>
    <w:p w14:paraId="57CDF123" w14:textId="77777777" w:rsidR="006E2672" w:rsidRDefault="00000000">
      <w:pPr>
        <w:pStyle w:val="FirstParagraph"/>
      </w:pPr>
      <w:bookmarkStart w:id="13" w:name="eq-gli"/>
      <m:oMathPara>
        <m:oMathParaPr>
          <m:jc m:val="center"/>
        </m:oMathParaPr>
        <m:oMath>
          <m:r>
            <w:rPr>
              <w:rFonts w:ascii="Cambria Math" w:hAnsi="Cambria Math"/>
            </w:rPr>
            <m:t>GLI</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e>
              </m:d>
              <m:r>
                <m:rPr>
                  <m:sty m:val="p"/>
                </m:rPr>
                <w:rPr>
                  <w:rFonts w:ascii="Cambria Math" w:hAnsi="Cambria Math"/>
                </w:rPr>
                <m:t>+</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550</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e>
              </m:d>
            </m:num>
            <m:den>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550</m:t>
                      </m:r>
                    </m:e>
                  </m:d>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668</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450</m:t>
                  </m:r>
                </m:e>
              </m:d>
            </m:den>
          </m:f>
          <m:r>
            <w:rPr>
              <w:rFonts w:ascii="Cambria Math" w:hAnsi="Cambria Math"/>
            </w:rPr>
            <m:t>  </m:t>
          </m:r>
          <m:d>
            <m:dPr>
              <m:ctrlPr>
                <w:rPr>
                  <w:rFonts w:ascii="Cambria Math" w:hAnsi="Cambria Math"/>
                </w:rPr>
              </m:ctrlPr>
            </m:dPr>
            <m:e>
              <m:r>
                <w:rPr>
                  <w:rFonts w:ascii="Cambria Math" w:hAnsi="Cambria Math"/>
                </w:rPr>
                <m:t>2</m:t>
              </m:r>
            </m:e>
          </m:d>
        </m:oMath>
      </m:oMathPara>
      <w:bookmarkEnd w:id="13"/>
    </w:p>
    <w:p w14:paraId="12A8BD76" w14:textId="77777777" w:rsidR="006E2672"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550</m:t>
            </m:r>
          </m:e>
        </m:d>
      </m:oMath>
      <w:r>
        <w:t xml:space="preserve"> and </w:t>
      </w:r>
      <m:oMath>
        <m:r>
          <w:rPr>
            <w:rFonts w:ascii="Cambria Math" w:hAnsi="Cambria Math"/>
          </w:rPr>
          <m:t>R</m:t>
        </m:r>
        <m:d>
          <m:dPr>
            <m:ctrlPr>
              <w:rPr>
                <w:rFonts w:ascii="Cambria Math" w:hAnsi="Cambria Math"/>
              </w:rPr>
            </m:ctrlPr>
          </m:dPr>
          <m:e>
            <m:r>
              <w:rPr>
                <w:rFonts w:ascii="Cambria Math" w:hAnsi="Cambria Math"/>
              </w:rPr>
              <m:t>450</m:t>
            </m:r>
          </m:e>
        </m:d>
      </m:oMath>
      <w:r>
        <w:t xml:space="preserve"> are the reflectance in the green (at 550 nm) and in the blue (at 450 nm) spectral bands, respectively.</w:t>
      </w:r>
    </w:p>
    <w:p w14:paraId="6E790100" w14:textId="77777777" w:rsidR="006E2672" w:rsidRDefault="00000000">
      <w:pPr>
        <w:pStyle w:val="Corpsdetexte"/>
      </w:pPr>
      <w:r>
        <w:t>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 The Seagrass Heat Shock Index (SHSI) was introduced as the reflectance line height at 740 nm, compared to the 560 - 842 nm baseline (</w:t>
      </w:r>
      <w:hyperlink w:anchor="fig-SHSI">
        <w:r>
          <w:rPr>
            <w:rStyle w:val="Lienhypertexte"/>
          </w:rPr>
          <w:t>Figure 3</w:t>
        </w:r>
      </w:hyperlink>
      <w:r>
        <w:t xml:space="preserve">). Namely the SHSI subtracts the reflectance observed at 740 nm to the linearly interpolated reflectance between 560 and 842 nm, so that the index is </w:t>
      </w:r>
      <w:r>
        <w:lastRenderedPageBreak/>
        <w:t>positive in the case of brown, HW-impacted seagrass leaves, and negative in the case of green, non-impacted leaves:</w:t>
      </w:r>
    </w:p>
    <w:p w14:paraId="3328527D" w14:textId="77777777" w:rsidR="006E2672" w:rsidRDefault="00000000">
      <w:pPr>
        <w:pStyle w:val="Corpsdetexte"/>
      </w:pPr>
      <w:bookmarkStart w:id="14" w:name="eq-SDI"/>
      <m:oMathPara>
        <m:oMathParaPr>
          <m:jc m:val="center"/>
        </m:oMathParaPr>
        <m:oMath>
          <m:r>
            <m:rPr>
              <m:nor/>
            </m:rPr>
            <m:t>SHSI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740</m:t>
              </m:r>
            </m:e>
          </m:d>
          <m:r>
            <w:rPr>
              <w:rFonts w:ascii="Cambria Math" w:hAnsi="Cambria Math"/>
            </w:rPr>
            <m:t>  </m:t>
          </m:r>
          <m:d>
            <m:dPr>
              <m:ctrlPr>
                <w:rPr>
                  <w:rFonts w:ascii="Cambria Math" w:hAnsi="Cambria Math"/>
                </w:rPr>
              </m:ctrlPr>
            </m:dPr>
            <m:e>
              <m:r>
                <w:rPr>
                  <w:rFonts w:ascii="Cambria Math" w:hAnsi="Cambria Math"/>
                </w:rPr>
                <m:t>3</m:t>
              </m:r>
            </m:e>
          </m:d>
        </m:oMath>
      </m:oMathPara>
      <w:bookmarkEnd w:id="14"/>
    </w:p>
    <w:p w14:paraId="2CF1580F" w14:textId="77777777" w:rsidR="006E2672" w:rsidRDefault="00000000">
      <w:pPr>
        <w:pStyle w:val="FirstParagraph"/>
      </w:pPr>
      <w:r>
        <w:t>where :</w:t>
      </w:r>
    </w:p>
    <w:p w14:paraId="41CBF856" w14:textId="77777777" w:rsidR="006E2672" w:rsidRDefault="00000000">
      <w:pPr>
        <w:pStyle w:val="Corpsdetex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SHSI</m:t>
              </m:r>
            </m:sub>
          </m:sSub>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r>
            <m:rPr>
              <m:sty m:val="p"/>
            </m:rPr>
            <w:rPr>
              <w:rFonts w:ascii="Cambria Math" w:hAnsi="Cambria Math"/>
            </w:rPr>
            <m:t>+</m:t>
          </m:r>
          <m:r>
            <w:rPr>
              <w:rFonts w:ascii="Cambria Math" w:hAnsi="Cambria Math"/>
            </w:rPr>
            <m:t>τ</m:t>
          </m:r>
          <m:d>
            <m:dPr>
              <m:begChr m:val="["/>
              <m:endChr m:val="]"/>
              <m:ctrlPr>
                <w:rPr>
                  <w:rFonts w:ascii="Cambria Math" w:hAnsi="Cambria Math"/>
                </w:rPr>
              </m:ctrlPr>
            </m:dPr>
            <m:e>
              <m:r>
                <w:rPr>
                  <w:rFonts w:ascii="Cambria Math" w:hAnsi="Cambria Math"/>
                </w:rPr>
                <m:t>R</m:t>
              </m:r>
              <m:d>
                <m:dPr>
                  <m:ctrlPr>
                    <w:rPr>
                      <w:rFonts w:ascii="Cambria Math" w:hAnsi="Cambria Math"/>
                    </w:rPr>
                  </m:ctrlPr>
                </m:dPr>
                <m:e>
                  <m:r>
                    <w:rPr>
                      <w:rFonts w:ascii="Cambria Math" w:hAnsi="Cambria Math"/>
                    </w:rPr>
                    <m:t>842</m:t>
                  </m:r>
                </m:e>
              </m:d>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560</m:t>
                  </m:r>
                </m:e>
              </m:d>
            </m:e>
          </m:d>
        </m:oMath>
      </m:oMathPara>
    </w:p>
    <w:p w14:paraId="4902E09F" w14:textId="77777777" w:rsidR="006E2672" w:rsidRDefault="00000000">
      <w:pPr>
        <w:pStyle w:val="FirstParagraph"/>
      </w:pPr>
      <w:r>
        <w:t>and :</w:t>
      </w:r>
    </w:p>
    <w:p w14:paraId="0E700463" w14:textId="77777777" w:rsidR="006E2672" w:rsidRDefault="00000000">
      <w:pPr>
        <w:pStyle w:val="Corpsdetexte"/>
      </w:pPr>
      <m:oMathPara>
        <m:oMathParaPr>
          <m:jc m:val="center"/>
        </m:oMathParaPr>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740</m:t>
              </m:r>
              <m:r>
                <m:rPr>
                  <m:sty m:val="p"/>
                </m:rPr>
                <w:rPr>
                  <w:rFonts w:ascii="Cambria Math" w:hAnsi="Cambria Math"/>
                </w:rPr>
                <m:t>-</m:t>
              </m:r>
              <m:r>
                <w:rPr>
                  <w:rFonts w:ascii="Cambria Math" w:hAnsi="Cambria Math"/>
                </w:rPr>
                <m:t>560</m:t>
              </m:r>
            </m:num>
            <m:den>
              <m:r>
                <w:rPr>
                  <w:rFonts w:ascii="Cambria Math" w:hAnsi="Cambria Math"/>
                </w:rPr>
                <m:t>842</m:t>
              </m:r>
              <m:r>
                <m:rPr>
                  <m:sty m:val="p"/>
                </m:rPr>
                <w:rPr>
                  <w:rFonts w:ascii="Cambria Math" w:hAnsi="Cambria Math"/>
                </w:rPr>
                <m:t>-</m:t>
              </m:r>
              <m:r>
                <w:rPr>
                  <w:rFonts w:ascii="Cambria Math" w:hAnsi="Cambria Math"/>
                </w:rPr>
                <m:t>560</m:t>
              </m:r>
            </m:den>
          </m:f>
        </m:oMath>
      </m:oMathPara>
    </w:p>
    <w:p w14:paraId="7A650E85" w14:textId="77777777" w:rsidR="006E2672"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560</m:t>
            </m:r>
          </m:e>
        </m:d>
      </m:oMath>
      <w:r>
        <w:t xml:space="preserve">, </w:t>
      </w:r>
      <m:oMath>
        <m:r>
          <w:rPr>
            <w:rFonts w:ascii="Cambria Math" w:hAnsi="Cambria Math"/>
          </w:rPr>
          <m:t>R</m:t>
        </m:r>
        <m:d>
          <m:dPr>
            <m:ctrlPr>
              <w:rPr>
                <w:rFonts w:ascii="Cambria Math" w:hAnsi="Cambria Math"/>
              </w:rPr>
            </m:ctrlPr>
          </m:dPr>
          <m:e>
            <m:r>
              <w:rPr>
                <w:rFonts w:ascii="Cambria Math" w:hAnsi="Cambria Math"/>
              </w:rPr>
              <m:t>740</m:t>
            </m:r>
          </m:e>
        </m:d>
      </m:oMath>
      <w:r>
        <w:t xml:space="preserve">, and </w:t>
      </w:r>
      <m:oMath>
        <m:r>
          <w:rPr>
            <w:rFonts w:ascii="Cambria Math" w:hAnsi="Cambria Math"/>
          </w:rPr>
          <m:t>R</m:t>
        </m:r>
        <m:d>
          <m:dPr>
            <m:ctrlPr>
              <w:rPr>
                <w:rFonts w:ascii="Cambria Math" w:hAnsi="Cambria Math"/>
              </w:rPr>
            </m:ctrlPr>
          </m:dPr>
          <m:e>
            <m:r>
              <w:rPr>
                <w:rFonts w:ascii="Cambria Math" w:hAnsi="Cambria Math"/>
              </w:rPr>
              <m:t>842</m:t>
            </m:r>
          </m:e>
        </m:d>
      </m:oMath>
      <w:r>
        <w:t xml:space="preserve"> represent the reflectance at 560, 740, and 842 nm, respectively, and </w:t>
      </w:r>
      <m:oMath>
        <m:r>
          <w:rPr>
            <w:rFonts w:ascii="Cambria Math" w:hAnsi="Cambria Math"/>
          </w:rPr>
          <m:t>τ</m:t>
        </m:r>
      </m:oMath>
      <w:r>
        <w:t xml:space="preserve"> is equal to a contant of 0.64. These wavelengths were selected to align with the spectral resolution of satellites missions such as Sentinel-2, for broader remote sensing application.</w:t>
      </w:r>
    </w:p>
    <w:tbl>
      <w:tblPr>
        <w:tblStyle w:val="Table"/>
        <w:tblW w:w="5000" w:type="pct"/>
        <w:tblLayout w:type="fixed"/>
        <w:tblLook w:val="0000" w:firstRow="0" w:lastRow="0" w:firstColumn="0" w:lastColumn="0" w:noHBand="0" w:noVBand="0"/>
      </w:tblPr>
      <w:tblGrid>
        <w:gridCol w:w="9360"/>
      </w:tblGrid>
      <w:tr w:rsidR="006E2672" w14:paraId="4046A4C8" w14:textId="77777777">
        <w:tc>
          <w:tcPr>
            <w:tcW w:w="7920" w:type="dxa"/>
          </w:tcPr>
          <w:p w14:paraId="11EB0C3D" w14:textId="77777777" w:rsidR="006E2672" w:rsidRDefault="00000000">
            <w:pPr>
              <w:pStyle w:val="Compact"/>
              <w:jc w:val="center"/>
            </w:pPr>
            <w:bookmarkStart w:id="15" w:name="fig-SHSI"/>
            <w:bookmarkStart w:id="16" w:name="cell-fig-SHSI"/>
            <w:r>
              <w:rPr>
                <w:noProof/>
              </w:rPr>
              <w:lastRenderedPageBreak/>
              <w:drawing>
                <wp:inline distT="0" distB="0" distL="0" distR="0" wp14:anchorId="71BB70FE" wp14:editId="3EEABB15">
                  <wp:extent cx="5646420" cy="564642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High_res/Plot_explain_SHSI.png"/>
                          <pic:cNvPicPr>
                            <a:picLocks noChangeAspect="1" noChangeArrowheads="1"/>
                          </pic:cNvPicPr>
                        </pic:nvPicPr>
                        <pic:blipFill>
                          <a:blip r:embed="rId9"/>
                          <a:stretch>
                            <a:fillRect/>
                          </a:stretch>
                        </pic:blipFill>
                        <pic:spPr bwMode="auto">
                          <a:xfrm>
                            <a:off x="0" y="0"/>
                            <a:ext cx="5646420" cy="5646420"/>
                          </a:xfrm>
                          <a:prstGeom prst="rect">
                            <a:avLst/>
                          </a:prstGeom>
                          <a:noFill/>
                          <a:ln w="9525">
                            <a:noFill/>
                            <a:headEnd/>
                            <a:tailEnd/>
                          </a:ln>
                        </pic:spPr>
                      </pic:pic>
                    </a:graphicData>
                  </a:graphic>
                </wp:inline>
              </w:drawing>
            </w:r>
          </w:p>
          <w:p w14:paraId="014146D2" w14:textId="77777777" w:rsidR="006E2672" w:rsidRDefault="00000000">
            <w:pPr>
              <w:pStyle w:val="ImageCaption"/>
              <w:spacing w:before="200"/>
            </w:pPr>
            <w:r>
              <w:t>Figure 3: Computation of the reflectance Seagrass Heat Shock Index (SHSI) for Impacted (A) and Unimpacted (B) seagrass leaves. The dashed line represents the reflectance interpolation between 560 and 842 nm. The red vertical at 740 nm represents the SHSI line height.</w:t>
            </w:r>
          </w:p>
        </w:tc>
        <w:bookmarkEnd w:id="15"/>
      </w:tr>
    </w:tbl>
    <w:p w14:paraId="712C52DD" w14:textId="77777777" w:rsidR="006E2672" w:rsidRDefault="00000000">
      <w:pPr>
        <w:pStyle w:val="Titre2"/>
      </w:pPr>
      <w:bookmarkStart w:id="17" w:name="X53c8231f04157ff9451ec0257d89262a154cfec"/>
      <w:bookmarkEnd w:id="2"/>
      <w:bookmarkEnd w:id="9"/>
      <w:bookmarkEnd w:id="11"/>
      <w:bookmarkEnd w:id="16"/>
      <w:r>
        <w:t>2.2 Observation of a seagrass bed impacted by a HWs</w:t>
      </w:r>
    </w:p>
    <w:p w14:paraId="4C73D528" w14:textId="77777777" w:rsidR="006E2672" w:rsidRDefault="00000000">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 </w:t>
      </w:r>
      <w:hyperlink w:anchor="fig-quiberonMap">
        <w:r>
          <w:rPr>
            <w:rStyle w:val="Lienhypertexte"/>
          </w:rPr>
          <w:t>Figure 4</w:t>
        </w:r>
      </w:hyperlink>
      <w:r>
        <w:t xml:space="preserve">). Brown seagrass leaves were observed over large patches of the meadow alongside areas </w:t>
      </w:r>
      <w:r>
        <w:lastRenderedPageBreak/>
        <w:t>covered by green seagrass (</w:t>
      </w:r>
      <w:hyperlink w:anchor="fig-QuiberonImg">
        <w:r>
          <w:rPr>
            <w:rStyle w:val="Lienhypertexte"/>
          </w:rPr>
          <w:t>Figure 5</w:t>
        </w:r>
      </w:hyperlink>
      <w:r>
        <w:t>).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Lienhypertexte"/>
          </w:rPr>
          <w:t>Figure 4</w:t>
        </w:r>
      </w:hyperlink>
      <w:r>
        <w:t>).</w:t>
      </w:r>
    </w:p>
    <w:tbl>
      <w:tblPr>
        <w:tblStyle w:val="Table"/>
        <w:tblW w:w="5000" w:type="pct"/>
        <w:tblLayout w:type="fixed"/>
        <w:tblLook w:val="0000" w:firstRow="0" w:lastRow="0" w:firstColumn="0" w:lastColumn="0" w:noHBand="0" w:noVBand="0"/>
      </w:tblPr>
      <w:tblGrid>
        <w:gridCol w:w="9360"/>
      </w:tblGrid>
      <w:tr w:rsidR="006E2672" w14:paraId="7877039E" w14:textId="77777777">
        <w:tc>
          <w:tcPr>
            <w:tcW w:w="7920" w:type="dxa"/>
          </w:tcPr>
          <w:p w14:paraId="12C53687" w14:textId="77777777" w:rsidR="006E2672" w:rsidRDefault="00000000">
            <w:pPr>
              <w:pStyle w:val="Compact"/>
              <w:jc w:val="center"/>
            </w:pPr>
            <w:bookmarkStart w:id="18" w:name="fig-quiberonMap"/>
            <w:bookmarkStart w:id="19" w:name="cell-fig-quiberonMap"/>
            <w:r>
              <w:rPr>
                <w:noProof/>
              </w:rPr>
              <w:drawing>
                <wp:inline distT="0" distB="0" distL="0" distR="0" wp14:anchorId="4E17E361" wp14:editId="057AD669">
                  <wp:extent cx="5646420" cy="564642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Low_res/Quiberon_map.png"/>
                          <pic:cNvPicPr>
                            <a:picLocks noChangeAspect="1" noChangeArrowheads="1"/>
                          </pic:cNvPicPr>
                        </pic:nvPicPr>
                        <pic:blipFill>
                          <a:blip r:embed="rId10"/>
                          <a:stretch>
                            <a:fillRect/>
                          </a:stretch>
                        </pic:blipFill>
                        <pic:spPr bwMode="auto">
                          <a:xfrm>
                            <a:off x="0" y="0"/>
                            <a:ext cx="5646420" cy="5646420"/>
                          </a:xfrm>
                          <a:prstGeom prst="rect">
                            <a:avLst/>
                          </a:prstGeom>
                          <a:noFill/>
                          <a:ln w="9525">
                            <a:noFill/>
                            <a:headEnd/>
                            <a:tailEnd/>
                          </a:ln>
                        </pic:spPr>
                      </pic:pic>
                    </a:graphicData>
                  </a:graphic>
                </wp:inline>
              </w:drawing>
            </w:r>
          </w:p>
          <w:p w14:paraId="32C98819" w14:textId="77777777" w:rsidR="006E2672" w:rsidRDefault="00000000">
            <w:pPr>
              <w:pStyle w:val="ImageCaption"/>
              <w:spacing w:before="200"/>
            </w:pPr>
            <w:r>
              <w:t xml:space="preserve">Figure 4: Location of field observations in a seagrass meadow impacted by a HW that occurred on the 10th of September 2021 in Quiberon, South Brittany, France. The red line indicates the </w:t>
            </w:r>
            <w:r>
              <w:lastRenderedPageBreak/>
              <w:t>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tc>
        <w:bookmarkEnd w:id="18"/>
      </w:tr>
      <w:tr w:rsidR="006E2672" w14:paraId="727DA73F" w14:textId="77777777">
        <w:tc>
          <w:tcPr>
            <w:tcW w:w="7920" w:type="dxa"/>
          </w:tcPr>
          <w:p w14:paraId="08D2AAC1" w14:textId="77777777" w:rsidR="006E2672" w:rsidRDefault="00000000">
            <w:pPr>
              <w:pStyle w:val="Compact"/>
              <w:jc w:val="center"/>
            </w:pPr>
            <w:bookmarkStart w:id="20" w:name="fig-QuiberonImg"/>
            <w:bookmarkStart w:id="21" w:name="cell-fig-QuiberonImg"/>
            <w:bookmarkEnd w:id="19"/>
            <w:r>
              <w:rPr>
                <w:noProof/>
              </w:rPr>
              <w:lastRenderedPageBreak/>
              <w:drawing>
                <wp:inline distT="0" distB="0" distL="0" distR="0" wp14:anchorId="54802946" wp14:editId="53BC45EF">
                  <wp:extent cx="2692781" cy="1785257"/>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s/Low_res/img_Quiberon.png"/>
                          <pic:cNvPicPr>
                            <a:picLocks noChangeAspect="1" noChangeArrowheads="1"/>
                          </pic:cNvPicPr>
                        </pic:nvPicPr>
                        <pic:blipFill>
                          <a:blip r:embed="rId11"/>
                          <a:stretch>
                            <a:fillRect/>
                          </a:stretch>
                        </pic:blipFill>
                        <pic:spPr bwMode="auto">
                          <a:xfrm>
                            <a:off x="0" y="0"/>
                            <a:ext cx="2692781" cy="1785257"/>
                          </a:xfrm>
                          <a:prstGeom prst="rect">
                            <a:avLst/>
                          </a:prstGeom>
                          <a:noFill/>
                          <a:ln w="9525">
                            <a:noFill/>
                            <a:headEnd/>
                            <a:tailEnd/>
                          </a:ln>
                        </pic:spPr>
                      </pic:pic>
                    </a:graphicData>
                  </a:graphic>
                </wp:inline>
              </w:drawing>
            </w:r>
          </w:p>
          <w:p w14:paraId="14ED6663" w14:textId="77777777" w:rsidR="006E2672" w:rsidRDefault="00000000">
            <w:pPr>
              <w:pStyle w:val="ImageCaption"/>
              <w:spacing w:before="200"/>
            </w:pPr>
            <w:r>
              <w:t xml:space="preserve">Figure 5: Illustration of the two colorations of seagrass leaves observed </w:t>
            </w:r>
            <w:r>
              <w:rPr>
                <w:iCs/>
              </w:rPr>
              <w:t>in situ</w:t>
            </w:r>
            <w:r>
              <w:t xml:space="preserve"> on the 10th of September 2021 after a heatwave in Quiberon, South Brittany (France). A: Picture of a zone with both green and brown seagrass; B: Seagrass quadrat with green leaves; C: Seagrass quadrat with brown leaves; D: Picture of a zone where all leaves turned brown.</w:t>
            </w:r>
          </w:p>
        </w:tc>
        <w:bookmarkEnd w:id="20"/>
      </w:tr>
    </w:tbl>
    <w:p w14:paraId="5986206F" w14:textId="77777777" w:rsidR="006E2672" w:rsidRDefault="00000000">
      <w:pPr>
        <w:pStyle w:val="Titre3"/>
      </w:pPr>
      <w:bookmarkStart w:id="22" w:name="temperature-data-and-hw-detection"/>
      <w:bookmarkEnd w:id="21"/>
      <w:r>
        <w:t>2.2.1 Temperature data and HW detection</w:t>
      </w:r>
    </w:p>
    <w:p w14:paraId="0997289B" w14:textId="77777777" w:rsidR="006E2672" w:rsidRDefault="00000000">
      <w:pPr>
        <w:pStyle w:val="Titre4"/>
      </w:pPr>
      <w:bookmarkStart w:id="23" w:name="air-temperature"/>
      <w:r>
        <w:t>2.2.1.1 Air temperature</w:t>
      </w:r>
    </w:p>
    <w:p w14:paraId="06FD7377" w14:textId="77777777" w:rsidR="006E2672" w:rsidRDefault="00000000">
      <w:pPr>
        <w:pStyle w:val="FirstParagraph"/>
      </w:pPr>
      <w:r>
        <w:t>Hourly air temperature data from 1952 to 2024 (more than 395,000 observation) from a nearby weather station (Lorient-Lann Bihoue, 47°45’46”N 3°26’11”W) was retrieved from Meteo France (https://portail-api.meteofrance.fr).</w:t>
      </w:r>
    </w:p>
    <w:p w14:paraId="444355B3" w14:textId="77777777" w:rsidR="006E2672" w:rsidRDefault="00000000">
      <w:pPr>
        <w:pStyle w:val="Titre4"/>
      </w:pPr>
      <w:bookmarkStart w:id="24" w:name="water-temperature"/>
      <w:bookmarkEnd w:id="23"/>
      <w:r>
        <w:t>2.2.1.2 Water temperature</w:t>
      </w:r>
    </w:p>
    <w:p w14:paraId="663B9A14" w14:textId="77777777" w:rsidR="006E2672" w:rsidRDefault="00000000">
      <w:pPr>
        <w:pStyle w:val="FirstParagraph"/>
      </w:pPr>
      <w:r>
        <w:t>Sea Surface Temperature (SST) data from 1982 -2022 over the Quiberon coastal area was downloaded from the Copernicus Marine Data Store (Copernicus Marine Environment Monitoring Service, CMEMS (2024)). An area of 2700 km² was extracted and analyzed. This area was large enough to minimize missing values caused by cloud cover and small enough to limit the influence of offshore SST stability.</w:t>
      </w:r>
    </w:p>
    <w:p w14:paraId="1792DA3E" w14:textId="77777777" w:rsidR="006E2672" w:rsidRDefault="00000000">
      <w:pPr>
        <w:pStyle w:val="Titre4"/>
      </w:pPr>
      <w:bookmarkStart w:id="25" w:name="heatwave-detection-and-characterization"/>
      <w:bookmarkEnd w:id="24"/>
      <w:r>
        <w:lastRenderedPageBreak/>
        <w:t>2.2.1.3 Heatwave detection and characterization</w:t>
      </w:r>
    </w:p>
    <w:p w14:paraId="77CB425B" w14:textId="77777777" w:rsidR="006E2672" w:rsidRDefault="00000000">
      <w:pPr>
        <w:pStyle w:val="FirstParagraph"/>
      </w:pPr>
      <w:r>
        <w:t>MHW and AHW detection was performed using the HeatwaveR package in R (Schlegel and Smit, 2018). This package utilizes the methodology proposed by Hobday et al. (2016) 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 Hobday et al. (2018).</w:t>
      </w:r>
    </w:p>
    <w:p w14:paraId="4BBD81FD" w14:textId="77777777" w:rsidR="006E2672" w:rsidRDefault="00000000">
      <w:pPr>
        <w:pStyle w:val="Titre3"/>
      </w:pPr>
      <w:bookmarkStart w:id="26" w:name="satellite-observations"/>
      <w:bookmarkEnd w:id="22"/>
      <w:bookmarkEnd w:id="25"/>
      <w:r>
        <w:t>2.2.2 Satellite observations</w:t>
      </w:r>
    </w:p>
    <w:p w14:paraId="40309429" w14:textId="77777777" w:rsidR="006E2672" w:rsidRDefault="00000000">
      <w:pPr>
        <w:pStyle w:val="FirstParagraph"/>
      </w:pPr>
      <w:r>
        <w:t>Three 2021 Sentinel-2 images of the study site were selected to assess the effect of thecombined AHW and MHW (“HW event”, henceforth) on the seagrass meadow: the first image was taken 5 days before the HW (1st of September 2021), the second image during the HW (6th of September 2021) and the third image one month later (8th of October 2021). Level-2 data were downloaded from the Copernicus open access hub (European Space Agency, 2024a) provided by the European Space Agency (ESA). Level-2 images consist of orthorectified surface reflectance corrected from the effect of the atmosphere using ESA’s standard correction (i.e., Sen2cor, European Space Agency (2024b)).</w:t>
      </w:r>
    </w:p>
    <w:p w14:paraId="22B0CD27" w14:textId="77777777" w:rsidR="006E2672" w:rsidRDefault="00000000">
      <w:pPr>
        <w:pStyle w:val="Corpsdetexte"/>
      </w:pPr>
      <w:r>
        <w:t>The SHSI (</w:t>
      </w:r>
      <w:hyperlink w:anchor="eq-SDI">
        <w:r>
          <w:rPr>
            <w:rStyle w:val="Lienhypertexte"/>
          </w:rPr>
          <w:t>Equation 3</w:t>
        </w:r>
      </w:hyperlink>
      <w:r>
        <w:t>) was computed and mapped for each image. For the pixel containing a field QP (</w:t>
      </w:r>
      <w:hyperlink w:anchor="fig-quiberonMap">
        <w:r>
          <w:rPr>
            <w:rStyle w:val="Lienhypertexte"/>
          </w:rPr>
          <w:t>Figure 4</w:t>
        </w:r>
      </w:hyperlink>
      <w:r>
        <w:t>), the satellite-derived reflectance was extracted, and compared before and after the HW event.</w:t>
      </w:r>
    </w:p>
    <w:p w14:paraId="73BB05FD" w14:textId="77777777" w:rsidR="006E2672" w:rsidRDefault="00000000">
      <w:pPr>
        <w:pStyle w:val="Titre3"/>
      </w:pPr>
      <w:bookmarkStart w:id="27" w:name="emersion-time-of-the-seagrass-meadow"/>
      <w:bookmarkEnd w:id="26"/>
      <w:r>
        <w:t>2.2.3 Emersion time of the seagrass meadow</w:t>
      </w:r>
    </w:p>
    <w:p w14:paraId="68E1BD49" w14:textId="77777777" w:rsidR="006E2672" w:rsidRDefault="00000000">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 “Service Hydrographique et Océanographique de la Marine” (SHOM, 2021), while one-minute interval water level </w:t>
      </w:r>
      <w:r>
        <w:lastRenderedPageBreak/>
        <w:t>data were downloaded from Intergovernmental Oceanographic Commission data portal (IOC, 2024), using measurements from the nearest tide gauge at Le Crouesty. A 2.85 m vertical correction was applied to the Litto3D data to align its zero reference with that of the water level data (RAM, SHOM (2022))</w:t>
      </w:r>
    </w:p>
    <w:p w14:paraId="37277575" w14:textId="77777777" w:rsidR="006E2672" w:rsidRDefault="00000000">
      <w:pPr>
        <w:pStyle w:val="Corpsdetexte"/>
      </w:pPr>
      <w:r>
        <w:t>Once aligned, the corrected elevation was compared to water height for each pixel and each time step during the HW event. The emersion time was then calculated as the daily total time each pixel remained exposed along the duration of the AHW.</w:t>
      </w:r>
    </w:p>
    <w:p w14:paraId="7FD1DE78" w14:textId="77777777" w:rsidR="006E2672" w:rsidRDefault="00000000">
      <w:pPr>
        <w:pStyle w:val="Titre2"/>
      </w:pPr>
      <w:bookmarkStart w:id="28" w:name="statistics"/>
      <w:bookmarkEnd w:id="17"/>
      <w:bookmarkEnd w:id="27"/>
      <w:r>
        <w:t>2.3 Statistics</w:t>
      </w:r>
    </w:p>
    <w:p w14:paraId="3150A10C" w14:textId="77777777" w:rsidR="006E2672" w:rsidRDefault="00000000">
      <w:pPr>
        <w:pStyle w:val="FirstParagraph"/>
      </w:pPr>
      <w:r>
        <w:t>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 “brms” and “RStan” packages in R to leverage the stan language (Bürkner, 2021; Carpenter et al., 2017; R Core Team, 2023; Stan Development Team et al., 2020). The response variables were modeled assuming a Gaussian distribution, with weakly informative priors (Student-T(3,0,2.5)). Model parameters were estimated using Markov Chain Monte Carlo (MCMC) sampling, with 4 chains of 5000 iterations and a warm-up of 500.</w:t>
      </w:r>
    </w:p>
    <w:p w14:paraId="7D3F2225" w14:textId="77777777" w:rsidR="006E2672" w:rsidRDefault="00000000">
      <w:pPr>
        <w:pStyle w:val="Titre1"/>
      </w:pPr>
      <w:bookmarkStart w:id="29" w:name="results"/>
      <w:bookmarkEnd w:id="1"/>
      <w:bookmarkEnd w:id="28"/>
      <w:r>
        <w:lastRenderedPageBreak/>
        <w:t>3. Results</w:t>
      </w:r>
    </w:p>
    <w:p w14:paraId="7A0DEF02" w14:textId="77777777" w:rsidR="006E2672" w:rsidRDefault="00000000">
      <w:pPr>
        <w:pStyle w:val="Titre2"/>
      </w:pPr>
      <w:bookmarkStart w:id="30" w:name="laboratory-experiment-1"/>
      <w:r>
        <w:t>3.1 Laboratory Experiment</w:t>
      </w:r>
    </w:p>
    <w:p w14:paraId="03970C74" w14:textId="77777777" w:rsidR="006E2672" w:rsidRDefault="00000000">
      <w:pPr>
        <w:pStyle w:val="Titre3"/>
      </w:pPr>
      <w:bookmarkStart w:id="31" w:name="heatwave-effect-on-seagrass-reflectance"/>
      <w:r>
        <w:t>3.1.1 Heatwave effect on seagrass reflectance</w:t>
      </w:r>
    </w:p>
    <w:p w14:paraId="54C560D5" w14:textId="77777777" w:rsidR="006E2672" w:rsidRDefault="00000000">
      <w:pPr>
        <w:pStyle w:val="FirstParagraph"/>
      </w:pPr>
      <w:r>
        <w:t>During the laboratory HW experiment, the seagrass reflectance was drastically impacted by the increase in both air and water temperature (</w:t>
      </w:r>
      <w:hyperlink w:anchor="fig-Exp_Spectra">
        <w:r>
          <w:rPr>
            <w:rStyle w:val="Lienhypertexte"/>
          </w:rPr>
          <w:t>Figure 6</w:t>
        </w:r>
      </w:hyperlink>
      <w:r>
        <w:t xml:space="preserve">). The Control </w:t>
      </w:r>
      <m:oMath>
        <m:r>
          <w:rPr>
            <w:rFonts w:ascii="Cambria Math" w:hAnsi="Cambria Math"/>
          </w:rPr>
          <m:t>R</m:t>
        </m:r>
        <m:d>
          <m:dPr>
            <m:ctrlPr>
              <w:rPr>
                <w:rFonts w:ascii="Cambria Math" w:hAnsi="Cambria Math"/>
              </w:rPr>
            </m:ctrlPr>
          </m:dPr>
          <m:e>
            <m:r>
              <w:rPr>
                <w:rFonts w:ascii="Cambria Math" w:hAnsi="Cambria Math"/>
              </w:rP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 </w:t>
      </w:r>
      <m:oMath>
        <m:r>
          <w:rPr>
            <w:rFonts w:ascii="Cambria Math" w:hAnsi="Cambria Math"/>
          </w:rPr>
          <m:t>R</m:t>
        </m:r>
        <m:d>
          <m:dPr>
            <m:ctrlPr>
              <w:rPr>
                <w:rFonts w:ascii="Cambria Math" w:hAnsi="Cambria Math"/>
              </w:rPr>
            </m:ctrlPr>
          </m:dPr>
          <m:e>
            <m:r>
              <w:rPr>
                <w:rFonts w:ascii="Cambria Math" w:hAnsi="Cambria Math"/>
              </w:rPr>
              <m:t>λ</m:t>
            </m:r>
          </m:e>
        </m:d>
      </m:oMath>
      <w:r>
        <w:t xml:space="preserve"> showed severe changes throughout the experiment. During day 1, the Treatment </w:t>
      </w:r>
      <m:oMath>
        <m:r>
          <w:rPr>
            <w:rFonts w:ascii="Cambria Math" w:hAnsi="Cambria Math"/>
          </w:rPr>
          <m:t>R</m:t>
        </m:r>
        <m:d>
          <m:dPr>
            <m:ctrlPr>
              <w:rPr>
                <w:rFonts w:ascii="Cambria Math" w:hAnsi="Cambria Math"/>
              </w:rPr>
            </m:ctrlPr>
          </m:dPr>
          <m:e>
            <m:r>
              <w:rPr>
                <w:rFonts w:ascii="Cambria Math" w:hAnsi="Cambria Math"/>
              </w:rPr>
              <m:t>λ</m:t>
            </m:r>
          </m:e>
        </m:d>
      </m:oMath>
      <w:r>
        <w:t xml:space="preserve"> was generally similar to the Control </w:t>
      </w:r>
      <m:oMath>
        <m:r>
          <w:rPr>
            <w:rFonts w:ascii="Cambria Math" w:hAnsi="Cambria Math"/>
          </w:rPr>
          <m:t>R</m:t>
        </m:r>
        <m:d>
          <m:dPr>
            <m:ctrlPr>
              <w:rPr>
                <w:rFonts w:ascii="Cambria Math" w:hAnsi="Cambria Math"/>
              </w:rPr>
            </m:ctrlPr>
          </m:dPr>
          <m:e>
            <m:r>
              <w:rPr>
                <w:rFonts w:ascii="Cambria Math" w:hAnsi="Cambria Math"/>
              </w:rP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 </w:t>
      </w:r>
      <m:oMath>
        <m:r>
          <w:rPr>
            <w:rFonts w:ascii="Cambria Math" w:hAnsi="Cambria Math"/>
          </w:rPr>
          <m:t>R</m:t>
        </m:r>
        <m:d>
          <m:dPr>
            <m:ctrlPr>
              <w:rPr>
                <w:rFonts w:ascii="Cambria Math" w:hAnsi="Cambria Math"/>
              </w:rPr>
            </m:ctrlPr>
          </m:dPr>
          <m:e>
            <m:r>
              <w:rPr>
                <w:rFonts w:ascii="Cambria Math" w:hAnsi="Cambria Math"/>
              </w:rPr>
              <m:t>λ</m:t>
            </m:r>
          </m:e>
        </m:d>
      </m:oMath>
      <w:r>
        <w:t xml:space="preserve"> appeared to stabilize in the NIR, whereas it slightly continued in the green spectral region. At the end of the HW experiment, the </w:t>
      </w:r>
      <m:oMath>
        <m:r>
          <w:rPr>
            <w:rFonts w:ascii="Cambria Math" w:hAnsi="Cambria Math"/>
          </w:rPr>
          <m:t>R</m:t>
        </m:r>
        <m:d>
          <m:dPr>
            <m:ctrlPr>
              <w:rPr>
                <w:rFonts w:ascii="Cambria Math" w:hAnsi="Cambria Math"/>
              </w:rPr>
            </m:ctrlPr>
          </m:dPr>
          <m:e>
            <m:r>
              <w:rPr>
                <w:rFonts w:ascii="Cambria Math" w:hAnsi="Cambria Math"/>
              </w:rPr>
              <m:t>λ</m:t>
            </m:r>
          </m:e>
        </m:d>
      </m:oMath>
      <w:r>
        <w:t xml:space="preserve"> valley around 665 nm was also less pronounced, suggesting a decrease of chlorophyll-a concentration.</w:t>
      </w:r>
    </w:p>
    <w:tbl>
      <w:tblPr>
        <w:tblStyle w:val="Table"/>
        <w:tblW w:w="5000" w:type="pct"/>
        <w:tblLayout w:type="fixed"/>
        <w:tblLook w:val="0000" w:firstRow="0" w:lastRow="0" w:firstColumn="0" w:lastColumn="0" w:noHBand="0" w:noVBand="0"/>
      </w:tblPr>
      <w:tblGrid>
        <w:gridCol w:w="9360"/>
      </w:tblGrid>
      <w:tr w:rsidR="006E2672" w14:paraId="693FB644" w14:textId="77777777">
        <w:tc>
          <w:tcPr>
            <w:tcW w:w="7920" w:type="dxa"/>
          </w:tcPr>
          <w:p w14:paraId="3320A90A" w14:textId="77777777" w:rsidR="006E2672" w:rsidRDefault="00000000">
            <w:pPr>
              <w:pStyle w:val="Compact"/>
              <w:jc w:val="center"/>
            </w:pPr>
            <w:bookmarkStart w:id="32" w:name="fig-Exp_Spectra"/>
            <w:bookmarkStart w:id="33" w:name="cell-fig-Exp_Spectra"/>
            <w:r>
              <w:rPr>
                <w:noProof/>
              </w:rPr>
              <w:drawing>
                <wp:inline distT="0" distB="0" distL="0" distR="0" wp14:anchorId="78D3C40D" wp14:editId="6F152BF1">
                  <wp:extent cx="5646420" cy="282321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s/Low_res/plot_Spectra_exp.png"/>
                          <pic:cNvPicPr>
                            <a:picLocks noChangeAspect="1" noChangeArrowheads="1"/>
                          </pic:cNvPicPr>
                        </pic:nvPicPr>
                        <pic:blipFill>
                          <a:blip r:embed="rId12"/>
                          <a:stretch>
                            <a:fillRect/>
                          </a:stretch>
                        </pic:blipFill>
                        <pic:spPr bwMode="auto">
                          <a:xfrm>
                            <a:off x="0" y="0"/>
                            <a:ext cx="5646420" cy="2823210"/>
                          </a:xfrm>
                          <a:prstGeom prst="rect">
                            <a:avLst/>
                          </a:prstGeom>
                          <a:noFill/>
                          <a:ln w="9525">
                            <a:noFill/>
                            <a:headEnd/>
                            <a:tailEnd/>
                          </a:ln>
                        </pic:spPr>
                      </pic:pic>
                    </a:graphicData>
                  </a:graphic>
                </wp:inline>
              </w:drawing>
            </w:r>
          </w:p>
          <w:p w14:paraId="0701C06C" w14:textId="77777777" w:rsidR="006E2672" w:rsidRDefault="00000000">
            <w:pPr>
              <w:pStyle w:val="ImageCaption"/>
              <w:spacing w:before="200"/>
            </w:pPr>
            <w:r>
              <w:lastRenderedPageBreak/>
              <w:t xml:space="preserve">Figure 6: Standardized hyperspectral reflectance of </w:t>
            </w:r>
            <w:r>
              <w:rPr>
                <w:iCs/>
              </w:rPr>
              <w:t>Z. noltei</w:t>
            </w:r>
            <w:r>
              <w:t xml:space="preserve"> 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tc>
        <w:bookmarkEnd w:id="32"/>
      </w:tr>
    </w:tbl>
    <w:p w14:paraId="4C403009" w14:textId="77777777" w:rsidR="006E2672" w:rsidRDefault="00000000">
      <w:pPr>
        <w:pStyle w:val="Titre3"/>
      </w:pPr>
      <w:bookmarkStart w:id="34" w:name="heatwave-effect-on-radiometric-indices"/>
      <w:bookmarkEnd w:id="31"/>
      <w:bookmarkEnd w:id="33"/>
      <w:r>
        <w:lastRenderedPageBreak/>
        <w:t>3.1.2 Heatwave effect on radiometric indices</w:t>
      </w:r>
    </w:p>
    <w:p w14:paraId="557FA13C" w14:textId="77777777" w:rsidR="006E2672" w:rsidRDefault="00000000">
      <w:pPr>
        <w:pStyle w:val="FirstParagraph"/>
      </w:pPr>
      <w:r>
        <w:t xml:space="preserve">All radiometric indices,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NDVI, GLI and SHSI changed after the experimental heatwave (</w:t>
      </w:r>
      <w:hyperlink w:anchor="fig-Exp_Spectral_indices">
        <w:r>
          <w:rPr>
            <w:rStyle w:val="Lienhypertexte"/>
          </w:rPr>
          <w:t>Figure 7</w:t>
        </w:r>
      </w:hyperlink>
      <w:r>
        <w:t xml:space="preserve"> ; </w:t>
      </w:r>
      <w:hyperlink w:anchor="sec-AnnexeB">
        <w:r>
          <w:rPr>
            <w:rStyle w:val="Lienhypertexte"/>
          </w:rPr>
          <w:t>Section 6.2</w:t>
        </w:r>
      </w:hyperlink>
      <w:r>
        <w:t>).</w:t>
      </w:r>
    </w:p>
    <w:p w14:paraId="1C595E14" w14:textId="77777777" w:rsidR="006E2672" w:rsidRDefault="00000000">
      <w:pPr>
        <w:pStyle w:val="Corpsdetexte"/>
      </w:pPr>
      <w:r>
        <w:t xml:space="preserve">At the start of the experiment (day 1), the difference between Treatment and Control was not significant in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NDVI and GLI (</w:t>
      </w:r>
      <w:hyperlink w:anchor="fig-Exp_Spectral_indices">
        <w:r>
          <w:rPr>
            <w:rStyle w:val="Lienhypertexte"/>
          </w:rPr>
          <w:t>Figure 7</w:t>
        </w:r>
      </w:hyperlink>
      <w:r>
        <w:t xml:space="preserve"> A, B &amp; C). During days 2 and 3 the radiometric indices all decreased significantly, with an overall decline of 68%, 31% and 54 for </w:t>
      </w:r>
      <m:oMath>
        <m:r>
          <w:rPr>
            <w:rFonts w:ascii="Cambria Math" w:hAnsi="Cambria Math"/>
          </w:rPr>
          <m:t>R</m:t>
        </m:r>
        <m:sSub>
          <m:sSubPr>
            <m:ctrlPr>
              <w:rPr>
                <w:rFonts w:ascii="Cambria Math" w:hAnsi="Cambria Math"/>
              </w:rPr>
            </m:ctrlPr>
          </m:sSubPr>
          <m:e>
            <m:r>
              <m:rPr>
                <m:sty m:val="p"/>
              </m:rPr>
              <w:rPr>
                <w:rFonts w:ascii="Cambria Math" w:hAnsi="Cambria Math"/>
              </w:rPr>
              <m:t>″</m:t>
            </m:r>
          </m:e>
          <m:sub>
            <m:r>
              <w:rPr>
                <w:rFonts w:ascii="Cambria Math" w:hAnsi="Cambria Math"/>
              </w:rPr>
              <m:t>665 </m:t>
            </m:r>
            <m:r>
              <m:rPr>
                <m:nor/>
              </m:rPr>
              <m:t>nm</m:t>
            </m:r>
          </m:sub>
        </m:sSub>
      </m:oMath>
      <w:r>
        <w:t>, NDVI and GLI.</w:t>
      </w:r>
    </w:p>
    <w:p w14:paraId="2B7AF298" w14:textId="77777777" w:rsidR="006E2672" w:rsidRDefault="00000000">
      <w:pPr>
        <w:pStyle w:val="Corpsdetexte"/>
      </w:pPr>
      <w:r>
        <w:t>Unlike the other metrics, the SHSI of the Treatment was on average 55 % higher than that of the Control in day 1 (</w:t>
      </w:r>
      <w:hyperlink w:anchor="fig-Exp_Spectral_indices">
        <w:r>
          <w:rPr>
            <w:rStyle w:val="Lienhypertexte"/>
          </w:rPr>
          <w:t>Figure 7</w:t>
        </w:r>
      </w:hyperlink>
      <w:r>
        <w:t xml:space="preserve"> D). By day 2, the SHSI exhibited a rapid increase of approximately 241 %, eventually reaching an overall rise of 420 % by day 3.</w:t>
      </w:r>
    </w:p>
    <w:p w14:paraId="26B97614" w14:textId="77777777" w:rsidR="006E2672" w:rsidRDefault="00000000">
      <w:pPr>
        <w:pStyle w:val="Corpsdetexte"/>
      </w:pPr>
      <w:r>
        <w:t>With a maximum deviation of 420 %, SHSI emerges as the most sensitive index for detecting seagrass browning. Consequently, only this index was considered for the next steps of the study.</w:t>
      </w:r>
    </w:p>
    <w:tbl>
      <w:tblPr>
        <w:tblStyle w:val="Table"/>
        <w:tblW w:w="5000" w:type="pct"/>
        <w:tblLayout w:type="fixed"/>
        <w:tblLook w:val="0000" w:firstRow="0" w:lastRow="0" w:firstColumn="0" w:lastColumn="0" w:noHBand="0" w:noVBand="0"/>
      </w:tblPr>
      <w:tblGrid>
        <w:gridCol w:w="9360"/>
      </w:tblGrid>
      <w:tr w:rsidR="006E2672" w14:paraId="4255F21E" w14:textId="77777777">
        <w:tc>
          <w:tcPr>
            <w:tcW w:w="7920" w:type="dxa"/>
          </w:tcPr>
          <w:p w14:paraId="33F3B455" w14:textId="77777777" w:rsidR="006E2672" w:rsidRDefault="00000000">
            <w:pPr>
              <w:pStyle w:val="Compact"/>
              <w:jc w:val="center"/>
            </w:pPr>
            <w:bookmarkStart w:id="35" w:name="fig-Exp_Spectral_indices"/>
            <w:bookmarkStart w:id="36" w:name="cell-fig-Exp_Spectral_indices"/>
            <w:r>
              <w:rPr>
                <w:noProof/>
              </w:rPr>
              <w:lastRenderedPageBreak/>
              <w:drawing>
                <wp:inline distT="0" distB="0" distL="0" distR="0" wp14:anchorId="1A43BB42" wp14:editId="33738C73">
                  <wp:extent cx="5646420" cy="5646420"/>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Figs/Low_res/merged_indices.png"/>
                          <pic:cNvPicPr>
                            <a:picLocks noChangeAspect="1" noChangeArrowheads="1"/>
                          </pic:cNvPicPr>
                        </pic:nvPicPr>
                        <pic:blipFill>
                          <a:blip r:embed="rId13"/>
                          <a:stretch>
                            <a:fillRect/>
                          </a:stretch>
                        </pic:blipFill>
                        <pic:spPr bwMode="auto">
                          <a:xfrm>
                            <a:off x="0" y="0"/>
                            <a:ext cx="5646420" cy="5646420"/>
                          </a:xfrm>
                          <a:prstGeom prst="rect">
                            <a:avLst/>
                          </a:prstGeom>
                          <a:noFill/>
                          <a:ln w="9525">
                            <a:noFill/>
                            <a:headEnd/>
                            <a:tailEnd/>
                          </a:ln>
                        </pic:spPr>
                      </pic:pic>
                    </a:graphicData>
                  </a:graphic>
                </wp:inline>
              </w:drawing>
            </w:r>
          </w:p>
          <w:p w14:paraId="2759FD44" w14:textId="77777777" w:rsidR="006E2672" w:rsidRDefault="00000000">
            <w:pPr>
              <w:pStyle w:val="ImageCaption"/>
              <w:spacing w:before="200"/>
            </w:pPr>
            <w:r>
              <w:t>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tc>
        <w:bookmarkEnd w:id="35"/>
      </w:tr>
    </w:tbl>
    <w:bookmarkEnd w:id="36"/>
    <w:p w14:paraId="76364F9F" w14:textId="77777777" w:rsidR="006E2672" w:rsidRDefault="00000000">
      <w:pPr>
        <w:pStyle w:val="Corpsdetexte"/>
      </w:pPr>
      <w:r>
        <w:t>Looking at raw SHSI values revealed clear distinctions between the Control and Treatment groups (</w:t>
      </w:r>
      <w:hyperlink w:anchor="fig-SDI_over_Time">
        <w:r>
          <w:rPr>
            <w:rStyle w:val="Lienhypertexte"/>
          </w:rPr>
          <w:t>Figure 8</w:t>
        </w:r>
      </w:hyperlink>
      <w:r>
        <w:t xml:space="preserve">). On day 1, the SHSI of the Control and Treatment groups were comparable, with median values of -0.11 and -0.08, respectively. By the end of the </w:t>
      </w:r>
      <w:r>
        <w:lastRenderedPageBreak/>
        <w:t>experiment, seagrasses in the Treatment group exhibited a median SHSI of 0.15, consistent with their visibly darkened appearance. In contrast, the Control group retained a green appearance throughout the experiment, with a median SHSI of -0.07. A negative SHSI was considered indicative of non-impacted seagrasses, while a positive SHSI was used as a marker for impacted seagrasses.</w:t>
      </w:r>
    </w:p>
    <w:tbl>
      <w:tblPr>
        <w:tblStyle w:val="Table"/>
        <w:tblW w:w="5000" w:type="pct"/>
        <w:tblLayout w:type="fixed"/>
        <w:tblLook w:val="0000" w:firstRow="0" w:lastRow="0" w:firstColumn="0" w:lastColumn="0" w:noHBand="0" w:noVBand="0"/>
      </w:tblPr>
      <w:tblGrid>
        <w:gridCol w:w="9360"/>
      </w:tblGrid>
      <w:tr w:rsidR="006E2672" w14:paraId="1E72D3E9" w14:textId="77777777">
        <w:tc>
          <w:tcPr>
            <w:tcW w:w="7920" w:type="dxa"/>
          </w:tcPr>
          <w:p w14:paraId="1C998817" w14:textId="77777777" w:rsidR="006E2672" w:rsidRDefault="00000000">
            <w:pPr>
              <w:pStyle w:val="Compact"/>
              <w:jc w:val="center"/>
            </w:pPr>
            <w:bookmarkStart w:id="37" w:name="fig-SDI_over_Time"/>
            <w:bookmarkStart w:id="38" w:name="cell-fig-SDI_over_Time"/>
            <w:r>
              <w:rPr>
                <w:noProof/>
              </w:rPr>
              <w:drawing>
                <wp:inline distT="0" distB="0" distL="0" distR="0" wp14:anchorId="72DFD777" wp14:editId="1059D935">
                  <wp:extent cx="5646420" cy="3387852"/>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s/Low_res/SDI_exp_overtime.png"/>
                          <pic:cNvPicPr>
                            <a:picLocks noChangeAspect="1" noChangeArrowheads="1"/>
                          </pic:cNvPicPr>
                        </pic:nvPicPr>
                        <pic:blipFill>
                          <a:blip r:embed="rId14"/>
                          <a:stretch>
                            <a:fillRect/>
                          </a:stretch>
                        </pic:blipFill>
                        <pic:spPr bwMode="auto">
                          <a:xfrm>
                            <a:off x="0" y="0"/>
                            <a:ext cx="5646420" cy="3387852"/>
                          </a:xfrm>
                          <a:prstGeom prst="rect">
                            <a:avLst/>
                          </a:prstGeom>
                          <a:noFill/>
                          <a:ln w="9525">
                            <a:noFill/>
                            <a:headEnd/>
                            <a:tailEnd/>
                          </a:ln>
                        </pic:spPr>
                      </pic:pic>
                    </a:graphicData>
                  </a:graphic>
                </wp:inline>
              </w:drawing>
            </w:r>
          </w:p>
          <w:p w14:paraId="4906A19D" w14:textId="77777777" w:rsidR="006E2672" w:rsidRDefault="00000000">
            <w:pPr>
              <w:pStyle w:val="ImageCaption"/>
              <w:spacing w:before="200"/>
            </w:pPr>
            <w:r>
              <w:t>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tc>
        <w:bookmarkEnd w:id="37"/>
      </w:tr>
    </w:tbl>
    <w:p w14:paraId="36385D40" w14:textId="77777777" w:rsidR="006E2672" w:rsidRDefault="00000000">
      <w:pPr>
        <w:pStyle w:val="Titre2"/>
      </w:pPr>
      <w:bookmarkStart w:id="39" w:name="X8f6520fb2cd603cd376acac4efc8d29f28e0a7a"/>
      <w:bookmarkEnd w:id="30"/>
      <w:bookmarkEnd w:id="34"/>
      <w:bookmarkEnd w:id="38"/>
      <w:r>
        <w:t>3.2 HW of September 2021 in Quiberon, South Brittany</w:t>
      </w:r>
    </w:p>
    <w:p w14:paraId="2B5E1E4B" w14:textId="77777777" w:rsidR="006E2672" w:rsidRDefault="00000000">
      <w:pPr>
        <w:pStyle w:val="Titre3"/>
      </w:pPr>
      <w:bookmarkStart w:id="40" w:name="spectral-changes"/>
      <w:r>
        <w:t>3.2.1 Spectral changes</w:t>
      </w:r>
    </w:p>
    <w:p w14:paraId="54BCE602" w14:textId="77777777" w:rsidR="006E2672" w:rsidRDefault="00000000">
      <w:pPr>
        <w:pStyle w:val="FirstParagraph"/>
      </w:pPr>
      <w:r>
        <w:t>Sentinel-2 images acquired the 1st and 6th of September 2021 were analysed to assess the short-term impact of a HW on seagrass leaves in South Brittany, France (</w:t>
      </w:r>
      <w:hyperlink w:anchor="fig-S2_comparison">
        <w:r>
          <w:rPr>
            <w:rStyle w:val="Lienhypertexte"/>
          </w:rPr>
          <w:t>Figure 9</w:t>
        </w:r>
      </w:hyperlink>
      <w:r>
        <w:t xml:space="preserve"> A and C). Both an AHW and a MHW occurred during the 2021 summer, from the 4th to the 7th and from the 3rd to the 8th of September, respectively (</w:t>
      </w:r>
      <w:hyperlink w:anchor="fig-S2_comparison">
        <w:r>
          <w:rPr>
            <w:rStyle w:val="Lienhypertexte"/>
          </w:rPr>
          <w:t>Figure 9</w:t>
        </w:r>
      </w:hyperlink>
      <w:r>
        <w:t xml:space="preserve"> B). Within just a few days, the temperature experienced a sharp increase, from 22.2 to 30.8°C in air, and </w:t>
      </w:r>
      <w:r>
        <w:lastRenderedPageBreak/>
        <w:t>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14:paraId="6DD0AE7E" w14:textId="77777777" w:rsidR="006E2672" w:rsidRDefault="00000000">
      <w:pPr>
        <w:pStyle w:val="Corpsdetexte"/>
      </w:pPr>
      <w:r>
        <w:t>Two days after the start of the AHW, the Sentinel-2 image from the 6th of September revealed patches of brown seagrass in the true-color composition (</w:t>
      </w:r>
      <w:hyperlink w:anchor="fig-S2_comparison">
        <w:r>
          <w:rPr>
            <w:rStyle w:val="Lienhypertexte"/>
          </w:rPr>
          <w:t>Figure 9</w:t>
        </w:r>
      </w:hyperlink>
      <w:r>
        <w:t xml:space="preserve"> C). Such brown patches were absent from the image from the 1st of September, taken before the HW began (</w:t>
      </w:r>
      <w:hyperlink w:anchor="fig-S2_comparison">
        <w:r>
          <w:rPr>
            <w:rStyle w:val="Lienhypertexte"/>
          </w:rPr>
          <w:t>Figure 9</w:t>
        </w:r>
      </w:hyperlink>
      <w:r>
        <w:t xml:space="preserve"> A). Before the HW, all QPs appeared green on the Sentinel-2 image, with similar reflectance spectra, typical of green seagrass leaves (</w:t>
      </w:r>
      <w:hyperlink w:anchor="fig-S2_comparison">
        <w:r>
          <w:rPr>
            <w:rStyle w:val="Lienhypertexte"/>
          </w:rPr>
          <w:t>Figure 9</w:t>
        </w:r>
      </w:hyperlink>
      <w:r>
        <w:t xml:space="preserve"> 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Lienhypertexte"/>
          </w:rPr>
          <w:t>Figure 9</w:t>
        </w:r>
      </w:hyperlink>
      <w:r>
        <w:t xml:space="preserve"> 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Lienhypertexte"/>
          </w:rPr>
          <w:t>Figure 9</w:t>
        </w:r>
      </w:hyperlink>
      <w:r>
        <w:t xml:space="preserve"> C)</w:t>
      </w:r>
    </w:p>
    <w:tbl>
      <w:tblPr>
        <w:tblStyle w:val="Table"/>
        <w:tblW w:w="5000" w:type="pct"/>
        <w:tblLayout w:type="fixed"/>
        <w:tblLook w:val="0000" w:firstRow="0" w:lastRow="0" w:firstColumn="0" w:lastColumn="0" w:noHBand="0" w:noVBand="0"/>
      </w:tblPr>
      <w:tblGrid>
        <w:gridCol w:w="9360"/>
      </w:tblGrid>
      <w:tr w:rsidR="006E2672" w14:paraId="1CB289F5" w14:textId="77777777">
        <w:tc>
          <w:tcPr>
            <w:tcW w:w="7920" w:type="dxa"/>
          </w:tcPr>
          <w:p w14:paraId="79C31AD2" w14:textId="77777777" w:rsidR="006E2672" w:rsidRDefault="00000000">
            <w:pPr>
              <w:pStyle w:val="Compact"/>
              <w:jc w:val="center"/>
            </w:pPr>
            <w:bookmarkStart w:id="41" w:name="fig-S2_comparison"/>
            <w:bookmarkStart w:id="42" w:name="cell-fig-S2_comparison"/>
            <w:r>
              <w:rPr>
                <w:noProof/>
              </w:rPr>
              <w:lastRenderedPageBreak/>
              <w:drawing>
                <wp:inline distT="0" distB="0" distL="0" distR="0" wp14:anchorId="61EE8C29" wp14:editId="1783ECCB">
                  <wp:extent cx="5646420" cy="5392331"/>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s/Low_res/Heatwaves_S2_plot.png"/>
                          <pic:cNvPicPr>
                            <a:picLocks noChangeAspect="1" noChangeArrowheads="1"/>
                          </pic:cNvPicPr>
                        </pic:nvPicPr>
                        <pic:blipFill>
                          <a:blip r:embed="rId15"/>
                          <a:stretch>
                            <a:fillRect/>
                          </a:stretch>
                        </pic:blipFill>
                        <pic:spPr bwMode="auto">
                          <a:xfrm>
                            <a:off x="0" y="0"/>
                            <a:ext cx="5646420" cy="5392331"/>
                          </a:xfrm>
                          <a:prstGeom prst="rect">
                            <a:avLst/>
                          </a:prstGeom>
                          <a:noFill/>
                          <a:ln w="9525">
                            <a:noFill/>
                            <a:headEnd/>
                            <a:tailEnd/>
                          </a:ln>
                        </pic:spPr>
                      </pic:pic>
                    </a:graphicData>
                  </a:graphic>
                </wp:inline>
              </w:drawing>
            </w:r>
          </w:p>
          <w:p w14:paraId="4CE8DEA7" w14:textId="77777777" w:rsidR="006E2672" w:rsidRDefault="00000000">
            <w:pPr>
              <w:pStyle w:val="ImageCaption"/>
              <w:spacing w:before="200"/>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w:t>
            </w:r>
            <w:r>
              <w:lastRenderedPageBreak/>
              <w:t>respectively) as identified during the field survey. The shaded areas around the reflectance spectra represent the standard deviation.</w:t>
            </w:r>
          </w:p>
        </w:tc>
        <w:bookmarkEnd w:id="41"/>
      </w:tr>
    </w:tbl>
    <w:p w14:paraId="086334F4" w14:textId="77777777" w:rsidR="006E2672" w:rsidRDefault="00000000">
      <w:pPr>
        <w:pStyle w:val="Titre3"/>
      </w:pPr>
      <w:bookmarkStart w:id="43" w:name="shsi-metric-applied-to-sentinel-2"/>
      <w:bookmarkEnd w:id="40"/>
      <w:bookmarkEnd w:id="42"/>
      <w:r>
        <w:lastRenderedPageBreak/>
        <w:t>3.2.2 SHSI metric applied to Sentinel-2</w:t>
      </w:r>
    </w:p>
    <w:p w14:paraId="60F329EA" w14:textId="77777777" w:rsidR="006E2672" w:rsidRDefault="00000000">
      <w:pPr>
        <w:pStyle w:val="FirstParagraph"/>
      </w:pPr>
      <w:r>
        <w:t xml:space="preserve">Using Sentinel-2 data and the QPs, SHSI of green seagrass areas that appeared unimpacted by the HW (Unimpacted QPs ; </w:t>
      </w:r>
      <w:hyperlink w:anchor="fig-S2_comparison">
        <w:r>
          <w:rPr>
            <w:rStyle w:val="Lienhypertexte"/>
          </w:rPr>
          <w:t>Figure 9</w:t>
        </w:r>
      </w:hyperlink>
      <w:r>
        <w:t xml:space="preserve"> C), showed minimal change between 1st and 6th of September (3 % ; </w:t>
      </w:r>
      <w:hyperlink w:anchor="fig-NDVI_GLI_SPC">
        <w:r>
          <w:rPr>
            <w:rStyle w:val="Lienhypertexte"/>
          </w:rPr>
          <w:t>Figure 10</w:t>
        </w:r>
      </w:hyperlink>
      <w:r>
        <w:t xml:space="preserve">). In contrast, seagrass impacted by the HW that turned brown (Impacted QPs ; </w:t>
      </w:r>
      <w:hyperlink w:anchor="fig-S2_comparison">
        <w:r>
          <w:rPr>
            <w:rStyle w:val="Lienhypertexte"/>
          </w:rPr>
          <w:t>Figure 9</w:t>
        </w:r>
      </w:hyperlink>
      <w:r>
        <w:t xml:space="preserve"> C) exhibited significant SHSI changes, showing an increase of 97 % during the HW exposure (</w:t>
      </w:r>
      <w:hyperlink w:anchor="fig-NDVI_GLI_SPC">
        <w:r>
          <w:rPr>
            <w:rStyle w:val="Lienhypertexte"/>
          </w:rPr>
          <w:t>Figure 10</w:t>
        </w:r>
      </w:hyperlink>
      <w:r>
        <w:t>).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tbl>
      <w:tblPr>
        <w:tblStyle w:val="Table"/>
        <w:tblW w:w="5000" w:type="pct"/>
        <w:tblLayout w:type="fixed"/>
        <w:tblLook w:val="0000" w:firstRow="0" w:lastRow="0" w:firstColumn="0" w:lastColumn="0" w:noHBand="0" w:noVBand="0"/>
      </w:tblPr>
      <w:tblGrid>
        <w:gridCol w:w="9360"/>
      </w:tblGrid>
      <w:tr w:rsidR="006E2672" w14:paraId="7A25F920" w14:textId="77777777">
        <w:tc>
          <w:tcPr>
            <w:tcW w:w="7920" w:type="dxa"/>
          </w:tcPr>
          <w:p w14:paraId="6B9BD577" w14:textId="77777777" w:rsidR="006E2672" w:rsidRDefault="00000000">
            <w:pPr>
              <w:pStyle w:val="Compact"/>
              <w:jc w:val="center"/>
            </w:pPr>
            <w:bookmarkStart w:id="44" w:name="fig-NDVI_GLI_SPC"/>
            <w:bookmarkStart w:id="45" w:name="cell-fig-NDVI_GLI_SPC"/>
            <w:r>
              <w:rPr>
                <w:noProof/>
              </w:rPr>
              <w:drawing>
                <wp:inline distT="0" distB="0" distL="0" distR="0" wp14:anchorId="3B1FF0CD" wp14:editId="5365C622">
                  <wp:extent cx="5646420" cy="282321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s/Low_res/SHSI_S2.png"/>
                          <pic:cNvPicPr>
                            <a:picLocks noChangeAspect="1" noChangeArrowheads="1"/>
                          </pic:cNvPicPr>
                        </pic:nvPicPr>
                        <pic:blipFill>
                          <a:blip r:embed="rId16"/>
                          <a:stretch>
                            <a:fillRect/>
                          </a:stretch>
                        </pic:blipFill>
                        <pic:spPr bwMode="auto">
                          <a:xfrm>
                            <a:off x="0" y="0"/>
                            <a:ext cx="5646420" cy="2823210"/>
                          </a:xfrm>
                          <a:prstGeom prst="rect">
                            <a:avLst/>
                          </a:prstGeom>
                          <a:noFill/>
                          <a:ln w="9525">
                            <a:noFill/>
                            <a:headEnd/>
                            <a:tailEnd/>
                          </a:ln>
                        </pic:spPr>
                      </pic:pic>
                    </a:graphicData>
                  </a:graphic>
                </wp:inline>
              </w:drawing>
            </w:r>
          </w:p>
          <w:p w14:paraId="54591FCE" w14:textId="77777777" w:rsidR="006E2672" w:rsidRDefault="00000000">
            <w:pPr>
              <w:pStyle w:val="ImageCaption"/>
              <w:spacing w:before="200"/>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 </w:t>
            </w:r>
            <w:hyperlink w:anchor="fig-S2_comparison">
              <w:r>
                <w:rPr>
                  <w:rStyle w:val="Lienhypertexte"/>
                </w:rPr>
                <w:t>Figure 9</w:t>
              </w:r>
            </w:hyperlink>
            <w:r>
              <w:t xml:space="preserve">): unimpacted seagrass (green) and impacted seagrass (orange). Points </w:t>
            </w:r>
            <w:r>
              <w:lastRenderedPageBreak/>
              <w:t>represent the estimated value of the SHSI using a GLM, while the error bar represents the 89% confidence interval.</w:t>
            </w:r>
          </w:p>
        </w:tc>
        <w:bookmarkEnd w:id="44"/>
      </w:tr>
    </w:tbl>
    <w:bookmarkEnd w:id="45"/>
    <w:p w14:paraId="1DD331EB" w14:textId="77777777" w:rsidR="006E2672" w:rsidRDefault="00000000">
      <w:pPr>
        <w:pStyle w:val="Corpsdetexte"/>
      </w:pPr>
      <w:r>
        <w:rPr>
          <w:noProof/>
        </w:rPr>
        <w:lastRenderedPageBreak/>
        <w:drawing>
          <wp:inline distT="0" distB="0" distL="0" distR="0" wp14:anchorId="026EE225" wp14:editId="72E6461B">
            <wp:extent cx="4620126" cy="3696101"/>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index_files/figure-docx/gam%20outputs-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4A2ED06C" w14:textId="77777777" w:rsidR="006E2672" w:rsidRDefault="00000000">
      <w:pPr>
        <w:pStyle w:val="Corpsdetexte"/>
      </w:pPr>
      <w:r>
        <w:t>Using the SHSI (</w:t>
      </w:r>
      <w:hyperlink w:anchor="eq-SDI">
        <w:r>
          <w:rPr>
            <w:rStyle w:val="Lienhypertexte"/>
          </w:rPr>
          <w:t>Equation 3</w:t>
        </w:r>
      </w:hyperlink>
      <w:r>
        <w:t>), we detected large darkened seagrass patches in the meadow on 6th of September (</w:t>
      </w:r>
      <w:hyperlink w:anchor="fig-Map_darkening_Bathy">
        <w:r>
          <w:rPr>
            <w:rStyle w:val="Lienhypertexte"/>
          </w:rPr>
          <w:t>Figure 11</w:t>
        </w:r>
      </w:hyperlink>
      <w:r>
        <w:t>).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Lienhypertexte"/>
          </w:rPr>
          <w:t>Figure 11</w:t>
        </w:r>
      </w:hyperlink>
      <w:r>
        <w:t>, A and B). One month later, on 8th of October, the previously darkened areas appeared to have regained their green coloration (</w:t>
      </w:r>
      <w:hyperlink w:anchor="fig-Map_darkening_Bathy">
        <w:r>
          <w:rPr>
            <w:rStyle w:val="Lienhypertexte"/>
          </w:rPr>
          <w:t>Figure 11</w:t>
        </w:r>
      </w:hyperlink>
      <w:r>
        <w:t xml:space="preserve"> C).</w:t>
      </w:r>
    </w:p>
    <w:tbl>
      <w:tblPr>
        <w:tblStyle w:val="Table"/>
        <w:tblW w:w="5000" w:type="pct"/>
        <w:tblLayout w:type="fixed"/>
        <w:tblLook w:val="0000" w:firstRow="0" w:lastRow="0" w:firstColumn="0" w:lastColumn="0" w:noHBand="0" w:noVBand="0"/>
      </w:tblPr>
      <w:tblGrid>
        <w:gridCol w:w="9360"/>
      </w:tblGrid>
      <w:tr w:rsidR="006E2672" w14:paraId="365A1D59" w14:textId="77777777">
        <w:tc>
          <w:tcPr>
            <w:tcW w:w="7920" w:type="dxa"/>
          </w:tcPr>
          <w:p w14:paraId="00FEA717" w14:textId="77777777" w:rsidR="006E2672" w:rsidRDefault="00000000">
            <w:pPr>
              <w:pStyle w:val="Compact"/>
              <w:jc w:val="center"/>
            </w:pPr>
            <w:bookmarkStart w:id="46" w:name="fig-Map_darkening_Bathy"/>
            <w:bookmarkStart w:id="47" w:name="cell-fig-Map_darkening_Bathy"/>
            <w:r>
              <w:rPr>
                <w:noProof/>
              </w:rPr>
              <w:lastRenderedPageBreak/>
              <w:drawing>
                <wp:inline distT="0" distB="0" distL="0" distR="0" wp14:anchorId="071C8183" wp14:editId="6BA120D4">
                  <wp:extent cx="5646420" cy="40767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s/Low_res/SHSI_S2_map.png"/>
                          <pic:cNvPicPr>
                            <a:picLocks noChangeAspect="1" noChangeArrowheads="1"/>
                          </pic:cNvPicPr>
                        </pic:nvPicPr>
                        <pic:blipFill>
                          <a:blip r:embed="rId18"/>
                          <a:stretch>
                            <a:fillRect/>
                          </a:stretch>
                        </pic:blipFill>
                        <pic:spPr bwMode="auto">
                          <a:xfrm>
                            <a:off x="0" y="0"/>
                            <a:ext cx="5646420" cy="4076715"/>
                          </a:xfrm>
                          <a:prstGeom prst="rect">
                            <a:avLst/>
                          </a:prstGeom>
                          <a:noFill/>
                          <a:ln w="9525">
                            <a:noFill/>
                            <a:headEnd/>
                            <a:tailEnd/>
                          </a:ln>
                        </pic:spPr>
                      </pic:pic>
                    </a:graphicData>
                  </a:graphic>
                </wp:inline>
              </w:drawing>
            </w:r>
          </w:p>
          <w:p w14:paraId="445CC764" w14:textId="77777777" w:rsidR="006E2672" w:rsidRDefault="00000000">
            <w:pPr>
              <w:pStyle w:val="ImageCaption"/>
              <w:spacing w:before="200"/>
            </w:pPr>
            <w:r>
              <w:t>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tc>
        <w:bookmarkEnd w:id="46"/>
      </w:tr>
    </w:tbl>
    <w:bookmarkEnd w:id="47"/>
    <w:p w14:paraId="3A24B25A" w14:textId="77777777" w:rsidR="006E2672" w:rsidRDefault="00000000">
      <w:pPr>
        <w:pStyle w:val="Corpsdetexte"/>
      </w:pPr>
      <w:r>
        <w:t>Additionally, there was a clear relationship between seagrass emersion time and seagrass darkening (</w:t>
      </w:r>
      <w:hyperlink w:anchor="fig-GAM_Emersion">
        <w:r>
          <w:rPr>
            <w:rStyle w:val="Lienhypertexte"/>
          </w:rPr>
          <w:t>Figure 12</w:t>
        </w:r>
      </w:hyperlink>
      <w:r>
        <w:t xml:space="preserve"> ; </w:t>
      </w:r>
      <w:hyperlink w:anchor="sec-AnnexeC">
        <w:r>
          <w:rPr>
            <w:rStyle w:val="Lienhypertexte"/>
          </w:rPr>
          <w:t>Section 6.3</w:t>
        </w:r>
      </w:hyperlink>
      <w:r>
        <w:t>). Seagrass emerged during less than 13 hours a day were not impacted, whereas seagrass emerged during more than 13 hours turned brown with the maximum darkening occuring on seagrass emerged during more than 14.5 hours daily.</w:t>
      </w:r>
    </w:p>
    <w:tbl>
      <w:tblPr>
        <w:tblStyle w:val="Table"/>
        <w:tblW w:w="5000" w:type="pct"/>
        <w:tblLayout w:type="fixed"/>
        <w:tblLook w:val="0000" w:firstRow="0" w:lastRow="0" w:firstColumn="0" w:lastColumn="0" w:noHBand="0" w:noVBand="0"/>
      </w:tblPr>
      <w:tblGrid>
        <w:gridCol w:w="9360"/>
      </w:tblGrid>
      <w:tr w:rsidR="006E2672" w14:paraId="2CB2B702" w14:textId="77777777">
        <w:tc>
          <w:tcPr>
            <w:tcW w:w="7920" w:type="dxa"/>
          </w:tcPr>
          <w:p w14:paraId="2CDB0A6D" w14:textId="77777777" w:rsidR="006E2672" w:rsidRDefault="00000000">
            <w:pPr>
              <w:pStyle w:val="Compact"/>
              <w:jc w:val="center"/>
            </w:pPr>
            <w:bookmarkStart w:id="48" w:name="fig-GAM_Emersion"/>
            <w:bookmarkStart w:id="49" w:name="cell-fig-GAM_Emersion"/>
            <w:r>
              <w:rPr>
                <w:noProof/>
              </w:rPr>
              <w:lastRenderedPageBreak/>
              <w:drawing>
                <wp:inline distT="0" distB="0" distL="0" distR="0" wp14:anchorId="1F756598" wp14:editId="75C7465E">
                  <wp:extent cx="5646420" cy="282321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Figs/Low_res/GAM_emersion.png"/>
                          <pic:cNvPicPr>
                            <a:picLocks noChangeAspect="1" noChangeArrowheads="1"/>
                          </pic:cNvPicPr>
                        </pic:nvPicPr>
                        <pic:blipFill>
                          <a:blip r:embed="rId19"/>
                          <a:stretch>
                            <a:fillRect/>
                          </a:stretch>
                        </pic:blipFill>
                        <pic:spPr bwMode="auto">
                          <a:xfrm>
                            <a:off x="0" y="0"/>
                            <a:ext cx="5646420" cy="2823210"/>
                          </a:xfrm>
                          <a:prstGeom prst="rect">
                            <a:avLst/>
                          </a:prstGeom>
                          <a:noFill/>
                          <a:ln w="9525">
                            <a:noFill/>
                            <a:headEnd/>
                            <a:tailEnd/>
                          </a:ln>
                        </pic:spPr>
                      </pic:pic>
                    </a:graphicData>
                  </a:graphic>
                </wp:inline>
              </w:drawing>
            </w:r>
          </w:p>
          <w:p w14:paraId="6A2BC85E" w14:textId="77777777" w:rsidR="006E2672" w:rsidRDefault="00000000">
            <w:pPr>
              <w:pStyle w:val="ImageCaption"/>
              <w:spacing w:before="200"/>
            </w:pPr>
            <w:r>
              <w:t>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tc>
        <w:bookmarkEnd w:id="48"/>
      </w:tr>
    </w:tbl>
    <w:p w14:paraId="5F23A10A" w14:textId="77777777" w:rsidR="006E2672" w:rsidRDefault="00000000">
      <w:pPr>
        <w:pStyle w:val="Titre1"/>
      </w:pPr>
      <w:bookmarkStart w:id="50" w:name="discussion"/>
      <w:bookmarkEnd w:id="29"/>
      <w:bookmarkEnd w:id="39"/>
      <w:bookmarkEnd w:id="43"/>
      <w:bookmarkEnd w:id="49"/>
      <w:r>
        <w:t>4. Discussion</w:t>
      </w:r>
    </w:p>
    <w:p w14:paraId="74E5EA40" w14:textId="77777777" w:rsidR="006E2672" w:rsidRDefault="00000000">
      <w:pPr>
        <w:pStyle w:val="Titre2"/>
      </w:pPr>
      <w:bookmarkStart w:id="51" w:name="Xb7f7f02f8dbcb55c30d8a7e7a31bd5d7dbd38a5"/>
      <w:r>
        <w:t xml:space="preserve">4.1 Effect of heatwaves on </w:t>
      </w:r>
      <w:r>
        <w:rPr>
          <w:i/>
          <w:iCs/>
        </w:rPr>
        <w:t>Zostera noltei</w:t>
      </w:r>
      <w:r>
        <w:t xml:space="preserve"> reflectance</w:t>
      </w:r>
    </w:p>
    <w:p w14:paraId="33588F7D" w14:textId="77777777" w:rsidR="006E2672" w:rsidRDefault="00000000">
      <w:pPr>
        <w:pStyle w:val="FirstParagraph"/>
      </w:pPr>
      <w:r>
        <w:t>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Lienhypertexte"/>
          </w:rPr>
          <w:t>Figure 7</w:t>
        </w:r>
      </w:hyperlink>
      <w:r>
        <w:t>) and of the second derivative at 665 nm (R’’665), NDVI, and GLI (</w:t>
      </w:r>
      <w:hyperlink w:anchor="fig-Exp_Spectral_indices">
        <w:r>
          <w:rPr>
            <w:rStyle w:val="Lienhypertexte"/>
          </w:rPr>
          <w:t>Figure 7</w:t>
        </w:r>
      </w:hyperlink>
      <w:r>
        <w:t xml:space="preserve"> A, B &amp; C) indexes. By contrast, SHSI showed a marked increase, reaching up to 600% for some samples by day 3 (</w:t>
      </w:r>
      <w:hyperlink w:anchor="fig-Exp_Spectral_indices">
        <w:r>
          <w:rPr>
            <w:rStyle w:val="Lienhypertexte"/>
          </w:rPr>
          <w:t>Figure 7</w:t>
        </w:r>
      </w:hyperlink>
      <w:r>
        <w:t xml:space="preserve"> 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w:t>
      </w:r>
      <w:r>
        <w:lastRenderedPageBreak/>
        <w:t>mainly related with the destruction of the membranes (chloroplasts, thylakoids, cell walls) due to thermal oxidative stress, and the consequent decrease of light scattering through the leaf surface (Knipling, 1970). The leaf darkening observed in plants subjected to thermal stress was mainly explained by the oxidation of phenolic compounds by the enzyme polyphenol oxidase and with a damage of the photosynthetic apparatus (Allakhverdiev et al., 2008). High temperatures destabilize chloroplasts membranes, disrupting photosystem II and impairing recovery of photosynthetic function. As chlorophyll-a degrades, the ratio of pigments shifts, with pigments like carotenoids becoming more prominent (Dascaliuc et al., 2007; Jones and Clayton-Greene, 1992). These processes can eventually result in growth impairment and plant death.</w:t>
      </w:r>
    </w:p>
    <w:p w14:paraId="67857A29" w14:textId="77777777" w:rsidR="006E2672" w:rsidRDefault="00000000">
      <w:pPr>
        <w:pStyle w:val="Corpsdetexte"/>
      </w:pPr>
      <w:r>
        <w:t>The Seagrass Heat Shock Index (</w:t>
      </w:r>
      <w:hyperlink w:anchor="eq-SDI">
        <w:r>
          <w:rPr>
            <w:rStyle w:val="Lienhypertexte"/>
          </w:rPr>
          <w:t>Equation 3</w:t>
        </w:r>
      </w:hyperlink>
      <w:r>
        <w:t>) developed in this study makes it possible to detect reductions in the green and the Red-Edge regions caused by thermal stress using only three reflectance bands (560 740 and 840 nm). These spectral bands are available in current (i.e. Sentinel-2, Pleiades-Neo, WorldView-3, SkySat,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p w14:paraId="06AC693D" w14:textId="77777777" w:rsidR="006E2672" w:rsidRDefault="00000000">
      <w:pPr>
        <w:pStyle w:val="Titre2"/>
      </w:pPr>
      <w:bookmarkStart w:id="52" w:name="X9241c7e1de5a94cee1951b46be3852b40e2741d"/>
      <w:bookmarkEnd w:id="51"/>
      <w:r>
        <w:t>4.2 Satellite observations of HW effects on intertidal seagrass</w:t>
      </w:r>
    </w:p>
    <w:p w14:paraId="1F4E03AE" w14:textId="77777777" w:rsidR="006E2672" w:rsidRDefault="00000000">
      <w:pPr>
        <w:pStyle w:val="FirstParagraph"/>
      </w:pPr>
      <w:r>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analyse of satellite images in Quiberon Bay during the 2021 HW revealed that most of the meadow darkening took place in the upper intertidal </w:t>
      </w:r>
      <w:r>
        <w:lastRenderedPageBreak/>
        <w:t xml:space="preserve">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 Field observations further revealed that leaf detachment began after the heatwave, causing an apparent decline in seagrass density at the upper intertidal. </w:t>
      </w:r>
      <w:r>
        <w:rPr>
          <w:i/>
          <w:iCs/>
        </w:rPr>
        <w:t>Zostera noltei</w:t>
      </w:r>
      <w:r>
        <w:t>, as a species inhabiting the intertidal zone and regularly exposed to air, has developed adaptations to minimize hydric stress, such as its narrow leaves, which help reduce water loss during air exposure periods (Cabaço et al., 2009). Nonetheless, if plants at the upper subtidal are exposed to intense heating and irradiance for prolonged periods, these mechanisms may not be able to prevent degradation of photosynthetic pigments, decreases in photosynthetic capacity and tissue degradation.</w:t>
      </w:r>
    </w:p>
    <w:p w14:paraId="0EEFFEBC" w14:textId="77777777" w:rsidR="006E2672" w:rsidRDefault="00000000">
      <w:pPr>
        <w:pStyle w:val="Corpsdetexte"/>
      </w:pPr>
      <w:r>
        <w:t>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w:t>
      </w:r>
      <w:hyperlink w:anchor="fig-NDVI_GLI_SPC">
        <w:r>
          <w:rPr>
            <w:rStyle w:val="Lienhypertexte"/>
          </w:rPr>
          <w:t>Figure 10</w:t>
        </w:r>
      </w:hyperlink>
      <w:r>
        <w:t xml:space="preserve">). NDVI is commonly used as a proxy for seagrass cover (Davies et al., 2024a; Zoffoli et al., 2020),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 </w:t>
      </w:r>
      <w:hyperlink w:anchor="fig-QuiberonImg">
        <w:r>
          <w:rPr>
            <w:rStyle w:val="Lienhypertexte"/>
          </w:rPr>
          <w:t>Figure 5</w:t>
        </w:r>
      </w:hyperlink>
      <w:r>
        <w:t xml:space="preserve">). This discrepancy underscores a potential limitation of </w:t>
      </w:r>
      <w:r>
        <w:lastRenderedPageBreak/>
        <w:t>remote sensing in accurately capturing true seagrass cover during stress events. We demonstrate that such bias could be corrected by the combined analysis of both NDVI and SHSI indices, as proxies of seagrass cover and heatwave impact.</w:t>
      </w:r>
    </w:p>
    <w:p w14:paraId="280C2194" w14:textId="77777777" w:rsidR="006E2672" w:rsidRDefault="00000000">
      <w:pPr>
        <w:pStyle w:val="Corpsdetexte"/>
      </w:pPr>
      <w:r>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 </w:t>
      </w:r>
      <w:r>
        <w:rPr>
          <w:i/>
          <w:iCs/>
        </w:rPr>
        <w:t>Z. noltei</w:t>
      </w:r>
      <w:r>
        <w:t xml:space="preserve"> patches after thermal disturbance. </w:t>
      </w:r>
      <w:r>
        <w:rPr>
          <w:i/>
          <w:iCs/>
        </w:rPr>
        <w:t>Zostera noltei</w:t>
      </w:r>
      <w:r>
        <w:t xml:space="preserve"> is a dynamic, fast-growing colonizer species (Roca et al., 2016), with fast leaf turnover times and growth rates (Borum et al., 2004) and fast rhizome elongation rates (Duarte, 1991). The return to green color in some parts of the meadow after recovery might be due to new leaf growth, which was likely sustained by the energy reserves of the surviving below ground biomass (Hemminga, 1998).</w:t>
      </w:r>
    </w:p>
    <w:p w14:paraId="7470F5D7" w14:textId="77777777" w:rsidR="006E2672" w:rsidRDefault="00000000">
      <w:pPr>
        <w:pStyle w:val="Titre2"/>
      </w:pPr>
      <w:bookmarkStart w:id="53" w:name="X729e0e9cf0ae04acbfe1544e67ed14357344b2c"/>
      <w:bookmarkEnd w:id="52"/>
      <w:r>
        <w:t xml:space="preserve">4.3 Ecological implications of heatwaves impact on </w:t>
      </w:r>
      <w:r>
        <w:rPr>
          <w:i/>
          <w:iCs/>
        </w:rPr>
        <w:t>Zostera noltei</w:t>
      </w:r>
    </w:p>
    <w:p w14:paraId="2C943976" w14:textId="77777777" w:rsidR="006E2672" w:rsidRDefault="00000000">
      <w:pPr>
        <w:pStyle w:val="FirstParagraph"/>
      </w:pPr>
      <w:r>
        <w:t xml:space="preserve">In the present study we observed that heatwave-driven thermal stress changed the spectral reflectance of </w:t>
      </w:r>
      <w:r>
        <w:rPr>
          <w:i/>
          <w:iCs/>
        </w:rPr>
        <w:t>Z. noltei</w:t>
      </w:r>
      <w:r>
        <w:t xml:space="preserve"> leaves, indicating photosynthetic pigments degradation, with potential negative consequences on health, growth and survival of the above ground biomass. In this sense, previous experiments on the effects of warming on </w:t>
      </w:r>
      <w:r>
        <w:rPr>
          <w:i/>
          <w:iCs/>
        </w:rPr>
        <w:t>Zostera noltei</w:t>
      </w:r>
      <w:r>
        <w:t xml:space="preserve"> have shown contrasting results, depending on the duration and intensity of heating. In some cases, there were no significant changes in photosynthetic performance or survival under short-term moderate stress (Franssen et al., 2014), or quaunder gradual temperature increases (Román et al., 2022). By contrast, studies focused on extreme temperature events have evidenced decreases of photosynthetic performance and leaf tissue integrity (Massa et al., 2009; Román et al., 2023). Therefore, our findings, jointly with previous research, suggest that </w:t>
      </w:r>
      <w:r>
        <w:rPr>
          <w:i/>
          <w:iCs/>
        </w:rPr>
        <w:t>Z. noltei</w:t>
      </w:r>
      <w:r>
        <w:t xml:space="preserve"> meadows at the upper intertidal could be a vulnerable species under the future global warming scenarios, in </w:t>
      </w:r>
      <w:r>
        <w:lastRenderedPageBreak/>
        <w:t>which heatwaves will be more frequent and intense (Climate Change (IPCC), 2023; Stillman, 2019).</w:t>
      </w:r>
    </w:p>
    <w:p w14:paraId="4D6D1D30" w14:textId="77777777" w:rsidR="006E2672" w:rsidRDefault="00000000">
      <w:pPr>
        <w:pStyle w:val="Corpsdetexte"/>
      </w:pPr>
      <w:r>
        <w:t>The observed tissue degradation, both in the laboratory experiment and the field, can eventually result in decreases of meadows density and cover under recurrent heatwaves. This decline could have cascading effect on species that rely on the provision of refuge and/or food by the seagrass canopy (Zoffoli et al., 2023). Commercially important fish and shellfish populations that rely on seagrass for sustenance and refuge could also be impacted, with negative consequences on local fisheries’ productivity and the livelihoods of coastal communities (Unsworth and Cullen-Unsworth, 2014). Furthermore, as seagrass meadows decline, their capacity to act as a blue carbon sink—critical for climate mitigation—could diminish, contributing to increased atmospheric carbon levels (Armitage and Fourqurean, 2016; Samper-Villarreal et al., 2020). Moreover, the sediment stabilization and wave attenuation could be hampered, ultimately increasing the risk of coastal erosion (Calleja et al., 2007; Folmer et al., 2012; Gacia et al., 1999).</w:t>
      </w:r>
    </w:p>
    <w:p w14:paraId="6E05928D" w14:textId="77777777" w:rsidR="006E2672" w:rsidRDefault="00000000">
      <w:pPr>
        <w:pStyle w:val="Corpsdetexte"/>
      </w:pPr>
      <w:r>
        <w:t>Given the combined effects of temperature extremes, eutrophication, and other anthropogenic pressures, targeted management strategies are essential for enhancing seagrass resilience (Loarie et al., 2009).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p w14:paraId="66D41C70" w14:textId="77777777" w:rsidR="006E2672" w:rsidRDefault="00000000">
      <w:pPr>
        <w:pStyle w:val="Titre1"/>
      </w:pPr>
      <w:bookmarkStart w:id="54" w:name="conclusion"/>
      <w:bookmarkEnd w:id="50"/>
      <w:bookmarkEnd w:id="53"/>
      <w:r>
        <w:t>5. Conclusion</w:t>
      </w:r>
    </w:p>
    <w:p w14:paraId="7253E035" w14:textId="77777777" w:rsidR="006E2672" w:rsidRDefault="00000000">
      <w:pPr>
        <w:pStyle w:val="FirstParagraph"/>
      </w:pPr>
      <w:r>
        <w:t xml:space="preserve">This research investigated the effects of both marine and atmospheric heatwaves on the intertidal seagrass </w:t>
      </w:r>
      <w:r>
        <w:rPr>
          <w:i/>
          <w:iCs/>
        </w:rPr>
        <w:t>Zostera noltei</w:t>
      </w:r>
      <w:r>
        <w:t xml:space="preserve">, a critical component of coastal ecosystems facing </w:t>
      </w:r>
      <w:r>
        <w:lastRenderedPageBreak/>
        <w:t>increased thermal stress due to climate change. Heat stress effects on seagrass reflectance were documented in the laboratory using a controlled experiment in order to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an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p w14:paraId="16CD4432" w14:textId="77777777" w:rsidR="006E2672" w:rsidRDefault="00000000">
      <w:pPr>
        <w:pStyle w:val="Titre1"/>
      </w:pPr>
      <w:bookmarkStart w:id="55" w:name="annexes"/>
      <w:bookmarkEnd w:id="54"/>
      <w:r>
        <w:lastRenderedPageBreak/>
        <w:t>6. Annexes</w:t>
      </w:r>
    </w:p>
    <w:p w14:paraId="5BBDFE37" w14:textId="77777777" w:rsidR="006E2672" w:rsidRDefault="00000000">
      <w:pPr>
        <w:pStyle w:val="Titre2"/>
      </w:pPr>
      <w:bookmarkStart w:id="56" w:name="sec-AnnexeA"/>
      <w:r>
        <w:t>6.1 Annexes A - Temperatures of the experiment</w:t>
      </w:r>
    </w:p>
    <w:p w14:paraId="22CE6BD5" w14:textId="77777777" w:rsidR="006E2672" w:rsidRDefault="00000000">
      <w:pPr>
        <w:pStyle w:val="CaptionedFigure"/>
      </w:pPr>
      <w:r>
        <w:rPr>
          <w:noProof/>
        </w:rPr>
        <w:drawing>
          <wp:inline distT="0" distB="0" distL="0" distR="0" wp14:anchorId="78E36F4B" wp14:editId="483186DB">
            <wp:extent cx="5943600" cy="5943600"/>
            <wp:effectExtent l="0" t="0" r="0" b="0"/>
            <wp:docPr id="118" name="Picture"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wp:cNvGraphicFramePr/>
            <a:graphic xmlns:a="http://schemas.openxmlformats.org/drawingml/2006/main">
              <a:graphicData uri="http://schemas.openxmlformats.org/drawingml/2006/picture">
                <pic:pic xmlns:pic="http://schemas.openxmlformats.org/drawingml/2006/picture">
                  <pic:nvPicPr>
                    <pic:cNvPr id="119" name="Picture" descr="Figs/High_res/Temperature_compare.png"/>
                    <pic:cNvPicPr>
                      <a:picLocks noChangeAspect="1" noChangeArrowheads="1"/>
                    </pic:cNvPicPr>
                  </pic:nvPicPr>
                  <pic:blipFill>
                    <a:blip r:embed="rId20"/>
                    <a:stretch>
                      <a:fillRect/>
                    </a:stretch>
                  </pic:blipFill>
                  <pic:spPr bwMode="auto">
                    <a:xfrm>
                      <a:off x="0" y="0"/>
                      <a:ext cx="5943600" cy="5943600"/>
                    </a:xfrm>
                    <a:prstGeom prst="rect">
                      <a:avLst/>
                    </a:prstGeom>
                    <a:noFill/>
                    <a:ln w="9525">
                      <a:noFill/>
                      <a:headEnd/>
                      <a:tailEnd/>
                    </a:ln>
                  </pic:spPr>
                </pic:pic>
              </a:graphicData>
            </a:graphic>
          </wp:inline>
        </w:drawing>
      </w:r>
    </w:p>
    <w:p w14:paraId="640B9AC6" w14:textId="77777777" w:rsidR="006E2672" w:rsidRDefault="00000000">
      <w:pPr>
        <w:pStyle w:val="ImageCaption"/>
      </w:pPr>
      <w:r>
        <w:t>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14:paraId="2C3D9A50" w14:textId="77777777" w:rsidR="006E2672" w:rsidRDefault="00000000">
      <w:pPr>
        <w:pStyle w:val="Corpsdetexte"/>
      </w:pPr>
      <w:r>
        <w:t xml:space="preserve">On average, </w:t>
      </w:r>
      <w:r>
        <w:rPr>
          <w:i/>
          <w:iCs/>
        </w:rPr>
        <w:t>in situ</w:t>
      </w:r>
      <w:r>
        <w:t xml:space="preserve"> temperatures were 3 ± 3.2°C higher than those recorded by Meteo France. Additionally, temperatures recorded by Meteo France were more stable </w:t>
      </w:r>
      <w:r>
        <w:lastRenderedPageBreak/>
        <w:t xml:space="preserve">than those from the </w:t>
      </w:r>
      <w:r>
        <w:rPr>
          <w:i/>
          <w:iCs/>
        </w:rPr>
        <w:t>in situ</w:t>
      </w:r>
      <w:r>
        <w:t xml:space="preserve"> sensors, likely due to the sheltered and shaded location of the Meteo France equipment. This difference was used to adjust heatwave temperatures measured by Meteo France to better reflect the conditions experienced by the seagrasses.</w:t>
      </w:r>
    </w:p>
    <w:p w14:paraId="5255B69E" w14:textId="77777777" w:rsidR="006E2672" w:rsidRDefault="00000000">
      <w:pPr>
        <w:pStyle w:val="Titre2"/>
      </w:pPr>
      <w:bookmarkStart w:id="57" w:name="sec-AnnexeB"/>
      <w:bookmarkEnd w:id="56"/>
      <w:r>
        <w:t>6.2 Annexes B - Outputs of GLMM</w:t>
      </w:r>
    </w:p>
    <w:tbl>
      <w:tblPr>
        <w:tblStyle w:val="Table"/>
        <w:tblW w:w="5000" w:type="pct"/>
        <w:tblLayout w:type="fixed"/>
        <w:tblLook w:val="0000" w:firstRow="0" w:lastRow="0" w:firstColumn="0" w:lastColumn="0" w:noHBand="0" w:noVBand="0"/>
      </w:tblPr>
      <w:tblGrid>
        <w:gridCol w:w="9360"/>
      </w:tblGrid>
      <w:tr w:rsidR="006E2672" w14:paraId="35E45357" w14:textId="77777777">
        <w:tc>
          <w:tcPr>
            <w:tcW w:w="7920" w:type="dxa"/>
          </w:tcPr>
          <w:p w14:paraId="3D4BB725" w14:textId="77777777" w:rsidR="006E2672" w:rsidRDefault="00000000">
            <w:pPr>
              <w:pStyle w:val="ImageCaption"/>
              <w:spacing w:before="200"/>
            </w:pPr>
            <w:bookmarkStart w:id="58" w:name="tbl-GLMM"/>
            <w:r>
              <w:t>Table 1: Outputs of the Generalised Linear model assessing the relationship between time (days) and the relative change to the control of different vegetation indices (</w:t>
            </w:r>
            <w:hyperlink w:anchor="fig-Exp_Spectral_indices">
              <w:r>
                <w:rPr>
                  <w:rStyle w:val="Lienhypertexte"/>
                </w:rPr>
                <w:t>Figure 7</w:t>
              </w:r>
            </w:hyperlink>
            <w:r>
              <w:t>, Second Derivative, NDVI, GLI, and SHSI). Each index has two terms: Intercept and Slope. The Intercept represents the expected value of the index at the reference time point (e.g., day 0), while the Slope quantifies the effect of time,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Bulk_ESS and Tail_ESS denote the effective sample sizes for bulk estimation and tail uncertainty, respectively, reflecting the reliability of the posterior estimates.</w:t>
            </w:r>
          </w:p>
          <w:tbl>
            <w:tblPr>
              <w:tblW w:w="4750" w:type="pct"/>
              <w:jc w:val="center"/>
              <w:tblLook w:val="0420" w:firstRow="1" w:lastRow="0" w:firstColumn="0" w:lastColumn="0" w:noHBand="0" w:noVBand="1"/>
            </w:tblPr>
            <w:tblGrid>
              <w:gridCol w:w="966"/>
              <w:gridCol w:w="966"/>
              <w:gridCol w:w="965"/>
              <w:gridCol w:w="965"/>
              <w:gridCol w:w="965"/>
              <w:gridCol w:w="965"/>
              <w:gridCol w:w="965"/>
              <w:gridCol w:w="965"/>
              <w:gridCol w:w="965"/>
            </w:tblGrid>
            <w:tr w:rsidR="006E2672" w14:paraId="0CF17A38" w14:textId="77777777">
              <w:trPr>
                <w:tblHeader/>
                <w:jc w:val="center"/>
              </w:trPr>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BDE7E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Index</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72EA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Term</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44FE41"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Estimate</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DAD1B0"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Std.Error</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AB311F"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Lower 95% CI</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88201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Upper 95% CI</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44FF0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Rhat</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F8B18B"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Bulk_ESS</w:t>
                  </w:r>
                </w:p>
              </w:tc>
              <w:tc>
                <w:tcPr>
                  <w:tcW w:w="3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C000F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Tail_ESS</w:t>
                  </w:r>
                </w:p>
              </w:tc>
            </w:tr>
            <w:tr w:rsidR="006E2672" w14:paraId="6A47FE7B" w14:textId="77777777">
              <w:trPr>
                <w:jc w:val="center"/>
              </w:trPr>
              <w:tc>
                <w:tcPr>
                  <w:tcW w:w="36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EA673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Second Derivative</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5D37E"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Intercept</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0F329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0.54</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14659B"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ABF4E"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D9DE90"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1.29</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3C223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FA5587"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5,296.50</w:t>
                  </w:r>
                </w:p>
              </w:tc>
              <w:tc>
                <w:tcPr>
                  <w:tcW w:w="3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AFEDF1"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3,668.84</w:t>
                  </w:r>
                </w:p>
              </w:tc>
            </w:tr>
            <w:tr w:rsidR="006E2672" w14:paraId="7A30D762" w14:textId="77777777">
              <w:trPr>
                <w:jc w:val="center"/>
              </w:trPr>
              <w:tc>
                <w:tcPr>
                  <w:tcW w:w="36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FA9CE8" w14:textId="77777777" w:rsidR="006E2672" w:rsidRDefault="006E26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626386"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Slope</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90CD17"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8DB26"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0.04</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9C1AF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-0.48</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C27D1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-0.34</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45F0F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3AE9A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31,580.27</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21CFE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12,321.97</w:t>
                  </w:r>
                </w:p>
              </w:tc>
            </w:tr>
            <w:tr w:rsidR="006E2672" w14:paraId="42644BF9" w14:textId="77777777">
              <w:trPr>
                <w:jc w:val="center"/>
              </w:trPr>
              <w:tc>
                <w:tcPr>
                  <w:tcW w:w="36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C3B2FA"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NDVI</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B5FBB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Intercept</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86354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B5EB09"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068BB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2BB8D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5EC83A"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3434D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3,436.59</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CA2F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2,239.77</w:t>
                  </w:r>
                </w:p>
              </w:tc>
            </w:tr>
            <w:tr w:rsidR="006E2672" w14:paraId="734129CE" w14:textId="77777777">
              <w:trPr>
                <w:jc w:val="center"/>
              </w:trPr>
              <w:tc>
                <w:tcPr>
                  <w:tcW w:w="36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C3676D" w14:textId="77777777" w:rsidR="006E2672" w:rsidRDefault="006E26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637D8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Slope</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D2FE47"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71D50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05D199"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46979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1B6B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3AB1C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32,903.97</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C283A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13,585.03</w:t>
                  </w:r>
                </w:p>
              </w:tc>
            </w:tr>
            <w:tr w:rsidR="006E2672" w14:paraId="3FE1527E" w14:textId="77777777">
              <w:trPr>
                <w:jc w:val="center"/>
              </w:trPr>
              <w:tc>
                <w:tcPr>
                  <w:tcW w:w="36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EDAE0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GLI</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96B67"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Intercept</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DA1EB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0.20</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DA2E14"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265AA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0AB0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0.77</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5D4C9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50D131"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3,953.87</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761A7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2,318.63</w:t>
                  </w:r>
                </w:p>
              </w:tc>
            </w:tr>
            <w:tr w:rsidR="006E2672" w14:paraId="0A7F2308" w14:textId="77777777">
              <w:trPr>
                <w:jc w:val="center"/>
              </w:trPr>
              <w:tc>
                <w:tcPr>
                  <w:tcW w:w="36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2685C3" w14:textId="77777777" w:rsidR="006E2672" w:rsidRDefault="006E26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E6697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Slope</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6831E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-0.26</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50201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EB3D9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-0.32</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A7792B"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-0.20</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E024E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3F02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27,154.17</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500FE9"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13,247.23</w:t>
                  </w:r>
                </w:p>
              </w:tc>
            </w:tr>
            <w:tr w:rsidR="006E2672" w14:paraId="3A056621" w14:textId="77777777">
              <w:trPr>
                <w:jc w:val="center"/>
              </w:trPr>
              <w:tc>
                <w:tcPr>
                  <w:tcW w:w="36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6FA506"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SHSI</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ABD1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Intercept</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D4A9AA"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-1.65</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7DD33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1.03</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1C097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-3.84</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A508E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0.37</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546A80"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869AD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7,862.03</w:t>
                  </w:r>
                </w:p>
              </w:tc>
              <w:tc>
                <w:tcPr>
                  <w:tcW w:w="3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EE60D4"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8,468.20</w:t>
                  </w:r>
                </w:p>
              </w:tc>
            </w:tr>
            <w:tr w:rsidR="006E2672" w14:paraId="08D5FC14" w14:textId="77777777">
              <w:trPr>
                <w:jc w:val="center"/>
              </w:trPr>
              <w:tc>
                <w:tcPr>
                  <w:tcW w:w="360"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2BD3E8" w14:textId="77777777" w:rsidR="006E2672" w:rsidRDefault="006E26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6D55E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Slope</w:t>
                  </w: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856B0A"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683C97"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0.20</w:t>
                  </w: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E9648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1.42</w:t>
                  </w: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C1F8F1"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2.22</w:t>
                  </w: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77F8F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w:t>
                  </w: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97C7AA"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24,434.98</w:t>
                  </w:r>
                </w:p>
              </w:tc>
              <w:tc>
                <w:tcPr>
                  <w:tcW w:w="3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D3C914"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13,093.41</w:t>
                  </w:r>
                </w:p>
              </w:tc>
            </w:tr>
            <w:bookmarkEnd w:id="58"/>
          </w:tbl>
          <w:p w14:paraId="14344FC1" w14:textId="77777777" w:rsidR="00000000" w:rsidRDefault="00000000">
            <w:pPr>
              <w:spacing w:after="0"/>
              <w:rPr>
                <w:rFonts w:asciiTheme="minorHAnsi" w:hAnsiTheme="minorHAnsi"/>
              </w:rPr>
            </w:pPr>
          </w:p>
        </w:tc>
      </w:tr>
    </w:tbl>
    <w:p w14:paraId="135DFB3D" w14:textId="77777777" w:rsidR="006E2672" w:rsidRDefault="00000000">
      <w:pPr>
        <w:pStyle w:val="Titre2"/>
      </w:pPr>
      <w:bookmarkStart w:id="59" w:name="sec-AnnexeC"/>
      <w:bookmarkEnd w:id="57"/>
      <w:r>
        <w:lastRenderedPageBreak/>
        <w:t>6.3 Annexes C - Outputs of GAM</w:t>
      </w:r>
    </w:p>
    <w:tbl>
      <w:tblPr>
        <w:tblStyle w:val="Table"/>
        <w:tblW w:w="5000" w:type="pct"/>
        <w:tblLayout w:type="fixed"/>
        <w:tblLook w:val="0000" w:firstRow="0" w:lastRow="0" w:firstColumn="0" w:lastColumn="0" w:noHBand="0" w:noVBand="0"/>
      </w:tblPr>
      <w:tblGrid>
        <w:gridCol w:w="9360"/>
      </w:tblGrid>
      <w:tr w:rsidR="006E2672" w14:paraId="03F3F1CB" w14:textId="77777777">
        <w:tc>
          <w:tcPr>
            <w:tcW w:w="7920" w:type="dxa"/>
          </w:tcPr>
          <w:p w14:paraId="177C0358" w14:textId="77777777" w:rsidR="006E2672" w:rsidRDefault="00000000">
            <w:pPr>
              <w:pStyle w:val="ImageCaption"/>
              <w:spacing w:before="200"/>
            </w:pPr>
            <w:bookmarkStart w:id="60" w:name="tbl-GAM"/>
            <w:r>
              <w:t>Table 2: Outputs of the Generalized Additive Model (GAM) assessing the relationship between emersion time per day (hours) and the relative change in SHSI (</w:t>
            </w:r>
            <w:hyperlink w:anchor="fig-GAM_Emersion">
              <w:r>
                <w:rPr>
                  <w:rStyle w:val="Lienhypertexte"/>
                </w:rPr>
                <w:t>Figure 12</w:t>
              </w:r>
            </w:hyperlink>
            <w:r>
              <w:t>). The Intercept represents the expected SHSI value at the reference level of emersion time. The Estimate indicates the mean effect, with its Standard Error quantifying variability. The t-value and p-value assess statistical significance. The smooth term captures the nonlinear effect of emersion time, where the effective degrees of freedom (edf) reflect the function’s complexity. The F-value and p-value evaluate the significance of this effect. Model fit is described by the adjusted R², deviance explained, and Generalized Cross-Validation (GCV) score, while N represents the sample size.</w:t>
            </w:r>
          </w:p>
          <w:tbl>
            <w:tblPr>
              <w:tblW w:w="0" w:type="auto"/>
              <w:jc w:val="center"/>
              <w:tblLayout w:type="fixed"/>
              <w:tblLook w:val="0420" w:firstRow="1" w:lastRow="0" w:firstColumn="0" w:lastColumn="0" w:noHBand="0" w:noVBand="1"/>
            </w:tblPr>
            <w:tblGrid>
              <w:gridCol w:w="2881"/>
              <w:gridCol w:w="2489"/>
              <w:gridCol w:w="1328"/>
              <w:gridCol w:w="1364"/>
              <w:gridCol w:w="1206"/>
              <w:gridCol w:w="1181"/>
              <w:gridCol w:w="576"/>
            </w:tblGrid>
            <w:tr w:rsidR="006E2672" w14:paraId="10E4CDC4" w14:textId="77777777">
              <w:trPr>
                <w:tblHeader/>
                <w:jc w:val="center"/>
              </w:trPr>
              <w:tc>
                <w:tcPr>
                  <w:tcW w:w="28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98F29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Component</w:t>
                  </w:r>
                </w:p>
              </w:tc>
              <w:tc>
                <w:tcPr>
                  <w:tcW w:w="2489"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59EE6AB"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Term</w:t>
                  </w:r>
                </w:p>
              </w:tc>
              <w:tc>
                <w:tcPr>
                  <w:tcW w:w="1328"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C03EBDD"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Estimate</w:t>
                  </w:r>
                </w:p>
              </w:tc>
              <w:tc>
                <w:tcPr>
                  <w:tcW w:w="1364"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D7C4A8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Std Error</w:t>
                  </w:r>
                </w:p>
              </w:tc>
              <w:tc>
                <w:tcPr>
                  <w:tcW w:w="120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444E07"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t-value</w:t>
                  </w:r>
                </w:p>
              </w:tc>
              <w:tc>
                <w:tcPr>
                  <w:tcW w:w="11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B721784"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p-value</w:t>
                  </w:r>
                </w:p>
              </w:tc>
              <w:tc>
                <w:tcPr>
                  <w:tcW w:w="57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2FD0CE8" w14:textId="77777777" w:rsidR="006E2672" w:rsidRDefault="006E26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r>
            <w:tr w:rsidR="006E2672" w14:paraId="7C96A562" w14:textId="77777777">
              <w:trPr>
                <w:jc w:val="center"/>
              </w:trPr>
              <w:tc>
                <w:tcPr>
                  <w:tcW w:w="28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tcPr>
                <w:p w14:paraId="34B6957F"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 parametric coefficients</w:t>
                  </w:r>
                </w:p>
              </w:tc>
              <w:tc>
                <w:tcPr>
                  <w:tcW w:w="2489"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B91F2F1"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(Intercept)</w:t>
                  </w:r>
                </w:p>
              </w:tc>
              <w:tc>
                <w:tcPr>
                  <w:tcW w:w="1328"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921DE2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0.488</w:t>
                  </w:r>
                </w:p>
              </w:tc>
              <w:tc>
                <w:tcPr>
                  <w:tcW w:w="1364"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354F08F"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0.006</w:t>
                  </w:r>
                </w:p>
              </w:tc>
              <w:tc>
                <w:tcPr>
                  <w:tcW w:w="120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9D8F1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81.574</w:t>
                  </w:r>
                </w:p>
              </w:tc>
              <w:tc>
                <w:tcPr>
                  <w:tcW w:w="11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38749FB"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&lt;0.0001</w:t>
                  </w:r>
                </w:p>
              </w:tc>
              <w:tc>
                <w:tcPr>
                  <w:tcW w:w="57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82E2036"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w:t>
                  </w:r>
                </w:p>
              </w:tc>
            </w:tr>
            <w:tr w:rsidR="006E2672" w14:paraId="60AABD3A" w14:textId="77777777">
              <w:trPr>
                <w:jc w:val="center"/>
              </w:trPr>
              <w:tc>
                <w:tcPr>
                  <w:tcW w:w="28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tcPr>
                <w:p w14:paraId="3A53A4C7"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Component</w:t>
                  </w:r>
                </w:p>
              </w:tc>
              <w:tc>
                <w:tcPr>
                  <w:tcW w:w="2489"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5E529A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r>
                    <w:rPr>
                      <w:rFonts w:ascii="Arial" w:eastAsia="Arial" w:hAnsi="Arial" w:cs="Arial"/>
                      <w:b/>
                      <w:color w:val="000000"/>
                      <w:sz w:val="22"/>
                      <w:szCs w:val="22"/>
                    </w:rPr>
                    <w:t>Term</w:t>
                  </w:r>
                </w:p>
              </w:tc>
              <w:tc>
                <w:tcPr>
                  <w:tcW w:w="1328"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37BD0D2"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edf</w:t>
                  </w:r>
                </w:p>
              </w:tc>
              <w:tc>
                <w:tcPr>
                  <w:tcW w:w="1364"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006EA5F"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Ref. df</w:t>
                  </w:r>
                </w:p>
              </w:tc>
              <w:tc>
                <w:tcPr>
                  <w:tcW w:w="120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45A0F70"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F-value</w:t>
                  </w:r>
                </w:p>
              </w:tc>
              <w:tc>
                <w:tcPr>
                  <w:tcW w:w="11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E0EF5C1"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000000"/>
                      <w:sz w:val="22"/>
                      <w:szCs w:val="22"/>
                    </w:rPr>
                  </w:pPr>
                  <w:r>
                    <w:rPr>
                      <w:rFonts w:ascii="Arial" w:eastAsia="Arial" w:hAnsi="Arial" w:cs="Arial"/>
                      <w:b/>
                      <w:color w:val="000000"/>
                      <w:sz w:val="22"/>
                      <w:szCs w:val="22"/>
                    </w:rPr>
                    <w:t>p-value</w:t>
                  </w:r>
                </w:p>
              </w:tc>
              <w:tc>
                <w:tcPr>
                  <w:tcW w:w="57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EF6E48C" w14:textId="77777777" w:rsidR="006E2672" w:rsidRDefault="006E26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22"/>
                      <w:szCs w:val="22"/>
                    </w:rPr>
                  </w:pPr>
                </w:p>
              </w:tc>
            </w:tr>
            <w:tr w:rsidR="006E2672" w14:paraId="700726EE" w14:textId="77777777">
              <w:trPr>
                <w:jc w:val="center"/>
              </w:trPr>
              <w:tc>
                <w:tcPr>
                  <w:tcW w:w="28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tcPr>
                <w:p w14:paraId="112A4958"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B. smooth terms</w:t>
                  </w:r>
                </w:p>
              </w:tc>
              <w:tc>
                <w:tcPr>
                  <w:tcW w:w="2489"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E4C5E5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s(emersion_per_day)</w:t>
                  </w:r>
                </w:p>
              </w:tc>
              <w:tc>
                <w:tcPr>
                  <w:tcW w:w="1328"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2CBA08B"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4.953</w:t>
                  </w:r>
                </w:p>
              </w:tc>
              <w:tc>
                <w:tcPr>
                  <w:tcW w:w="1364"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8DAE12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4.999</w:t>
                  </w:r>
                </w:p>
              </w:tc>
              <w:tc>
                <w:tcPr>
                  <w:tcW w:w="120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FFC0A9A"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973.282</w:t>
                  </w:r>
                </w:p>
              </w:tc>
              <w:tc>
                <w:tcPr>
                  <w:tcW w:w="1181"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32F9EB3"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&lt;0.0001</w:t>
                  </w:r>
                </w:p>
              </w:tc>
              <w:tc>
                <w:tcPr>
                  <w:tcW w:w="576" w:type="dxa"/>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E7E9F5"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w:t>
                  </w:r>
                </w:p>
              </w:tc>
            </w:tr>
            <w:tr w:rsidR="006E2672" w:rsidRPr="00EE3A02" w14:paraId="49A9FB4D" w14:textId="77777777">
              <w:trPr>
                <w:jc w:val="center"/>
              </w:trPr>
              <w:tc>
                <w:tcPr>
                  <w:tcW w:w="11025" w:type="dxa"/>
                  <w:gridSpan w:val="7"/>
                  <w:tcBorders>
                    <w:top w:val="single" w:sz="8"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D6D6AE0" w14:textId="77777777" w:rsidR="006E2672" w:rsidRPr="00EE3A02"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lang w:val="fr-FR"/>
                    </w:rPr>
                  </w:pPr>
                  <w:r w:rsidRPr="00EE3A02">
                    <w:rPr>
                      <w:rFonts w:ascii="Arial" w:eastAsia="Arial" w:hAnsi="Arial" w:cs="Arial"/>
                      <w:color w:val="000000"/>
                      <w:sz w:val="22"/>
                      <w:szCs w:val="22"/>
                      <w:lang w:val="fr-FR"/>
                    </w:rPr>
                    <w:t>Signif. codes: 0 &lt;= '***' &lt; 0.001 &lt; '**' &lt; 0.01 &lt; '*' &lt; 0.05</w:t>
                  </w:r>
                </w:p>
              </w:tc>
            </w:tr>
            <w:tr w:rsidR="006E2672" w:rsidRPr="00EE3A02" w14:paraId="2B202B81" w14:textId="77777777">
              <w:trPr>
                <w:jc w:val="center"/>
              </w:trPr>
              <w:tc>
                <w:tcPr>
                  <w:tcW w:w="11025"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91A9057" w14:textId="77777777" w:rsidR="006E2672" w:rsidRPr="00EE3A02" w:rsidRDefault="006E267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lang w:val="fr-FR"/>
                    </w:rPr>
                  </w:pPr>
                </w:p>
              </w:tc>
            </w:tr>
            <w:tr w:rsidR="006E2672" w14:paraId="6AFE42F8" w14:textId="77777777">
              <w:trPr>
                <w:jc w:val="center"/>
              </w:trPr>
              <w:tc>
                <w:tcPr>
                  <w:tcW w:w="11025"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C31BBCC"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Adjusted R-squared: 0.357, Deviance explained 0.357</w:t>
                  </w:r>
                </w:p>
              </w:tc>
            </w:tr>
            <w:tr w:rsidR="006E2672" w14:paraId="62F7FFCD" w14:textId="77777777">
              <w:trPr>
                <w:jc w:val="center"/>
              </w:trPr>
              <w:tc>
                <w:tcPr>
                  <w:tcW w:w="11025"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75C1756" w14:textId="77777777" w:rsidR="006E2672"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GCV : 0.313, Scale est: 0.313, N: 8768</w:t>
                  </w:r>
                </w:p>
              </w:tc>
            </w:tr>
            <w:bookmarkEnd w:id="60"/>
          </w:tbl>
          <w:p w14:paraId="5F1D5933" w14:textId="77777777" w:rsidR="00000000" w:rsidRDefault="00000000">
            <w:pPr>
              <w:spacing w:after="0"/>
              <w:rPr>
                <w:rFonts w:asciiTheme="minorHAnsi" w:hAnsiTheme="minorHAnsi"/>
              </w:rPr>
            </w:pPr>
          </w:p>
        </w:tc>
      </w:tr>
    </w:tbl>
    <w:p w14:paraId="408F9A50" w14:textId="77777777" w:rsidR="006E2672" w:rsidRDefault="00000000">
      <w:pPr>
        <w:pStyle w:val="Titre1"/>
      </w:pPr>
      <w:bookmarkStart w:id="61" w:name="references"/>
      <w:bookmarkEnd w:id="55"/>
      <w:bookmarkEnd w:id="59"/>
      <w:r>
        <w:t>7. References</w:t>
      </w:r>
    </w:p>
    <w:p w14:paraId="601FD749" w14:textId="77777777" w:rsidR="006E2672" w:rsidRDefault="00000000">
      <w:pPr>
        <w:pStyle w:val="Bibliographie"/>
      </w:pPr>
      <w:bookmarkStart w:id="62" w:name="ref-allakhverdiev2008heat"/>
      <w:bookmarkStart w:id="63" w:name="refs"/>
      <w:r>
        <w:t>Allakhverdiev, S.I., Kreslavski, V.D., Klimov, V.V., Los, D.A., Carpentier, R., Mohanty, P., 2008. Heat stress: An overview of molecular responses in photosynthesis. Photosynthesis research 98, 541–550.</w:t>
      </w:r>
    </w:p>
    <w:p w14:paraId="4092FEC2" w14:textId="77777777" w:rsidR="006E2672" w:rsidRDefault="00000000">
      <w:pPr>
        <w:pStyle w:val="Bibliographie"/>
      </w:pPr>
      <w:bookmarkStart w:id="64" w:name="ref-arias2018marine"/>
      <w:bookmarkEnd w:id="62"/>
      <w:r>
        <w:t>Arias-Ortiz, A., Serrano, O., Masqué, P., Lavery, P.S., Mueller, U., Kendrick, G.A., Rozaimi, M., Esteban, A., Fourqurean, J.W., Marbà, N., others, 2018. A marine heatwave drives massive losses from the world’s largest seagrass carbon stocks. Nature Climate Change 8, 338–344.</w:t>
      </w:r>
    </w:p>
    <w:p w14:paraId="62444040" w14:textId="77777777" w:rsidR="006E2672" w:rsidRPr="00EE3A02" w:rsidRDefault="00000000">
      <w:pPr>
        <w:pStyle w:val="Bibliographie"/>
        <w:rPr>
          <w:lang w:val="es-ES"/>
        </w:rPr>
      </w:pPr>
      <w:bookmarkStart w:id="65" w:name="ref-armitage2016carbon"/>
      <w:bookmarkEnd w:id="64"/>
      <w:r>
        <w:t xml:space="preserve">Armitage, A., Fourqurean, J.W., 2016. Carbon storage in seagrass soils: Long-term nutrient history exceeds the effects of near-term nutrient enrichment. </w:t>
      </w:r>
      <w:r w:rsidRPr="00EE3A02">
        <w:rPr>
          <w:lang w:val="es-ES"/>
        </w:rPr>
        <w:t>Biogeosciences 13, 313–321.</w:t>
      </w:r>
    </w:p>
    <w:p w14:paraId="6F61C70A" w14:textId="77777777" w:rsidR="006E2672" w:rsidRDefault="00000000">
      <w:pPr>
        <w:pStyle w:val="Bibliographie"/>
      </w:pPr>
      <w:bookmarkStart w:id="66" w:name="ref-bastos2023high"/>
      <w:bookmarkEnd w:id="65"/>
      <w:r w:rsidRPr="00EE3A02">
        <w:rPr>
          <w:lang w:val="es-ES"/>
        </w:rPr>
        <w:lastRenderedPageBreak/>
        <w:t xml:space="preserve">Bastos, M., Roebeling, P., Alves, F.L., Villasante, S., Magalhães Filho, L., 2023. </w:t>
      </w:r>
      <w:r>
        <w:t>High risk water pollution hazards affecting aveiro coastal lagoon (portugal)–a habitat risk assessment using InVEST. Ecological Informatics 76, 102144.</w:t>
      </w:r>
    </w:p>
    <w:p w14:paraId="151DCB23" w14:textId="77777777" w:rsidR="006E2672" w:rsidRDefault="00000000">
      <w:pPr>
        <w:pStyle w:val="Bibliographie"/>
      </w:pPr>
      <w:bookmarkStart w:id="67" w:name="ref-borum2004european"/>
      <w:bookmarkEnd w:id="66"/>
      <w:r>
        <w:t>Borum, J., Duarte, C.M., Krause-Jensen, D., Greve, T.M., 2004. European seagrasses: An introduction to monitoring and management. Monitoring; Managing of European Seagrasses Project.</w:t>
      </w:r>
    </w:p>
    <w:p w14:paraId="3306C4F9" w14:textId="77777777" w:rsidR="006E2672" w:rsidRDefault="00000000">
      <w:pPr>
        <w:pStyle w:val="Bibliographie"/>
      </w:pPr>
      <w:bookmarkStart w:id="68" w:name="ref-boyer1988senescence"/>
      <w:bookmarkEnd w:id="67"/>
      <w:r>
        <w:t>Boyer, M., Miller, J., Belanger, M., Hare, E., Wu, J., 1988. Senescence and spectral reflectance in leaves of northern pin oak (quercus palustris muenchh.). Remote Sensing of Environment 25, 71–87.</w:t>
      </w:r>
    </w:p>
    <w:p w14:paraId="25BF5455" w14:textId="77777777" w:rsidR="006E2672" w:rsidRDefault="00000000">
      <w:pPr>
        <w:pStyle w:val="Bibliographie"/>
      </w:pPr>
      <w:bookmarkStart w:id="69" w:name="ref-brun2003effect"/>
      <w:bookmarkEnd w:id="68"/>
      <w:r>
        <w:t>Brun, F.G., Vergara, J.J., Navarro, G., Hernández, I., Pérez-Lloréns, J.L., 2003. Effect of shading by ulva rigida canopies on growth and carbon balance of the seagrass zostera noltii. Marine Ecology Progress Series 265, 85–96.</w:t>
      </w:r>
    </w:p>
    <w:p w14:paraId="38130C7B" w14:textId="77777777" w:rsidR="006E2672" w:rsidRDefault="00000000">
      <w:pPr>
        <w:pStyle w:val="Bibliographie"/>
      </w:pPr>
      <w:bookmarkStart w:id="70" w:name="ref-JSSv100i05"/>
      <w:bookmarkEnd w:id="69"/>
      <w:r>
        <w:t xml:space="preserve">Bürkner, P.-C., 2021. Bayesian item response modeling in r with brms and stan. Journal of Statistical Software 100, 1–54. </w:t>
      </w:r>
      <w:hyperlink r:id="rId21">
        <w:r>
          <w:rPr>
            <w:rStyle w:val="Lienhypertexte"/>
          </w:rPr>
          <w:t>https://doi.org/10.18637/jss.v100.i05</w:t>
        </w:r>
      </w:hyperlink>
    </w:p>
    <w:p w14:paraId="4DD2AF16" w14:textId="77777777" w:rsidR="006E2672" w:rsidRDefault="00000000">
      <w:pPr>
        <w:pStyle w:val="Bibliographie"/>
      </w:pPr>
      <w:bookmarkStart w:id="71" w:name="ref-cabaco2009individual"/>
      <w:bookmarkEnd w:id="70"/>
      <w:r>
        <w:t>Cabaço, S., Machás, R., Santos, R., 2009. Individual and population plasticity of the seagrass zostera noltii along a vertical intertidal gradient. Estuarine, Coastal and Shelf Science 82, 301–308.</w:t>
      </w:r>
    </w:p>
    <w:p w14:paraId="2693C81E" w14:textId="77777777" w:rsidR="006E2672" w:rsidRDefault="00000000">
      <w:pPr>
        <w:pStyle w:val="Bibliographie"/>
      </w:pPr>
      <w:bookmarkStart w:id="72" w:name="ref-calleja2007relationship"/>
      <w:bookmarkEnd w:id="71"/>
      <w:r>
        <w:t>Calleja, M.L., Marbà, N., Duarte, C.M., 2007. The relationship between seagrass (posidonia oceanica) decline and sulfide porewater concentration in carbonate sediments. Estuarine, Coastal and Shelf Science 73, 583–588.</w:t>
      </w:r>
    </w:p>
    <w:p w14:paraId="0E70FAAC" w14:textId="77777777" w:rsidR="006E2672" w:rsidRDefault="00000000">
      <w:pPr>
        <w:pStyle w:val="Bibliographie"/>
      </w:pPr>
      <w:bookmarkStart w:id="73" w:name="ref-carlson2018sea"/>
      <w:bookmarkEnd w:id="72"/>
      <w:r>
        <w:t>Carlson, D.F., Yarbro, L.A., Scolaro, S., Poniatowski, M., McGee-Absten, V., Carlson Jr, P.R., 2018. Sea surface temperatures and seagrass mortality in florida bay: Spatial and temporal patterns discerned from MODIS and AVHRR data. Remote Sensing of Environment 208, 171–188.</w:t>
      </w:r>
    </w:p>
    <w:p w14:paraId="1F4D4ECF" w14:textId="77777777" w:rsidR="006E2672" w:rsidRDefault="00000000">
      <w:pPr>
        <w:pStyle w:val="Bibliographie"/>
      </w:pPr>
      <w:bookmarkStart w:id="74" w:name="ref-JSSv076i01"/>
      <w:bookmarkEnd w:id="73"/>
      <w:r>
        <w:t xml:space="preserve">Carpenter, B., Gelman, A., Hoffman, M.D., Lee, D., Goodrich, B., Betancourt, M., Brubaker, M., Guo, J., Li, P., Riddell, A., 2017. Stan: A probabilistic programming language. Journal of Statistical Software 76, 1–32. </w:t>
      </w:r>
      <w:hyperlink r:id="rId22">
        <w:r>
          <w:rPr>
            <w:rStyle w:val="Lienhypertexte"/>
          </w:rPr>
          <w:t>https://doi.org/10.18637/jss.v076.i01</w:t>
        </w:r>
      </w:hyperlink>
    </w:p>
    <w:p w14:paraId="73D5291F" w14:textId="77777777" w:rsidR="006E2672" w:rsidRDefault="00000000">
      <w:pPr>
        <w:pStyle w:val="Bibliographie"/>
      </w:pPr>
      <w:bookmarkStart w:id="75" w:name="ref-IPCC2023"/>
      <w:bookmarkEnd w:id="74"/>
      <w:r>
        <w:t xml:space="preserve">Climate Change (IPCC), I.P. on, 2023. Summary for policymakers. IPCC, Geneva, Switzerland. </w:t>
      </w:r>
      <w:hyperlink r:id="rId23">
        <w:r>
          <w:rPr>
            <w:rStyle w:val="Lienhypertexte"/>
          </w:rPr>
          <w:t>https://doi.org/10.59327/IPCC/AR6-9789291691647.001</w:t>
        </w:r>
      </w:hyperlink>
    </w:p>
    <w:p w14:paraId="539786DE" w14:textId="77777777" w:rsidR="006E2672" w:rsidRDefault="00000000">
      <w:pPr>
        <w:pStyle w:val="Bibliographie"/>
      </w:pPr>
      <w:bookmarkStart w:id="76" w:name="ref-CMEMS_1"/>
      <w:bookmarkEnd w:id="75"/>
      <w:r>
        <w:t xml:space="preserve">CMEMS, 2024. European north west shelf/iberia biscay irish seas – high resolution ODYSSEA sea surface temperature multi-sensor L3 observations reprocessed, e.u. Copernicus marine service information (CMEMS). Marine data store (MDS). (Accessed on 17-10-2024). </w:t>
      </w:r>
      <w:hyperlink r:id="rId24">
        <w:r>
          <w:rPr>
            <w:rStyle w:val="Lienhypertexte"/>
          </w:rPr>
          <w:t>https://doi.org/10.48670/moi-00311</w:t>
        </w:r>
      </w:hyperlink>
    </w:p>
    <w:p w14:paraId="771DCF2F" w14:textId="77777777" w:rsidR="006E2672" w:rsidRDefault="00000000">
      <w:pPr>
        <w:pStyle w:val="Bibliographie"/>
      </w:pPr>
      <w:bookmarkStart w:id="77" w:name="ref-dascaliuc2007heat"/>
      <w:bookmarkEnd w:id="76"/>
      <w:r w:rsidRPr="00EE3A02">
        <w:rPr>
          <w:lang w:val="es-ES"/>
        </w:rPr>
        <w:lastRenderedPageBreak/>
        <w:t xml:space="preserve">Dascaliuc, A., Ralea, T., Cuza, P., 2007. </w:t>
      </w:r>
      <w:r>
        <w:t xml:space="preserve">Influence of heat shock on chlorophyll fluorescence of white oak (quercus pubescens willd.) leaves. Photosynthetica 45, 469–471. </w:t>
      </w:r>
      <w:hyperlink r:id="rId25">
        <w:r>
          <w:rPr>
            <w:rStyle w:val="Lienhypertexte"/>
          </w:rPr>
          <w:t>https://doi.org/10.1007/s11099-007-0084-3</w:t>
        </w:r>
      </w:hyperlink>
    </w:p>
    <w:p w14:paraId="4DA2246D" w14:textId="77777777" w:rsidR="006E2672" w:rsidRDefault="00000000">
      <w:pPr>
        <w:pStyle w:val="Bibliographie"/>
      </w:pPr>
      <w:bookmarkStart w:id="78" w:name="ref-davies2023multi"/>
      <w:bookmarkEnd w:id="77"/>
      <w:r>
        <w:t>Davies, B.F.R., Gernez, P., Geraud, A., Oiry, S., Rosa, P., Zoffoli, M.L., Barillé, L., 2023. Multi-and hyperspectral classification of soft-bottom intertidal vegetation using a spectral library for coastal biodiversity remote sensing. Remote Sensing of Environment 290, 113554.</w:t>
      </w:r>
    </w:p>
    <w:p w14:paraId="605C483B" w14:textId="77777777" w:rsidR="006E2672" w:rsidRDefault="00000000">
      <w:pPr>
        <w:pStyle w:val="Bibliographie"/>
      </w:pPr>
      <w:bookmarkStart w:id="79" w:name="ref-davies2024sentinel"/>
      <w:bookmarkEnd w:id="78"/>
      <w:r>
        <w:t xml:space="preserve">Davies, B.F.R., Oiry, S., Rosa, P., Zoffoli, M.L., Sousa, A.I., Thomas, O.R., Smale, D.A., Austen, M.C., Biermann, L., Attrill, M.J., others, 2024a. A sentinel watching over inter-tidal seagrass phenology across western europe and north africa. Communications Earth &amp; Environment 5, 382. </w:t>
      </w:r>
      <w:hyperlink r:id="rId26">
        <w:r>
          <w:rPr>
            <w:rStyle w:val="Lienhypertexte"/>
          </w:rPr>
          <w:t>https://doi.org/10.1038/s43247-024-01543-z</w:t>
        </w:r>
      </w:hyperlink>
    </w:p>
    <w:p w14:paraId="4F4BE915" w14:textId="77777777" w:rsidR="006E2672" w:rsidRDefault="00000000">
      <w:pPr>
        <w:pStyle w:val="Bibliographie"/>
      </w:pPr>
      <w:bookmarkStart w:id="80" w:name="ref-davies2024intertidal"/>
      <w:bookmarkEnd w:id="79"/>
      <w:r>
        <w:t xml:space="preserve">Davies, B.F.R., Oiry, S., Rosa, P., Zoffoli, M.L., Sousa, A.I., Thomas, O.R., Smale, D.A., Austen, M.C., Biermann, L., Attrill, M.J., others, 2024b. Intertidal seagrass extent from sentinel-2 time-series show distinct trajectories in western europe. Remote Sensing of Environment 312, 114340. </w:t>
      </w:r>
      <w:hyperlink r:id="rId27">
        <w:r>
          <w:rPr>
            <w:rStyle w:val="Lienhypertexte"/>
          </w:rPr>
          <w:t>https://doi.org/10.1016/j.rse.2024.114340</w:t>
        </w:r>
      </w:hyperlink>
    </w:p>
    <w:p w14:paraId="2E39A8D1" w14:textId="77777777" w:rsidR="006E2672" w:rsidRDefault="00000000">
      <w:pPr>
        <w:pStyle w:val="Bibliographie"/>
      </w:pPr>
      <w:bookmarkStart w:id="81" w:name="ref-deguette2022physiological"/>
      <w:bookmarkEnd w:id="80"/>
      <w:r>
        <w:t>Deguette, A., Barrote, I., Silva, J., 2022. Physiological and morphological effects of a marine heatwave on the seagrass cymodocea nodosa. Scientific Reports 12, 7950.</w:t>
      </w:r>
    </w:p>
    <w:p w14:paraId="750E19C3" w14:textId="77777777" w:rsidR="006E2672" w:rsidRDefault="00000000">
      <w:pPr>
        <w:pStyle w:val="Bibliographie"/>
      </w:pPr>
      <w:bookmarkStart w:id="82" w:name="ref-douay2022new"/>
      <w:bookmarkEnd w:id="81"/>
      <w:r>
        <w:t>Douay, F., Verpoorter, C., Duong, G., Spilmont, N., Gevaert, F., 2022. New hyperspectral procedure to discriminate intertidal macroalgae. Remote Sensing 14, 346.</w:t>
      </w:r>
    </w:p>
    <w:p w14:paraId="38FF44C0" w14:textId="77777777" w:rsidR="006E2672" w:rsidRDefault="00000000">
      <w:pPr>
        <w:pStyle w:val="Bibliographie"/>
      </w:pPr>
      <w:bookmarkStart w:id="83" w:name="ref-duarte1991allometric"/>
      <w:bookmarkEnd w:id="82"/>
      <w:r>
        <w:t>Duarte, C.M., 1991. Allometric scaling of seagrass form and productivity. Marine ecology progress series. Oldendorf 77, 289–300.</w:t>
      </w:r>
    </w:p>
    <w:p w14:paraId="33FD5DC8" w14:textId="77777777" w:rsidR="006E2672" w:rsidRDefault="00000000">
      <w:pPr>
        <w:pStyle w:val="Bibliographie"/>
      </w:pPr>
      <w:bookmarkStart w:id="84" w:name="ref-electricblue_intertidal_chamber"/>
      <w:bookmarkEnd w:id="83"/>
      <w:r>
        <w:t xml:space="preserve">Electric Blue, 2023. </w:t>
      </w:r>
      <w:hyperlink r:id="rId28">
        <w:r>
          <w:rPr>
            <w:rStyle w:val="Lienhypertexte"/>
          </w:rPr>
          <w:t>Intertidal chamber</w:t>
        </w:r>
      </w:hyperlink>
      <w:r>
        <w:t>.</w:t>
      </w:r>
    </w:p>
    <w:p w14:paraId="1A0387F1" w14:textId="77777777" w:rsidR="006E2672" w:rsidRDefault="00000000">
      <w:pPr>
        <w:pStyle w:val="Bibliographie"/>
      </w:pPr>
      <w:bookmarkStart w:id="85" w:name="ref-sen2cor"/>
      <w:bookmarkEnd w:id="84"/>
      <w:r>
        <w:t>European Space Agency, 2024b. Sen2Cor: Sentinel-2 atmospheric correction processor.</w:t>
      </w:r>
    </w:p>
    <w:p w14:paraId="1482EA91" w14:textId="77777777" w:rsidR="006E2672" w:rsidRDefault="00000000">
      <w:pPr>
        <w:pStyle w:val="Bibliographie"/>
      </w:pPr>
      <w:bookmarkStart w:id="86" w:name="ref-copernicus_sentinel2"/>
      <w:bookmarkEnd w:id="85"/>
      <w:r>
        <w:t>European Space Agency, 2024a. Copernicus open access hub.</w:t>
      </w:r>
    </w:p>
    <w:p w14:paraId="7D6D711F" w14:textId="77777777" w:rsidR="006E2672" w:rsidRDefault="00000000">
      <w:pPr>
        <w:pStyle w:val="Bibliographie"/>
      </w:pPr>
      <w:bookmarkStart w:id="87" w:name="ref-folmer2012seagrass"/>
      <w:bookmarkEnd w:id="86"/>
      <w:r w:rsidRPr="00EE3A02">
        <w:rPr>
          <w:lang w:val="es-ES"/>
        </w:rPr>
        <w:t xml:space="preserve">Folmer, E.O., Geest, M. van der, Jansen, E., Olff, H., Michael Anderson, T., Piersma, T., Gils, J.A. van, 2012. </w:t>
      </w:r>
      <w:r>
        <w:t>Seagrass–sediment feedback: An exploration using a non-recursive structural equation model. Ecosystems 15, 1380–1393.</w:t>
      </w:r>
    </w:p>
    <w:p w14:paraId="6A99B828" w14:textId="77777777" w:rsidR="006E2672" w:rsidRDefault="00000000">
      <w:pPr>
        <w:pStyle w:val="Bibliographie"/>
      </w:pPr>
      <w:bookmarkStart w:id="88" w:name="ref-franssen2014genome"/>
      <w:bookmarkEnd w:id="87"/>
      <w:r>
        <w:t>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p w14:paraId="263AC726" w14:textId="77777777" w:rsidR="006E2672" w:rsidRDefault="00000000">
      <w:pPr>
        <w:pStyle w:val="Bibliographie"/>
      </w:pPr>
      <w:bookmarkStart w:id="89" w:name="ref-gacia1999approach"/>
      <w:bookmarkEnd w:id="88"/>
      <w:r>
        <w:lastRenderedPageBreak/>
        <w:t>Gacia, E., Granata, T., Duarte, C., 1999. An approach to measurement of particle flux and sediment retention within seagrass (posidonia oceanica) meadows. Aquatic Botany 65, 255–268.</w:t>
      </w:r>
    </w:p>
    <w:p w14:paraId="37F6D6DF" w14:textId="77777777" w:rsidR="006E2672" w:rsidRDefault="00000000">
      <w:pPr>
        <w:pStyle w:val="Bibliographie"/>
      </w:pPr>
      <w:bookmarkStart w:id="90" w:name="ref-garbulsky2011photochemical"/>
      <w:bookmarkEnd w:id="89"/>
      <w:r>
        <w:t>Garbulsky, M.F., Peñuelas, J., Gamon, J., Inoue, Y., Filella, I., 2011. The photochemical reflectance index (PRI) and the remote sensing of leaf, canopy and ecosystem radiation use efficiencies: A review and meta-analysis. Remote sensing of environment 115, 281–297.</w:t>
      </w:r>
    </w:p>
    <w:p w14:paraId="139DE93A" w14:textId="77777777" w:rsidR="006E2672" w:rsidRDefault="00000000">
      <w:pPr>
        <w:pStyle w:val="Bibliographie"/>
      </w:pPr>
      <w:bookmarkStart w:id="91" w:name="ref-gardner2018global"/>
      <w:bookmarkEnd w:id="90"/>
      <w:r>
        <w:t>Gardner, R.C., Finlayson, C., 2018. Global wetland outlook: State of the world’s wetlands and their services to people, in: Ramsar Convention Secretariat. pp. 2020–5.</w:t>
      </w:r>
    </w:p>
    <w:p w14:paraId="2C092319" w14:textId="77777777" w:rsidR="006E2672" w:rsidRDefault="00000000">
      <w:pPr>
        <w:pStyle w:val="Bibliographie"/>
      </w:pPr>
      <w:bookmarkStart w:id="92" w:name="ref-gladstone2018biomass"/>
      <w:bookmarkEnd w:id="91"/>
      <w:r>
        <w:t>Gladstone-Gallagher, R.V., Hughes, R.W., Douglas, E.J., Pilditch, C.A., 2018. Biomass-dependent seagrass resilience to sediment eutrophication. Journal of Experimental Marine Biology and Ecology 501, 54–64.</w:t>
      </w:r>
    </w:p>
    <w:p w14:paraId="7594456E" w14:textId="77777777" w:rsidR="006E2672" w:rsidRDefault="00000000">
      <w:pPr>
        <w:pStyle w:val="Bibliographie"/>
      </w:pPr>
      <w:bookmarkStart w:id="93" w:name="ref-green2021historical"/>
      <w:bookmarkEnd w:id="92"/>
      <w:r>
        <w:t>Green, A.E., Unsworth, R.K., Chadwick, M.A., Jones, P.J., 2021. Historical analysis exposes catastrophic seagrass loss for the united kingdom. Frontiers in plant science 12, 629962.</w:t>
      </w:r>
    </w:p>
    <w:p w14:paraId="54387483" w14:textId="77777777" w:rsidR="006E2672" w:rsidRDefault="00000000">
      <w:pPr>
        <w:pStyle w:val="Bibliographie"/>
      </w:pPr>
      <w:bookmarkStart w:id="94" w:name="ref-guerrero2020heat"/>
      <w:bookmarkEnd w:id="93"/>
      <w:r>
        <w:t>Guerrero-Meseguer, L., Marı́n, A., Sanz-Lázaro, C., 2020. Heat wave intensity can vary the cumulative effects of multiple environmental stressors on posidonia oceanica seedlings. Marine Environmental Research 159, 105001.</w:t>
      </w:r>
    </w:p>
    <w:p w14:paraId="14DAA0A1" w14:textId="77777777" w:rsidR="006E2672" w:rsidRDefault="00000000">
      <w:pPr>
        <w:pStyle w:val="Bibliographie"/>
      </w:pPr>
      <w:bookmarkStart w:id="95" w:name="ref-hemminga1998root"/>
      <w:bookmarkEnd w:id="94"/>
      <w:r>
        <w:t>Hemminga, M., 1998. The root/rhizome system of seagrasses: An asset and a burden. Journal of Sea Research 39, 183–196.</w:t>
      </w:r>
    </w:p>
    <w:p w14:paraId="22510E91" w14:textId="77777777" w:rsidR="006E2672" w:rsidRDefault="00000000">
      <w:pPr>
        <w:pStyle w:val="Bibliographie"/>
      </w:pPr>
      <w:bookmarkStart w:id="96" w:name="ref-hobday2016hierarchical"/>
      <w:bookmarkEnd w:id="95"/>
      <w:r>
        <w:t>Hobday, A.J., Alexander, L.V., Perkins, S.E., Smale, D.A., Straub, S.C., Oliver, E.C., Benthuysen, J.A., Burrows, M.T., Donat, M.G., Feng, M., others, 2016. A hierarchical approach to defining marine heatwaves. Progress in oceanography 141, 227–238.</w:t>
      </w:r>
    </w:p>
    <w:p w14:paraId="1AA88E7F" w14:textId="77777777" w:rsidR="006E2672" w:rsidRDefault="00000000">
      <w:pPr>
        <w:pStyle w:val="Bibliographie"/>
      </w:pPr>
      <w:bookmarkStart w:id="97" w:name="ref-hobday2018categorizing"/>
      <w:bookmarkEnd w:id="96"/>
      <w:r>
        <w:t>Hobday, A.J., Oliver, E.C., Gupta, A.S., Benthuysen, J.A., Burrows, M.T., Donat, M.G., Holbrook, N.J., Moore, P.J., Thomsen, M.S., Wernberg, T., others, 2018. Categorizing and naming marine heatwaves. Oceanography 31, 162–173.</w:t>
      </w:r>
    </w:p>
    <w:p w14:paraId="4F6F4BFE" w14:textId="77777777" w:rsidR="006E2672" w:rsidRDefault="00000000">
      <w:pPr>
        <w:pStyle w:val="Bibliographie"/>
      </w:pPr>
      <w:bookmarkStart w:id="98" w:name="ref-infantes2022seagrass"/>
      <w:bookmarkEnd w:id="97"/>
      <w:r>
        <w:t>Infantes, E., Hoeks, S., Adams, M.P., Heide, T. van der, Katwijk, M.M. van, Bouma, T.J., 2022. Seagrass roots strongly reduce cliff erosion rates in sandy sediments. Marine Ecology Progress Series 700, 1–12.</w:t>
      </w:r>
    </w:p>
    <w:p w14:paraId="7BC32F67" w14:textId="77777777" w:rsidR="006E2672" w:rsidRDefault="00000000">
      <w:pPr>
        <w:pStyle w:val="Bibliographie"/>
      </w:pPr>
      <w:bookmarkStart w:id="99" w:name="ref-ioc_sea_level_lecy"/>
      <w:bookmarkEnd w:id="98"/>
      <w:r>
        <w:t xml:space="preserve">IOC, 2024. </w:t>
      </w:r>
      <w:hyperlink r:id="rId29">
        <w:r>
          <w:rPr>
            <w:rStyle w:val="Lienhypertexte"/>
          </w:rPr>
          <w:t>Intergovernmental oceanographic commission ; sea level monitoring station - le conquet, france (LECY)</w:t>
        </w:r>
      </w:hyperlink>
      <w:r>
        <w:t>.</w:t>
      </w:r>
    </w:p>
    <w:p w14:paraId="09FE8459" w14:textId="77777777" w:rsidR="006E2672" w:rsidRDefault="00000000">
      <w:pPr>
        <w:pStyle w:val="Bibliographie"/>
      </w:pPr>
      <w:bookmarkStart w:id="100" w:name="ref-jankowska2019stabilizing"/>
      <w:bookmarkEnd w:id="99"/>
      <w:r>
        <w:lastRenderedPageBreak/>
        <w:t>Jankowska, E., Michel, L.N., Lepoint, G., Włodarska-Kowalczuk, M., 2019. Stabilizing effects of seagrass meadows on coastal water benthic food webs. Journal of Experimental Marine Biology and Ecology 510, 54–63.</w:t>
      </w:r>
    </w:p>
    <w:p w14:paraId="0427FC9D" w14:textId="77777777" w:rsidR="006E2672" w:rsidRDefault="00000000">
      <w:pPr>
        <w:pStyle w:val="Bibliographie"/>
      </w:pPr>
      <w:bookmarkStart w:id="101" w:name="ref-jones1992leaf"/>
      <w:bookmarkEnd w:id="100"/>
      <w:r>
        <w:t xml:space="preserve">Jones, R.B., Clayton-Greene, K.A., 1992. The role of photosynthesis and oxidative reactions in leaf blackening of protea neriifolia r. Br. leaves. Scientia Horticulturae 50, 137–145. </w:t>
      </w:r>
      <w:hyperlink r:id="rId30">
        <w:r>
          <w:rPr>
            <w:rStyle w:val="Lienhypertexte"/>
          </w:rPr>
          <w:t>https://doi.org/10.1016/S0304-4238(05)80016-0</w:t>
        </w:r>
      </w:hyperlink>
    </w:p>
    <w:p w14:paraId="0D12C1F2" w14:textId="77777777" w:rsidR="006E2672" w:rsidRDefault="00000000">
      <w:pPr>
        <w:pStyle w:val="Bibliographie"/>
      </w:pPr>
      <w:bookmarkStart w:id="102" w:name="ref-knipling1970reflectance"/>
      <w:bookmarkEnd w:id="101"/>
      <w:r>
        <w:t xml:space="preserve">Knipling, E.B., 1970. Physical and physiological basis for the reflectance of visible and near-infrared radiation from vegetation. Remote Sensing of Environment 1, 155–159. </w:t>
      </w:r>
      <w:hyperlink r:id="rId31">
        <w:r>
          <w:rPr>
            <w:rStyle w:val="Lienhypertexte"/>
          </w:rPr>
          <w:t>https://doi.org/10.1016/S0034-4257(70)80021-9</w:t>
        </w:r>
      </w:hyperlink>
    </w:p>
    <w:p w14:paraId="23A70927" w14:textId="77777777" w:rsidR="006E2672" w:rsidRDefault="00000000">
      <w:pPr>
        <w:pStyle w:val="Bibliographie"/>
      </w:pPr>
      <w:bookmarkStart w:id="103" w:name="ref-hsdar"/>
      <w:bookmarkEnd w:id="102"/>
      <w:r>
        <w:t>Lehnert, L.W., Meyer, H., Bendix, J., 2017. Hsdar: Manage, analyse and simulate hyperspectral data in r.</w:t>
      </w:r>
    </w:p>
    <w:p w14:paraId="5A16E566" w14:textId="77777777" w:rsidR="006E2672" w:rsidRDefault="00000000">
      <w:pPr>
        <w:pStyle w:val="Bibliographie"/>
      </w:pPr>
      <w:bookmarkStart w:id="104" w:name="ref-loarie2009velocity"/>
      <w:bookmarkEnd w:id="103"/>
      <w:r>
        <w:t>Loarie, S.R., Duffy, P.B., Hamilton, H., Asner, G.P., Field, C.B., Ackerly, D.D., 2009. The velocity of climate change. Nature 462, 1052–1055.</w:t>
      </w:r>
    </w:p>
    <w:p w14:paraId="3B6B57CA" w14:textId="77777777" w:rsidR="006E2672" w:rsidRDefault="00000000">
      <w:pPr>
        <w:pStyle w:val="Bibliographie"/>
      </w:pPr>
      <w:bookmarkStart w:id="105" w:name="ref-louhaichi2001spatially"/>
      <w:bookmarkEnd w:id="104"/>
      <w:r>
        <w:t>Louhaichi, M., Borman, M.M., Johnson, D.E., 2001. Spatially located platform and aerial photography for documentation of grazing impacts on wheat. Geocarto International 16, 65–70.</w:t>
      </w:r>
    </w:p>
    <w:p w14:paraId="2013C324" w14:textId="77777777" w:rsidR="006E2672" w:rsidRDefault="00000000">
      <w:pPr>
        <w:pStyle w:val="Bibliographie"/>
      </w:pPr>
      <w:bookmarkStart w:id="106" w:name="ref-malvern_panalytical_rs3"/>
      <w:bookmarkEnd w:id="105"/>
      <w:r>
        <w:t xml:space="preserve">Malvern Panalytical, 2023. </w:t>
      </w:r>
      <w:hyperlink r:id="rId32">
        <w:r>
          <w:rPr>
            <w:rStyle w:val="Lienhypertexte"/>
          </w:rPr>
          <w:t>RS3 software</w:t>
        </w:r>
      </w:hyperlink>
      <w:r>
        <w:t>.</w:t>
      </w:r>
    </w:p>
    <w:p w14:paraId="3131FEFE" w14:textId="77777777" w:rsidR="006E2672" w:rsidRPr="00EE3A02" w:rsidRDefault="00000000">
      <w:pPr>
        <w:pStyle w:val="Bibliographie"/>
        <w:rPr>
          <w:lang w:val="es-ES"/>
        </w:rPr>
      </w:pPr>
      <w:bookmarkStart w:id="107" w:name="ref-marba2010mediterranean"/>
      <w:bookmarkEnd w:id="106"/>
      <w:r>
        <w:t xml:space="preserve">Marbà, N., Duarte, C.M., 2010. Mediterranean warming triggers seagrass (posidonia oceanica) shoot mortality. </w:t>
      </w:r>
      <w:r w:rsidRPr="00EE3A02">
        <w:rPr>
          <w:lang w:val="es-ES"/>
        </w:rPr>
        <w:t>Global change biology 16, 2366–2375.</w:t>
      </w:r>
    </w:p>
    <w:p w14:paraId="6610119D" w14:textId="77777777" w:rsidR="006E2672" w:rsidRDefault="00000000">
      <w:pPr>
        <w:pStyle w:val="Bibliographie"/>
      </w:pPr>
      <w:bookmarkStart w:id="108" w:name="ref-marien2019detecting"/>
      <w:bookmarkEnd w:id="107"/>
      <w:r w:rsidRPr="00EE3A02">
        <w:rPr>
          <w:lang w:val="es-ES"/>
        </w:rPr>
        <w:t xml:space="preserve">Mariën, B., Balzarolo, M., Dox, I., Leys, S., Lorène, M.J., Geron, C., Portillo-Estrada, M., AbdElgawad, H., Asard, H., Campioli, M., 2019. </w:t>
      </w:r>
      <w:r>
        <w:t>Detecting the onset of autumn leaf senescence in deciduous forest trees of the temperate zone. New Phytologist 224, 166–176.</w:t>
      </w:r>
    </w:p>
    <w:p w14:paraId="1180AED9" w14:textId="77777777" w:rsidR="006E2672" w:rsidRDefault="00000000">
      <w:pPr>
        <w:pStyle w:val="Bibliographie"/>
      </w:pPr>
      <w:bookmarkStart w:id="109" w:name="ref-massa2009temperature"/>
      <w:bookmarkEnd w:id="108"/>
      <w:r>
        <w:t>Massa, S., Arnaud-Haond, S., Pearson, G., Serrão, E., 2009. Temperature tolerance and survival of intertidal populations of the seagrass zostera noltii (hornemann) in southern europe (ria formosa, portugal). Hydrobiologia 619, 195–201.</w:t>
      </w:r>
    </w:p>
    <w:p w14:paraId="10C06326" w14:textId="77777777" w:rsidR="006E2672" w:rsidRDefault="00000000">
      <w:pPr>
        <w:pStyle w:val="Bibliographie"/>
      </w:pPr>
      <w:bookmarkStart w:id="110" w:name="ref-moore2008environmental"/>
      <w:bookmarkEnd w:id="109"/>
      <w:r>
        <w:t>Moore, K.A., Jarvis, J.C., 2008. Environmental factors affecting recent summertime eelgrass diebacks in the lower chesapeake bay: Implications for long-term persistence. Journal of Coastal Research 135–147.</w:t>
      </w:r>
    </w:p>
    <w:p w14:paraId="3FA851A4" w14:textId="77777777" w:rsidR="006E2672" w:rsidRDefault="00000000">
      <w:pPr>
        <w:pStyle w:val="Bibliographie"/>
      </w:pPr>
      <w:bookmarkStart w:id="111" w:name="ref-rs16234383"/>
      <w:bookmarkEnd w:id="110"/>
      <w:r>
        <w:t xml:space="preserve">Oiry, S., Davies, B.F.R., Sousa, A.I., Rosa, P., Zoffoli, M.L., Brunier, G., Gernez, P., Barillé, L., 2024. Discriminating seagrasses from green macroalgae in european intertidal areas using high-resolution multispectral drone imagery. Remote Sensing 16. </w:t>
      </w:r>
      <w:hyperlink r:id="rId33">
        <w:r>
          <w:rPr>
            <w:rStyle w:val="Lienhypertexte"/>
          </w:rPr>
          <w:t>https://doi.org/10.3390/rs16234383</w:t>
        </w:r>
      </w:hyperlink>
    </w:p>
    <w:p w14:paraId="3750DA31" w14:textId="77777777" w:rsidR="006E2672" w:rsidRDefault="00000000">
      <w:pPr>
        <w:pStyle w:val="Bibliographie"/>
      </w:pPr>
      <w:bookmarkStart w:id="112" w:name="ref-olmedo2020far"/>
      <w:bookmarkEnd w:id="111"/>
      <w:r>
        <w:lastRenderedPageBreak/>
        <w:t>Olmedo-Masat, O.M., Raffo, M.P., Rodrı́guez-Pérez, D., Arijón, M., Sánchez-Carnero, N., 2020. How far can we classify macroalgae remotely? An example using a new spectral library of species from the south west atlantic (argentine patagonia). Remote Sensing 12, 3870.</w:t>
      </w:r>
    </w:p>
    <w:p w14:paraId="33CF6CEF" w14:textId="77777777" w:rsidR="006E2672" w:rsidRDefault="00000000">
      <w:pPr>
        <w:pStyle w:val="Bibliographie"/>
      </w:pPr>
      <w:bookmarkStart w:id="113" w:name="ref-penuelas2004leaf"/>
      <w:bookmarkEnd w:id="112"/>
      <w:r>
        <w:t>Peñuelas, J., Munné-Bosch, S., Llusià, J., Filella, I., 2004. Leaf reflectance and photo-and antioxidant protection in field-grown summer-stressed phillyrea angustifolia. Optical signals of oxidative stress? New Phytologist 162, 115–124.</w:t>
      </w:r>
    </w:p>
    <w:p w14:paraId="3792CC37" w14:textId="77777777" w:rsidR="006E2672" w:rsidRDefault="00000000">
      <w:pPr>
        <w:pStyle w:val="Bibliographie"/>
      </w:pPr>
      <w:bookmarkStart w:id="114" w:name="ref-perkins2013measurement"/>
      <w:bookmarkEnd w:id="113"/>
      <w:r>
        <w:t>Perkins, S.E., Alexander, L.V., 2013. On the measurement of heat waves. Journal of climate 26, 4500–4517.</w:t>
      </w:r>
    </w:p>
    <w:p w14:paraId="15B12716" w14:textId="77777777" w:rsidR="006E2672" w:rsidRDefault="00000000">
      <w:pPr>
        <w:pStyle w:val="Bibliographie"/>
      </w:pPr>
      <w:bookmarkStart w:id="115" w:name="ref-Rbase"/>
      <w:bookmarkEnd w:id="114"/>
      <w:r>
        <w:t xml:space="preserve">R Core Team, 2023. </w:t>
      </w:r>
      <w:hyperlink r:id="rId34">
        <w:r>
          <w:rPr>
            <w:rStyle w:val="Lienhypertexte"/>
          </w:rPr>
          <w:t>R: A language and environment for statistical computing</w:t>
        </w:r>
      </w:hyperlink>
      <w:r>
        <w:t>. R Foundation for Statistical Computing, Vienna, Austria.</w:t>
      </w:r>
    </w:p>
    <w:p w14:paraId="483526F2" w14:textId="77777777" w:rsidR="006E2672" w:rsidRDefault="00000000">
      <w:pPr>
        <w:pStyle w:val="Bibliographie"/>
      </w:pPr>
      <w:bookmarkStart w:id="116" w:name="ref-ramesh2020seagrass"/>
      <w:bookmarkEnd w:id="115"/>
      <w:r>
        <w:t>Ramesh, C., Mohanraju, R., 2020. Seagrass ecosystems of andaman and nicobar islands: Status and future perspective. Environmental &amp; Earth Sciences Research Journal 7.</w:t>
      </w:r>
    </w:p>
    <w:p w14:paraId="3A23F558" w14:textId="77777777" w:rsidR="006E2672" w:rsidRDefault="00000000">
      <w:pPr>
        <w:pStyle w:val="Bibliographie"/>
      </w:pPr>
      <w:bookmarkStart w:id="117" w:name="ref-roca2016response"/>
      <w:bookmarkEnd w:id="116"/>
      <w:r>
        <w:t>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p w14:paraId="10880C3C" w14:textId="77777777" w:rsidR="006E2672" w:rsidRDefault="00000000">
      <w:pPr>
        <w:pStyle w:val="Bibliographie"/>
      </w:pPr>
      <w:bookmarkStart w:id="118" w:name="ref-roman2021using"/>
      <w:bookmarkEnd w:id="117"/>
      <w:r>
        <w:t>Román, A., Tovar-Sánchez, A., Olivé, I., Navarro, G., 2021. Using a UAV-mounted multispectral camera for the monitoring of marine macrophytes. Frontiers in Marine Science 8, 722698.</w:t>
      </w:r>
    </w:p>
    <w:p w14:paraId="4E4A166A" w14:textId="77777777" w:rsidR="006E2672" w:rsidRDefault="00000000">
      <w:pPr>
        <w:pStyle w:val="Bibliographie"/>
      </w:pPr>
      <w:bookmarkStart w:id="119" w:name="ref-roman2023clam"/>
      <w:bookmarkEnd w:id="118"/>
      <w:r>
        <w:t>Román, M., Gilbert, F., Viejo, R.M., Román, S., Troncoso, J.S., Vázquez, E., Olabarria, C., 2023. Are clam-seagrass interactions affected by heatwaves during emersion? Marine Environmental Research 186, 105906.</w:t>
      </w:r>
    </w:p>
    <w:p w14:paraId="0B4AB854" w14:textId="77777777" w:rsidR="006E2672" w:rsidRDefault="00000000">
      <w:pPr>
        <w:pStyle w:val="Bibliographie"/>
      </w:pPr>
      <w:bookmarkStart w:id="120" w:name="ref-roman2022effects"/>
      <w:bookmarkEnd w:id="119"/>
      <w:r>
        <w:t>Román, S., Vázquez, E., Román, M., Viejo, R.M., Woodin, S.A., Wethey, D.S., Troncoso, J.S., Olabarria, C., 2022. Effects of warming on biological interactions between clams and the seagrass zostera noltei: A case study using open top chambers. Estuarine, Coastal and Shelf Science 276, 108027.</w:t>
      </w:r>
    </w:p>
    <w:p w14:paraId="4C8E1D7F" w14:textId="77777777" w:rsidR="006E2672" w:rsidRDefault="00000000">
      <w:pPr>
        <w:pStyle w:val="Bibliographie"/>
      </w:pPr>
      <w:bookmarkStart w:id="121" w:name="ref-rouse1974monitoring"/>
      <w:bookmarkEnd w:id="120"/>
      <w:r>
        <w:t>Rouse, J.W., Haas, R.H., Schell, J.A., Deering, D.W., others, 1974. Monitoring vegetation systems in the great plains with ERTS. NASA Spec. Publ 351, 309.</w:t>
      </w:r>
    </w:p>
    <w:p w14:paraId="030E66B5" w14:textId="77777777" w:rsidR="006E2672" w:rsidRDefault="00000000">
      <w:pPr>
        <w:pStyle w:val="Bibliographie"/>
      </w:pPr>
      <w:bookmarkStart w:id="122" w:name="ref-samper2020characterization"/>
      <w:bookmarkEnd w:id="121"/>
      <w:r>
        <w:t>Samper-Villarreal, J., Bolaños, R.C., Heidemeyer, M., Vargas, M.M., Vargas, R.M., 2020. Characterization of seagrasses at two new locations in the eastern tropical pacific (el jobo and matapalito, costa rica). Aquatic botany 165, 103237.</w:t>
      </w:r>
    </w:p>
    <w:p w14:paraId="5A86F1DD" w14:textId="77777777" w:rsidR="006E2672" w:rsidRDefault="00000000">
      <w:pPr>
        <w:pStyle w:val="Bibliographie"/>
      </w:pPr>
      <w:bookmarkStart w:id="123" w:name="ref-sawall2021chronically"/>
      <w:bookmarkEnd w:id="122"/>
      <w:r>
        <w:lastRenderedPageBreak/>
        <w:t>Sawall, Y., Ito, M., Pansch, C., 2021. Chronically elevated sea surface temperatures revealed high susceptibility of the eelgrass zostera marina to winter and spring warming. Limnology and Oceanography 66, 4112–4124.</w:t>
      </w:r>
    </w:p>
    <w:p w14:paraId="05F98967" w14:textId="77777777" w:rsidR="006E2672" w:rsidRDefault="00000000">
      <w:pPr>
        <w:pStyle w:val="Bibliographie"/>
      </w:pPr>
      <w:bookmarkStart w:id="124" w:name="ref-heatwaveR"/>
      <w:bookmarkEnd w:id="123"/>
      <w:r>
        <w:t xml:space="preserve">Schlegel, R.W., Smit, A.J., 2018. heatwaveR: A central algorithm for the detection of heatwaves and cold-spells. Journal of Open Source Software 3, 821. </w:t>
      </w:r>
      <w:hyperlink r:id="rId35">
        <w:r>
          <w:rPr>
            <w:rStyle w:val="Lienhypertexte"/>
          </w:rPr>
          <w:t>https://doi.org/10.21105/joss.00821</w:t>
        </w:r>
      </w:hyperlink>
    </w:p>
    <w:p w14:paraId="5118DDED" w14:textId="77777777" w:rsidR="006E2672" w:rsidRPr="00EE3A02" w:rsidRDefault="00000000">
      <w:pPr>
        <w:pStyle w:val="Bibliographie"/>
        <w:rPr>
          <w:lang w:val="fr-FR"/>
        </w:rPr>
      </w:pPr>
      <w:bookmarkStart w:id="125" w:name="ref-scott2018role"/>
      <w:bookmarkEnd w:id="124"/>
      <w:r>
        <w:t xml:space="preserve">Scott, A.L., York, P.H., Duncan, C., Macreadie, P.I., Connolly, R.M., Ellis, M.T., Jarvis, J.C., Jinks, K.I., Marsh, H., Rasheed, M.A., 2018. The role of herbivory in structuring tropical seagrass ecosystem service delivery. </w:t>
      </w:r>
      <w:r w:rsidRPr="00EE3A02">
        <w:rPr>
          <w:lang w:val="fr-FR"/>
        </w:rPr>
        <w:t>Frontiers in Plant Science 9, 127.</w:t>
      </w:r>
    </w:p>
    <w:p w14:paraId="4206BF10" w14:textId="77777777" w:rsidR="006E2672" w:rsidRPr="00EE3A02" w:rsidRDefault="00000000">
      <w:pPr>
        <w:pStyle w:val="Bibliographie"/>
        <w:rPr>
          <w:lang w:val="fr-FR"/>
        </w:rPr>
      </w:pPr>
      <w:bookmarkStart w:id="126" w:name="ref-shom_ram_2022"/>
      <w:bookmarkEnd w:id="125"/>
      <w:r w:rsidRPr="00EE3A02">
        <w:rPr>
          <w:lang w:val="fr-FR"/>
        </w:rPr>
        <w:t xml:space="preserve">SHOM, 2022. </w:t>
      </w:r>
      <w:hyperlink r:id="rId36">
        <w:r w:rsidRPr="00EE3A02">
          <w:rPr>
            <w:rStyle w:val="Lienhypertexte"/>
            <w:lang w:val="fr-FR"/>
          </w:rPr>
          <w:t>Service hydrographique et océanographique de la marine ; références altimétriques maritimes: Ports de france métropolitaine et d’outre-mer, cotes du zéro hydrographique et niveaux caractéristiques de la marée</w:t>
        </w:r>
      </w:hyperlink>
      <w:r w:rsidRPr="00EE3A02">
        <w:rPr>
          <w:lang w:val="fr-FR"/>
        </w:rPr>
        <w:t>. Shom, Brest, France.</w:t>
      </w:r>
    </w:p>
    <w:p w14:paraId="17DCAD38" w14:textId="77777777" w:rsidR="006E2672" w:rsidRPr="00EE3A02" w:rsidRDefault="00000000">
      <w:pPr>
        <w:pStyle w:val="Bibliographie"/>
        <w:rPr>
          <w:lang w:val="fr-FR"/>
        </w:rPr>
      </w:pPr>
      <w:bookmarkStart w:id="127" w:name="Xbef41143b4d4042e58f11cfc27e216202646012"/>
      <w:bookmarkEnd w:id="126"/>
      <w:r w:rsidRPr="00EE3A02">
        <w:rPr>
          <w:lang w:val="fr-FR"/>
        </w:rPr>
        <w:t xml:space="preserve">SHOM, 2021. </w:t>
      </w:r>
      <w:hyperlink r:id="rId37" w:anchor="/metadata/BATHYMETRIE_LITTO3D_BZH_2018_2021.xml">
        <w:r w:rsidRPr="00EE3A02">
          <w:rPr>
            <w:rStyle w:val="Lienhypertexte"/>
            <w:lang w:val="fr-FR"/>
          </w:rPr>
          <w:t>Service hydrographique et océanographique de la marine ; bathymétrie Litto3D® bretagne 2018-2021</w:t>
        </w:r>
      </w:hyperlink>
      <w:r w:rsidRPr="00EE3A02">
        <w:rPr>
          <w:lang w:val="fr-FR"/>
        </w:rPr>
        <w:t>.</w:t>
      </w:r>
    </w:p>
    <w:p w14:paraId="07EE001C" w14:textId="77777777" w:rsidR="006E2672" w:rsidRDefault="00000000">
      <w:pPr>
        <w:pStyle w:val="Bibliographie"/>
      </w:pPr>
      <w:bookmarkStart w:id="128" w:name="ref-skendzic2023drought"/>
      <w:bookmarkEnd w:id="127"/>
      <w:r>
        <w:t>Skendzic, S., 2023. Drought stress in winter wheat-physiological responses and detection using remote and proximal sensing techniques, in: Smart Life Sciences and Technology for Sustainable Development. pp. 39–39.</w:t>
      </w:r>
    </w:p>
    <w:p w14:paraId="5086DF94" w14:textId="77777777" w:rsidR="006E2672" w:rsidRDefault="00000000">
      <w:pPr>
        <w:pStyle w:val="Bibliographie"/>
      </w:pPr>
      <w:bookmarkStart w:id="129" w:name="ref-sousa2019blue"/>
      <w:bookmarkEnd w:id="128"/>
      <w:r w:rsidRPr="00EE3A02">
        <w:rPr>
          <w:lang w:val="es-ES"/>
        </w:rPr>
        <w:t xml:space="preserve">Sousa, A.I., Silva, J.F. da, Azevedo, A., Lillebø, A.I., 2019. </w:t>
      </w:r>
      <w:r>
        <w:t>Blue carbon stock in zostera noltei meadows at ria de aveiro coastal lagoon (portugal) over a decade. Scientific reports 9, 14387.</w:t>
      </w:r>
    </w:p>
    <w:p w14:paraId="613C0D73" w14:textId="77777777" w:rsidR="006E2672" w:rsidRDefault="00000000">
      <w:pPr>
        <w:pStyle w:val="Bibliographie"/>
      </w:pPr>
      <w:bookmarkStart w:id="130" w:name="ref-stan2020rstan"/>
      <w:bookmarkEnd w:id="129"/>
      <w:r>
        <w:t>Stan Development Team, C., others, 2020. RStan: The r interface to stan. R package version 2.21. 2.</w:t>
      </w:r>
    </w:p>
    <w:p w14:paraId="57DCE911" w14:textId="77777777" w:rsidR="006E2672" w:rsidRDefault="00000000">
      <w:pPr>
        <w:pStyle w:val="Bibliographie"/>
      </w:pPr>
      <w:bookmarkStart w:id="131" w:name="ref-stillman2019heat"/>
      <w:bookmarkEnd w:id="130"/>
      <w:r>
        <w:t>Stillman, J.H., 2019. Heat waves, the new normal: Summertime temperature extremes will impact animals, ecosystems, and human communities. Physiology 34, 86–100.</w:t>
      </w:r>
    </w:p>
    <w:p w14:paraId="50E6076B" w14:textId="77777777" w:rsidR="006E2672" w:rsidRDefault="00000000">
      <w:pPr>
        <w:pStyle w:val="Bibliographie"/>
      </w:pPr>
      <w:bookmarkStart w:id="132" w:name="ref-strydom2020too"/>
      <w:bookmarkEnd w:id="131"/>
      <w:r>
        <w:t>Strydom, S., Murray, K., Wilson, S., Huntley, B., Rule, M., Heithaus, M., Bessey, C., Kendrick, G.A., Burkholder, D., Fraser, M.W., others, 2020. Too hot to handle: Unprecedented seagrass death driven by marine heatwave in a world heritage area. Global change biology 26, 3525–3538.</w:t>
      </w:r>
    </w:p>
    <w:p w14:paraId="23B77056" w14:textId="77777777" w:rsidR="006E2672" w:rsidRDefault="00000000">
      <w:pPr>
        <w:pStyle w:val="Bibliographie"/>
      </w:pPr>
      <w:bookmarkStart w:id="133" w:name="ref-thomsen2023meadow"/>
      <w:bookmarkEnd w:id="132"/>
      <w:r>
        <w:t>Thomsen, E., Herbeck, L.S., Viana, I.G., Jennerjahn, T.C., 2023. Meadow trophic status regulates the nitrogen filter function of tropical seagrasses in seasonally eutrophic coastal waters. Limnology and Oceanography 68, 1906–1919.</w:t>
      </w:r>
    </w:p>
    <w:p w14:paraId="4F5D4C43" w14:textId="77777777" w:rsidR="006E2672" w:rsidRDefault="00000000">
      <w:pPr>
        <w:pStyle w:val="Bibliographie"/>
      </w:pPr>
      <w:bookmarkStart w:id="134" w:name="ref-thomson2015extreme"/>
      <w:bookmarkEnd w:id="133"/>
      <w:r>
        <w:t xml:space="preserve">Thomson, J.A., Burkholder, D.A., Heithaus, M.R., Fourqurean, J.W., Fraser, M.W., Statton, J., Kendrick, G.A., 2015. Extreme temperatures, foundation species, and abrupt </w:t>
      </w:r>
      <w:r>
        <w:lastRenderedPageBreak/>
        <w:t>ecosystem change: An example from an iconic seagrass ecosystem. Global change biology 21, 1463–1474.</w:t>
      </w:r>
    </w:p>
    <w:p w14:paraId="494388F2" w14:textId="77777777" w:rsidR="006E2672" w:rsidRDefault="00000000">
      <w:pPr>
        <w:pStyle w:val="Bibliographie"/>
      </w:pPr>
      <w:bookmarkStart w:id="135" w:name="ref-unsworth2014biodiversity"/>
      <w:bookmarkEnd w:id="134"/>
      <w:r>
        <w:t>Unsworth, R., Cullen-Unsworth, L.C., 2014. Biodiversity, ecosystem services, and the conservation of seagrass meadows. Coast. Conserv 19, 95.</w:t>
      </w:r>
    </w:p>
    <w:p w14:paraId="3EE98741" w14:textId="77777777" w:rsidR="006E2672" w:rsidRDefault="00000000">
      <w:pPr>
        <w:pStyle w:val="Bibliographie"/>
      </w:pPr>
      <w:bookmarkStart w:id="136" w:name="ref-unsworth2021seagrass"/>
      <w:bookmarkEnd w:id="135"/>
      <w:r>
        <w:t>Unsworth, R.K., Butterworth, E.G., 2021. Seagrass meadows provide a significant resource in support of avifauna. Diversity 13, 363.</w:t>
      </w:r>
    </w:p>
    <w:p w14:paraId="1FF68C33" w14:textId="77777777" w:rsidR="006E2672" w:rsidRDefault="00000000">
      <w:pPr>
        <w:pStyle w:val="Bibliographie"/>
      </w:pPr>
      <w:bookmarkStart w:id="137" w:name="ref-unsworth2022planetary"/>
      <w:bookmarkEnd w:id="136"/>
      <w:r>
        <w:t>Unsworth, R.K., Cullen-Unsworth, L.C., Jones, B.L., Lilley, R.J., 2022. The planetary role of seagrass conservation. Science 377, 609–613.</w:t>
      </w:r>
    </w:p>
    <w:p w14:paraId="506D5439" w14:textId="77777777" w:rsidR="006E2672" w:rsidRDefault="00000000">
      <w:pPr>
        <w:pStyle w:val="Bibliographie"/>
      </w:pPr>
      <w:bookmarkStart w:id="138" w:name="ref-ustin2020optical"/>
      <w:bookmarkEnd w:id="137"/>
      <w:r>
        <w:t>Ustin, S.L., Jacquemoud, S., 2020. How the optical properties of leaves modify the absorption and scattering of energy and enhance leaf functionality. Remote sensing of plant biodiversity 349–384.</w:t>
      </w:r>
    </w:p>
    <w:p w14:paraId="0D44E46E" w14:textId="77777777" w:rsidR="006E2672" w:rsidRDefault="00000000">
      <w:pPr>
        <w:pStyle w:val="Bibliographie"/>
      </w:pPr>
      <w:bookmarkStart w:id="139" w:name="ref-waycott2009accelerating"/>
      <w:bookmarkEnd w:id="138"/>
      <w:r>
        <w:t>Waycott, M., Duarte, C.M., Carruthers, T.J., Orth, R.J., Dennison, W.C., Olyarnik, S., Calladine, A., Fourqurean, J.W., Heck Jr, K.L., Hughes, A.R., others, 2009. Accelerating loss of seagrasses across the globe threatens coastal ecosystems. Proceedings of the national academy of sciences 106, 12377–12381.</w:t>
      </w:r>
    </w:p>
    <w:p w14:paraId="26FBFBA5" w14:textId="77777777" w:rsidR="006E2672" w:rsidRDefault="00000000">
      <w:pPr>
        <w:pStyle w:val="Bibliographie"/>
      </w:pPr>
      <w:bookmarkStart w:id="140" w:name="ref-winters2011effects"/>
      <w:bookmarkEnd w:id="139"/>
      <w:r>
        <w:t>Winters, G., Nelle, P., Fricke, B., Rauch, G., Reusch, T.B., 2011. Effects of a simulated heat wave on photophysiology and gene expression of high-and low-latitude populations of zostera marina. Marine Ecology Progress Series 435, 83–95.</w:t>
      </w:r>
    </w:p>
    <w:p w14:paraId="2BF1BED0" w14:textId="77777777" w:rsidR="006E2672" w:rsidRDefault="00000000">
      <w:pPr>
        <w:pStyle w:val="Bibliographie"/>
      </w:pPr>
      <w:bookmarkStart w:id="141" w:name="ref-zahoor2023water"/>
      <w:bookmarkEnd w:id="140"/>
      <w:r>
        <w:t>Zahoor, I., Mushtaq, A., 2023. Water pollution from agricultural activities: A critical global review. Int. J. Chem. Biochem. Sci 23, 164–176.</w:t>
      </w:r>
    </w:p>
    <w:p w14:paraId="7431EB2E" w14:textId="77777777" w:rsidR="006E2672" w:rsidRDefault="00000000">
      <w:pPr>
        <w:pStyle w:val="Bibliographie"/>
      </w:pPr>
      <w:bookmarkStart w:id="142" w:name="ref-zoffoli2021decadal"/>
      <w:bookmarkEnd w:id="141"/>
      <w:r>
        <w:t>Zoffoli, M.L., Gernez, P., Godet, L., Peters, S., Oiry, S., Barillé, L., 2021. Decadal increase in the ecological status of a north-atlantic intertidal seagrass meadow observed with multi-mission satellite time-series. Ecological Indicators 130, 108033.</w:t>
      </w:r>
    </w:p>
    <w:p w14:paraId="3A1837B3" w14:textId="77777777" w:rsidR="006E2672" w:rsidRDefault="00000000">
      <w:pPr>
        <w:pStyle w:val="Bibliographie"/>
      </w:pPr>
      <w:bookmarkStart w:id="143" w:name="ref-zoffoli2023remote"/>
      <w:bookmarkEnd w:id="142"/>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 </w:t>
      </w:r>
      <w:hyperlink r:id="rId38">
        <w:r>
          <w:rPr>
            <w:rStyle w:val="Lienhypertexte"/>
          </w:rPr>
          <w:t>https://doi.org/10.1002/rse2.319</w:t>
        </w:r>
      </w:hyperlink>
    </w:p>
    <w:p w14:paraId="4E1DAEC2" w14:textId="77777777" w:rsidR="006E2672" w:rsidRDefault="00000000">
      <w:pPr>
        <w:pStyle w:val="Bibliographie"/>
      </w:pPr>
      <w:bookmarkStart w:id="144" w:name="ref-zoffoli2020sentinel"/>
      <w:bookmarkEnd w:id="143"/>
      <w:r w:rsidRPr="00EE3A02">
        <w:rPr>
          <w:lang w:val="fr-FR"/>
        </w:rPr>
        <w:t xml:space="preserve">Zoffoli, M.L., Gernez, P., Rosa, P., Le Bris, A., Brando, V.E., Barillé, A.-L., Harin, N., Peters, S., Poser, K., Spaias, L., others, 2020. </w:t>
      </w:r>
      <w:r>
        <w:t>Sentinel-2 remote sensing of zostera noltei-dominated intertidal seagrass meadows. Remote Sensing of Environment 251, 112020.</w:t>
      </w:r>
      <w:bookmarkEnd w:id="61"/>
      <w:bookmarkEnd w:id="63"/>
      <w:bookmarkEnd w:id="144"/>
    </w:p>
    <w:sectPr w:rsidR="006E2672">
      <w:footerReference w:type="default" r:id="rId3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4D63F" w14:textId="77777777" w:rsidR="00E200D2" w:rsidRDefault="00E200D2">
      <w:pPr>
        <w:spacing w:after="0"/>
      </w:pPr>
      <w:r>
        <w:separator/>
      </w:r>
    </w:p>
  </w:endnote>
  <w:endnote w:type="continuationSeparator" w:id="0">
    <w:p w14:paraId="7D79445D" w14:textId="77777777" w:rsidR="00E200D2" w:rsidRDefault="00E200D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285314"/>
      <w:docPartObj>
        <w:docPartGallery w:val="Page Numbers (Bottom of Page)"/>
        <w:docPartUnique/>
      </w:docPartObj>
    </w:sdtPr>
    <w:sdtEndPr>
      <w:rPr>
        <w:noProof/>
      </w:rPr>
    </w:sdtEndPr>
    <w:sdtContent>
      <w:p w14:paraId="03A0BEDA" w14:textId="77777777" w:rsidR="00000000" w:rsidRDefault="00000000">
        <w:pPr>
          <w:pStyle w:val="Pieddepage"/>
          <w:jc w:val="center"/>
        </w:pPr>
        <w:r>
          <w:fldChar w:fldCharType="begin"/>
        </w:r>
        <w:r>
          <w:instrText xml:space="preserve"> PAGE   \* MERGEFORMAT </w:instrText>
        </w:r>
        <w:r>
          <w:fldChar w:fldCharType="separate"/>
        </w:r>
        <w:r>
          <w:rPr>
            <w:noProof/>
          </w:rPr>
          <w:t>1</w:t>
        </w:r>
        <w:r>
          <w:rPr>
            <w:noProof/>
          </w:rPr>
          <w:fldChar w:fldCharType="end"/>
        </w:r>
      </w:p>
    </w:sdtContent>
  </w:sdt>
  <w:p w14:paraId="48C66A5E" w14:textId="77777777" w:rsidR="00000000" w:rsidRDefault="000000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93F4D" w14:textId="77777777" w:rsidR="00E200D2" w:rsidRDefault="00E200D2">
      <w:pPr>
        <w:spacing w:after="0"/>
      </w:pPr>
      <w:r>
        <w:separator/>
      </w:r>
    </w:p>
  </w:footnote>
  <w:footnote w:type="continuationSeparator" w:id="0">
    <w:p w14:paraId="0D026D51" w14:textId="77777777" w:rsidR="00E200D2" w:rsidRDefault="00E200D2">
      <w:pPr>
        <w:spacing w:after="0"/>
      </w:pPr>
      <w:r>
        <w:continuationSeparator/>
      </w:r>
    </w:p>
  </w:footnote>
  <w:footnote w:id="1">
    <w:p w14:paraId="451F6272" w14:textId="77777777" w:rsidR="006E2672" w:rsidRPr="00EE3A02" w:rsidRDefault="00000000">
      <w:pPr>
        <w:pStyle w:val="Notedebasdepage"/>
        <w:rPr>
          <w:lang w:val="fr-FR"/>
        </w:rPr>
      </w:pPr>
      <w:r>
        <w:rPr>
          <w:rStyle w:val="Appelnotedebasdep"/>
        </w:rPr>
        <w:footnoteRef/>
      </w:r>
      <w:r w:rsidRPr="00EE3A02">
        <w:rPr>
          <w:lang w:val="fr-FR"/>
        </w:rPr>
        <w:t xml:space="preserve"> Institut des Substances et Organismes de la Mer, ISOMer, Nantes Université, UR 2160, F-44000 Nantes, France</w:t>
      </w:r>
    </w:p>
  </w:footnote>
  <w:footnote w:id="2">
    <w:p w14:paraId="60108308" w14:textId="77777777" w:rsidR="006E2672" w:rsidRPr="00EE3A02" w:rsidRDefault="00000000">
      <w:pPr>
        <w:pStyle w:val="Notedebasdepage"/>
        <w:rPr>
          <w:lang w:val="fr-FR"/>
        </w:rPr>
      </w:pPr>
      <w:r>
        <w:rPr>
          <w:rStyle w:val="Appelnotedebasdep"/>
        </w:rPr>
        <w:footnoteRef/>
      </w:r>
      <w:r w:rsidRPr="00EE3A02">
        <w:rPr>
          <w:lang w:val="fr-FR"/>
        </w:rPr>
        <w:t xml:space="preserve"> Consiglio Nazionale delle Ricerche, Istituto di Scienze Marine (CNR-ISMAR), 00133 Rome, Italy</w:t>
      </w:r>
    </w:p>
  </w:footnote>
  <w:footnote w:id="3">
    <w:p w14:paraId="747FBF04" w14:textId="77777777" w:rsidR="006E2672" w:rsidRPr="00EE3A02" w:rsidRDefault="00000000">
      <w:pPr>
        <w:pStyle w:val="Notedebasdepage"/>
        <w:rPr>
          <w:lang w:val="fr-FR"/>
        </w:rPr>
      </w:pPr>
      <w:r>
        <w:rPr>
          <w:rStyle w:val="Appelnotedebasdep"/>
        </w:rPr>
        <w:footnoteRef/>
      </w:r>
      <w:r w:rsidRPr="00EE3A02">
        <w:rPr>
          <w:lang w:val="fr-FR"/>
        </w:rPr>
        <w:t xml:space="preserve"> Bio-littoral, Immeuble Le Nevada, 2 Rue du Château de l’Eraudière, 44300 Nantes, France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FA5A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29A89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3720461">
    <w:abstractNumId w:val="0"/>
  </w:num>
  <w:num w:numId="2" w16cid:durableId="1205409407">
    <w:abstractNumId w:val="0"/>
  </w:num>
  <w:num w:numId="3" w16cid:durableId="599728127">
    <w:abstractNumId w:val="1"/>
  </w:num>
  <w:num w:numId="4" w16cid:durableId="2204097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2672"/>
    <w:rsid w:val="006E2672"/>
    <w:rsid w:val="00762D2C"/>
    <w:rsid w:val="00E200D2"/>
    <w:rsid w:val="00EE3A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D6FE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uiPriority="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758"/>
    <w:rPr>
      <w:rFonts w:ascii="Palatino Linotype" w:hAnsi="Palatino Linotype"/>
    </w:rPr>
  </w:style>
  <w:style w:type="paragraph" w:styleId="Titre1">
    <w:name w:val="heading 1"/>
    <w:basedOn w:val="Normal"/>
    <w:next w:val="Corpsdetexte"/>
    <w:autoRedefine/>
    <w:uiPriority w:val="9"/>
    <w:qFormat/>
    <w:rsid w:val="00AC6758"/>
    <w:pPr>
      <w:keepNext/>
      <w:keepLines/>
      <w:spacing w:before="480" w:after="0"/>
      <w:outlineLvl w:val="0"/>
    </w:pPr>
    <w:rPr>
      <w:rFonts w:eastAsiaTheme="majorEastAsia" w:cstheme="majorBidi"/>
      <w:b/>
      <w:bCs/>
      <w:color w:val="000000" w:themeColor="text1"/>
      <w:sz w:val="32"/>
      <w:szCs w:val="32"/>
    </w:rPr>
  </w:style>
  <w:style w:type="paragraph" w:styleId="Titre2">
    <w:name w:val="heading 2"/>
    <w:basedOn w:val="Normal"/>
    <w:next w:val="Corpsdetexte"/>
    <w:autoRedefine/>
    <w:uiPriority w:val="9"/>
    <w:unhideWhenUsed/>
    <w:qFormat/>
    <w:rsid w:val="00AC6758"/>
    <w:pPr>
      <w:keepNext/>
      <w:keepLines/>
      <w:spacing w:before="200" w:after="0"/>
      <w:outlineLvl w:val="1"/>
    </w:pPr>
    <w:rPr>
      <w:rFonts w:eastAsiaTheme="majorEastAsia" w:cstheme="majorBidi"/>
      <w:b/>
      <w:bCs/>
      <w:color w:val="000000" w:themeColor="text1"/>
      <w:sz w:val="28"/>
      <w:szCs w:val="28"/>
    </w:rPr>
  </w:style>
  <w:style w:type="paragraph" w:styleId="Titre3">
    <w:name w:val="heading 3"/>
    <w:basedOn w:val="Normal"/>
    <w:next w:val="Corpsdetexte"/>
    <w:autoRedefine/>
    <w:uiPriority w:val="9"/>
    <w:unhideWhenUsed/>
    <w:qFormat/>
    <w:rsid w:val="00AC6758"/>
    <w:pPr>
      <w:keepNext/>
      <w:keepLines/>
      <w:spacing w:before="200" w:after="0"/>
      <w:outlineLvl w:val="2"/>
    </w:pPr>
    <w:rPr>
      <w:rFonts w:eastAsiaTheme="majorEastAsia" w:cstheme="majorBidi"/>
      <w:b/>
      <w:bCs/>
      <w:color w:val="000000" w:themeColor="text1"/>
    </w:rPr>
  </w:style>
  <w:style w:type="paragraph" w:styleId="Titre4">
    <w:name w:val="heading 4"/>
    <w:basedOn w:val="Normal"/>
    <w:next w:val="Corpsdetexte"/>
    <w:uiPriority w:val="9"/>
    <w:unhideWhenUsed/>
    <w:qFormat/>
    <w:rsid w:val="00AC6758"/>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rsid w:val="00AC6758"/>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rsid w:val="00AC6758"/>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rsid w:val="00AC6758"/>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rsid w:val="00AC6758"/>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rsid w:val="00AC6758"/>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autoRedefine/>
    <w:qFormat/>
    <w:rsid w:val="00AC6758"/>
    <w:pPr>
      <w:spacing w:before="60" w:after="60" w:line="360" w:lineRule="auto"/>
      <w:ind w:firstLine="720"/>
      <w:contextualSpacing/>
    </w:pPr>
  </w:style>
  <w:style w:type="paragraph" w:customStyle="1" w:styleId="FirstParagraph">
    <w:name w:val="First Paragraph"/>
    <w:basedOn w:val="Corpsdetexte"/>
    <w:next w:val="Corpsdetexte"/>
    <w:autoRedefine/>
    <w:qFormat/>
    <w:rsid w:val="00AC6758"/>
    <w:pPr>
      <w:ind w:firstLine="0"/>
    </w:pPr>
  </w:style>
  <w:style w:type="paragraph" w:customStyle="1" w:styleId="Compact">
    <w:name w:val="Compact"/>
    <w:basedOn w:val="Corpsdetexte"/>
    <w:autoRedefine/>
    <w:qFormat/>
    <w:rsid w:val="00AC6758"/>
    <w:pPr>
      <w:spacing w:before="0" w:after="0" w:line="240" w:lineRule="auto"/>
      <w:ind w:firstLine="0"/>
    </w:pPr>
    <w:rPr>
      <w:sz w:val="20"/>
    </w:rPr>
  </w:style>
  <w:style w:type="paragraph" w:styleId="Titre">
    <w:name w:val="Title"/>
    <w:basedOn w:val="Normal"/>
    <w:next w:val="Corpsdetexte"/>
    <w:autoRedefine/>
    <w:qFormat/>
    <w:rsid w:val="00AC6758"/>
    <w:pPr>
      <w:keepNext/>
      <w:keepLines/>
      <w:spacing w:before="480" w:after="240"/>
    </w:pPr>
    <w:rPr>
      <w:rFonts w:eastAsiaTheme="majorEastAsia" w:cstheme="majorBidi"/>
      <w:b/>
      <w:bCs/>
      <w:sz w:val="36"/>
      <w:szCs w:val="36"/>
    </w:rPr>
  </w:style>
  <w:style w:type="paragraph" w:styleId="Sous-titre">
    <w:name w:val="Subtitle"/>
    <w:basedOn w:val="Titre"/>
    <w:next w:val="Corpsdetexte"/>
    <w:autoRedefine/>
    <w:qFormat/>
    <w:rsid w:val="00AC6758"/>
    <w:pPr>
      <w:spacing w:before="240"/>
      <w:jc w:val="center"/>
    </w:pPr>
    <w:rPr>
      <w:sz w:val="30"/>
      <w:szCs w:val="30"/>
    </w:rPr>
  </w:style>
  <w:style w:type="paragraph" w:customStyle="1" w:styleId="Author">
    <w:name w:val="Author"/>
    <w:next w:val="Corpsdetexte"/>
    <w:autoRedefine/>
    <w:qFormat/>
    <w:rsid w:val="00AC6758"/>
    <w:pPr>
      <w:keepNext/>
      <w:keepLines/>
    </w:pPr>
    <w:rPr>
      <w:rFonts w:ascii="Arial Black" w:hAnsi="Arial Black"/>
    </w:rPr>
  </w:style>
  <w:style w:type="paragraph" w:styleId="Date">
    <w:name w:val="Date"/>
    <w:next w:val="Corpsdetexte"/>
    <w:autoRedefine/>
    <w:qFormat/>
    <w:rsid w:val="00AC6758"/>
    <w:pPr>
      <w:keepNext/>
      <w:keepLines/>
    </w:pPr>
  </w:style>
  <w:style w:type="paragraph" w:customStyle="1" w:styleId="Abstract">
    <w:name w:val="Abstract"/>
    <w:basedOn w:val="Normal"/>
    <w:next w:val="Corpsdetexte"/>
    <w:autoRedefine/>
    <w:qFormat/>
    <w:rsid w:val="00AC6758"/>
    <w:pPr>
      <w:keepNext/>
      <w:keepLines/>
      <w:spacing w:before="300" w:after="300"/>
    </w:pPr>
    <w:rPr>
      <w:sz w:val="20"/>
      <w:szCs w:val="20"/>
    </w:rPr>
  </w:style>
  <w:style w:type="paragraph" w:styleId="Bibliographie">
    <w:name w:val="Bibliography"/>
    <w:basedOn w:val="Normal"/>
    <w:autoRedefine/>
    <w:qFormat/>
    <w:rsid w:val="00AC6758"/>
  </w:style>
  <w:style w:type="paragraph" w:styleId="Normalcentr">
    <w:name w:val="Block Text"/>
    <w:basedOn w:val="Corpsdetexte"/>
    <w:next w:val="Corpsdetexte"/>
    <w:uiPriority w:val="9"/>
    <w:unhideWhenUsed/>
    <w:qFormat/>
    <w:rsid w:val="00AC6758"/>
    <w:pPr>
      <w:spacing w:before="100" w:after="100"/>
      <w:ind w:left="480" w:right="480"/>
    </w:pPr>
  </w:style>
  <w:style w:type="paragraph" w:styleId="Notedebasdepage">
    <w:name w:val="footnote text"/>
    <w:basedOn w:val="Normal"/>
    <w:autoRedefine/>
    <w:uiPriority w:val="9"/>
    <w:unhideWhenUsed/>
    <w:qFormat/>
    <w:rsid w:val="00AC6758"/>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autoRedefine/>
    <w:uiPriority w:val="39"/>
    <w:unhideWhenUsed/>
    <w:qFormat/>
    <w:rsid w:val="00AC6758"/>
    <w:pPr>
      <w:spacing w:before="240" w:line="259" w:lineRule="auto"/>
      <w:outlineLvl w:val="9"/>
    </w:pPr>
    <w:rPr>
      <w:b w:val="0"/>
      <w:bCs w:val="0"/>
      <w:color w:val="auto"/>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En-tte">
    <w:name w:val="header"/>
    <w:basedOn w:val="Normal"/>
    <w:link w:val="En-tteCar"/>
    <w:unhideWhenUsed/>
    <w:rsid w:val="00F21051"/>
    <w:pPr>
      <w:tabs>
        <w:tab w:val="center" w:pos="4680"/>
        <w:tab w:val="right" w:pos="9360"/>
      </w:tabs>
      <w:spacing w:after="0"/>
    </w:pPr>
  </w:style>
  <w:style w:type="character" w:customStyle="1" w:styleId="En-tteCar">
    <w:name w:val="En-tête Car"/>
    <w:basedOn w:val="Policepardfaut"/>
    <w:link w:val="En-tte"/>
    <w:rsid w:val="00F21051"/>
    <w:rPr>
      <w:rFonts w:ascii="Palatino Linotype" w:hAnsi="Palatino Linotype"/>
    </w:rPr>
  </w:style>
  <w:style w:type="paragraph" w:styleId="Pieddepage">
    <w:name w:val="footer"/>
    <w:basedOn w:val="Normal"/>
    <w:link w:val="PieddepageCar"/>
    <w:uiPriority w:val="99"/>
    <w:unhideWhenUsed/>
    <w:rsid w:val="00F21051"/>
    <w:pPr>
      <w:tabs>
        <w:tab w:val="center" w:pos="4680"/>
        <w:tab w:val="right" w:pos="9360"/>
      </w:tabs>
      <w:spacing w:after="0"/>
    </w:pPr>
  </w:style>
  <w:style w:type="character" w:customStyle="1" w:styleId="PieddepageCar">
    <w:name w:val="Pied de page Car"/>
    <w:basedOn w:val="Policepardfaut"/>
    <w:link w:val="Pieddepage"/>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1038/s43247-024-01543-z" TargetMode="External"/><Relationship Id="rId39" Type="http://schemas.openxmlformats.org/officeDocument/2006/relationships/footer" Target="footer1.xml"/><Relationship Id="rId21" Type="http://schemas.openxmlformats.org/officeDocument/2006/relationships/hyperlink" Target="https://doi.org/10.18637/jss.v100.i05" TargetMode="External"/><Relationship Id="rId34" Type="http://schemas.openxmlformats.org/officeDocument/2006/relationships/hyperlink" Target="https://www.R-project.org/"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ioc-sealevelmonitoring.org/station.php?code=lecy"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48670/moi-00311" TargetMode="External"/><Relationship Id="rId32" Type="http://schemas.openxmlformats.org/officeDocument/2006/relationships/hyperlink" Target="https://www.malvernpanalytical.com/en/support/product-support/software/rs3" TargetMode="External"/><Relationship Id="rId37" Type="http://schemas.openxmlformats.org/officeDocument/2006/relationships/hyperlink" Target="https://services.data.shom.fr/geonetwork/srv/fre/catalog.search"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59327/IPCC/AR6-9789291691647.001" TargetMode="External"/><Relationship Id="rId28" Type="http://schemas.openxmlformats.org/officeDocument/2006/relationships/hyperlink" Target="https://electricblue.eu/intertidal-chamber" TargetMode="External"/><Relationship Id="rId36" Type="http://schemas.openxmlformats.org/officeDocument/2006/relationships/hyperlink" Target="https://diffusion.shom.fr/references-altimetriques-maritimes-ram.html"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doi.org/10.1016/S0034-4257(70)80021-9"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8637/jss.v076.i01" TargetMode="External"/><Relationship Id="rId27" Type="http://schemas.openxmlformats.org/officeDocument/2006/relationships/hyperlink" Target="https://doi.org/10.1016/j.rse.2024.114340" TargetMode="External"/><Relationship Id="rId30" Type="http://schemas.openxmlformats.org/officeDocument/2006/relationships/hyperlink" Target="https://doi.org/10.1016/S0304-4238(05)80016-0" TargetMode="External"/><Relationship Id="rId35" Type="http://schemas.openxmlformats.org/officeDocument/2006/relationships/hyperlink" Target="https://doi.org/10.21105/joss.00821"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1007/s11099-007-0084-3" TargetMode="External"/><Relationship Id="rId33" Type="http://schemas.openxmlformats.org/officeDocument/2006/relationships/hyperlink" Target="https://doi.org/10.3390/rs16234383" TargetMode="External"/><Relationship Id="rId38" Type="http://schemas.openxmlformats.org/officeDocument/2006/relationships/hyperlink" Target="https://doi.org/10.1002/rse2.3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41</Pages>
  <Words>10556</Words>
  <Characters>58061</Characters>
  <Application>Microsoft Office Word</Application>
  <DocSecurity>0</DocSecurity>
  <Lines>483</Lines>
  <Paragraphs>136</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68481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Oiry;Bede Ffinian Rowe Davies¹;Philippe Rosa¹;Augustin Debly¹;Maria Laura Zoffoli;Anne-Laure Barillé;Nicolas Harin³;Marta Román¹⁴;Pierre Gernez¹;Laurent Barillé¹</dc:creator>
  <cp:keywords>Remote Sensing, Pigment Composition, Seagrass, Coastal Ecosystems, Heatwaves</cp:keywords>
  <cp:lastModifiedBy>simon oiry</cp:lastModifiedBy>
  <cp:revision>1</cp:revision>
  <dcterms:created xsi:type="dcterms:W3CDTF">2025-09-30T11:14:00Z</dcterms:created>
  <dcterms:modified xsi:type="dcterms:W3CDTF">2025-09-30T11:19:00Z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2025-09-30</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